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0626" w14:textId="18171D73" w:rsidR="006A5AA2" w:rsidRPr="000F58EA" w:rsidRDefault="00147D82">
      <w:pPr>
        <w:rPr>
          <w:b/>
          <w:bCs/>
        </w:rPr>
      </w:pPr>
      <w:r w:rsidRPr="000F58EA">
        <w:rPr>
          <w:b/>
          <w:bCs/>
        </w:rPr>
        <w:t>Clinical Trial Protocol</w:t>
      </w:r>
    </w:p>
    <w:p w14:paraId="7AE3E9C2" w14:textId="2D78A2CE" w:rsidR="00A95267" w:rsidRPr="00A95267" w:rsidRDefault="00147D82" w:rsidP="00A95267">
      <w:pPr>
        <w:spacing w:line="240" w:lineRule="auto"/>
      </w:pPr>
      <w:r w:rsidRPr="000F58EA">
        <w:rPr>
          <w:b/>
          <w:bCs/>
        </w:rPr>
        <w:t>Title</w:t>
      </w:r>
      <w:r w:rsidR="000C4948" w:rsidRPr="000F58EA">
        <w:rPr>
          <w:b/>
          <w:bCs/>
        </w:rPr>
        <w:t>:</w:t>
      </w:r>
      <w:r w:rsidR="000C4948">
        <w:t xml:space="preserve"> </w:t>
      </w:r>
      <w:r w:rsidR="00A95267" w:rsidRPr="00A95267">
        <w:t xml:space="preserve">The effect of acute chlorhexidine mouthwash on postprandial glucose response: a </w:t>
      </w:r>
      <w:r w:rsidR="00A95267" w:rsidRPr="00A95267">
        <w:t>r</w:t>
      </w:r>
      <w:r w:rsidR="00A95267" w:rsidRPr="00A95267">
        <w:t>andomised cross-over trial</w:t>
      </w:r>
    </w:p>
    <w:p w14:paraId="720B9049" w14:textId="148BB283" w:rsidR="00147D82" w:rsidRDefault="00147D82" w:rsidP="00147D82"/>
    <w:p w14:paraId="4FD7488A" w14:textId="7726A0FD" w:rsidR="0002358A" w:rsidRPr="00147D82" w:rsidRDefault="0002358A" w:rsidP="00147D82">
      <w:r>
        <w:t>Data</w:t>
      </w:r>
      <w:r w:rsidR="006B75FA">
        <w:t>:</w:t>
      </w:r>
      <w:r>
        <w:t xml:space="preserve"> </w:t>
      </w:r>
      <w:r w:rsidR="006B75FA">
        <w:t>02/05/2022</w:t>
      </w:r>
    </w:p>
    <w:p w14:paraId="541B0046" w14:textId="6895BAA1" w:rsidR="00C32989" w:rsidRDefault="006B75FA">
      <w:pPr>
        <w:rPr>
          <w:b/>
          <w:bCs/>
        </w:rPr>
      </w:pPr>
      <w:r w:rsidRPr="00FA46D6">
        <w:rPr>
          <w:b/>
          <w:bCs/>
        </w:rPr>
        <w:t xml:space="preserve">Starting date: </w:t>
      </w:r>
      <w:r w:rsidR="0002358A" w:rsidRPr="00FA46D6">
        <w:rPr>
          <w:b/>
          <w:bCs/>
        </w:rPr>
        <w:t>08/06/2022</w:t>
      </w:r>
    </w:p>
    <w:p w14:paraId="4E5A18F0" w14:textId="61C16A61" w:rsidR="000F58EA" w:rsidRDefault="000F58EA">
      <w:pPr>
        <w:rPr>
          <w:b/>
          <w:bCs/>
        </w:rPr>
      </w:pPr>
      <w:r w:rsidRPr="000F58EA">
        <w:rPr>
          <w:b/>
          <w:bCs/>
        </w:rPr>
        <w:t>Background</w:t>
      </w:r>
    </w:p>
    <w:p w14:paraId="39674A61" w14:textId="77777777" w:rsidR="00A95267" w:rsidRPr="00A95267" w:rsidRDefault="00A95267" w:rsidP="00A95267">
      <w:r w:rsidRPr="00A95267">
        <w:t xml:space="preserve">Carbohydrate digestion begins in the oral cavity, where salivary </w:t>
      </w:r>
      <w:r w:rsidRPr="00A95267">
        <w:rPr>
          <w:rFonts w:ascii="Calibri" w:hAnsi="Calibri" w:cs="Calibri"/>
        </w:rPr>
        <w:t>α</w:t>
      </w:r>
      <w:r w:rsidRPr="00A95267">
        <w:t xml:space="preserve">-amylase hydrolyses </w:t>
      </w:r>
      <w:r w:rsidRPr="00A95267">
        <w:rPr>
          <w:rFonts w:ascii="Calibri" w:hAnsi="Calibri" w:cs="Calibri"/>
        </w:rPr>
        <w:t>α</w:t>
      </w:r>
      <w:r w:rsidRPr="00A95267">
        <w:t>-1,4 glycosidic bonds in starch, producing smaller carbohydrate molecules that undergo further digestion within the gastrointestinal tract (Frayn, 2010). The oral cavity also hosts a diverse microbial community comprising more than 700 bacterial taxa, collectively forming an important component of the oral microbiome (Jenkinson, 2011; Kilian et al., 2016).</w:t>
      </w:r>
    </w:p>
    <w:p w14:paraId="4A9D3AF6" w14:textId="77777777" w:rsidR="00A95267" w:rsidRPr="00A95267" w:rsidRDefault="00A95267" w:rsidP="00A95267">
      <w:r w:rsidRPr="00A95267">
        <w:t xml:space="preserve">Antimicrobial mouthwashes, particularly those containing chlorhexidine, are widely used to reduce oral microbial load. However, the oral microbiome contributes to several physiological processes, and broad-spectrum antimicrobial mouthwashes may disrupt beneficial as well as potentially pathogenic microorganisms. The potential acute effects of chlorhexidine mouthwash on salivary </w:t>
      </w:r>
      <w:r w:rsidRPr="00A95267">
        <w:rPr>
          <w:rFonts w:ascii="Calibri" w:hAnsi="Calibri" w:cs="Calibri"/>
        </w:rPr>
        <w:t>α</w:t>
      </w:r>
      <w:r w:rsidRPr="00A95267">
        <w:t>-amylase activity and the digestion and absorption of dietary carbohydrates remain unclear.</w:t>
      </w:r>
    </w:p>
    <w:p w14:paraId="0CEBD366" w14:textId="77777777" w:rsidR="00A95267" w:rsidRPr="00A95267" w:rsidRDefault="00A95267" w:rsidP="00A95267">
      <w:r w:rsidRPr="00A95267">
        <w:t xml:space="preserve">This study will therefore investigate whether acute use of chlorhexidine mouthwash before consumption of a carbohydrate-containing meal alters salivary </w:t>
      </w:r>
      <w:r w:rsidRPr="00A95267">
        <w:rPr>
          <w:rFonts w:ascii="Calibri" w:hAnsi="Calibri" w:cs="Calibri"/>
        </w:rPr>
        <w:t>α</w:t>
      </w:r>
      <w:r w:rsidRPr="00A95267">
        <w:t>-amylase activity and the subsequent postprandial blood glucose response in healthy adults.</w:t>
      </w:r>
    </w:p>
    <w:p w14:paraId="581380D8" w14:textId="77777777" w:rsidR="00A95267" w:rsidRDefault="00A95267" w:rsidP="00F96BB0"/>
    <w:p w14:paraId="060650ED" w14:textId="77777777" w:rsidR="009242A4" w:rsidRPr="009242A4" w:rsidRDefault="009242A4" w:rsidP="009242A4">
      <w:pPr>
        <w:rPr>
          <w:b/>
          <w:bCs/>
        </w:rPr>
      </w:pPr>
      <w:r w:rsidRPr="009242A4">
        <w:rPr>
          <w:b/>
          <w:bCs/>
        </w:rPr>
        <w:t>Brief Summary</w:t>
      </w:r>
    </w:p>
    <w:p w14:paraId="3B5B5882" w14:textId="77777777" w:rsidR="009242A4" w:rsidRPr="009242A4" w:rsidRDefault="009242A4" w:rsidP="009242A4">
      <w:r w:rsidRPr="009242A4">
        <w:t>The aim of this study is to investigate whether acute use of chlorhexidine mouthwash affects the digestion and subsequent absorption of dietary carbohydrate, assessed primarily through the postprandial blood glucose response.</w:t>
      </w:r>
    </w:p>
    <w:p w14:paraId="3A5F46D9" w14:textId="77777777" w:rsidR="009242A4" w:rsidRPr="009242A4" w:rsidRDefault="009242A4" w:rsidP="009242A4">
      <w:r w:rsidRPr="009242A4">
        <w:t>Approximately 45 healthy adults will be recruited. Using a randomised, double-blind, crossover design, each participant will complete two experimental sessions, separated by a washout period of at least 48 hours.</w:t>
      </w:r>
    </w:p>
    <w:p w14:paraId="742DC194" w14:textId="77777777" w:rsidR="009242A4" w:rsidRPr="009242A4" w:rsidRDefault="009242A4" w:rsidP="009242A4">
      <w:r w:rsidRPr="009242A4">
        <w:t>At each visit, baseline saliva and capillary blood glucose samples will be collected. Participants will then rinse their mouth for 2 minutes with 10 mL of either 0.2% chlorhexidine mouthwash or placebo, according to the randomised treatment allocation. Five minutes after rinsing, participants will consume a standardised carbohydrate-containing meal consisting of 50 g of white bread and 40 g of strawberry jam.</w:t>
      </w:r>
    </w:p>
    <w:p w14:paraId="1A68474D" w14:textId="77777777" w:rsidR="009242A4" w:rsidRPr="009242A4" w:rsidRDefault="009242A4" w:rsidP="009242A4">
      <w:r w:rsidRPr="009242A4">
        <w:lastRenderedPageBreak/>
        <w:t>Capillary blood glucose will be measured at baseline and at 15, 30, 45, 60, 90 and 120 minutes after consumption of the meal. A second saliva sample will be collected at the end of the 120-minute postprandial period. Postprandial glucose responses, including the incremental area under the curve (</w:t>
      </w:r>
      <w:proofErr w:type="spellStart"/>
      <w:r w:rsidRPr="009242A4">
        <w:t>iAUC</w:t>
      </w:r>
      <w:proofErr w:type="spellEnd"/>
      <w:r w:rsidRPr="009242A4">
        <w:t>), will be compared between the chlorhexidine and placebo conditions.</w:t>
      </w:r>
    </w:p>
    <w:p w14:paraId="7724848C" w14:textId="77777777" w:rsidR="00DF7FEA" w:rsidRDefault="00DF7FEA" w:rsidP="00EB53C2"/>
    <w:p w14:paraId="7FBA7FB1" w14:textId="4215B670" w:rsidR="00DF7FEA" w:rsidRPr="00997486" w:rsidRDefault="00DF7FEA" w:rsidP="00EB53C2">
      <w:pPr>
        <w:rPr>
          <w:b/>
          <w:bCs/>
        </w:rPr>
      </w:pPr>
      <w:r w:rsidRPr="00997486">
        <w:rPr>
          <w:b/>
          <w:bCs/>
        </w:rPr>
        <w:t>Aim and Objectives</w:t>
      </w:r>
    </w:p>
    <w:p w14:paraId="531F0440" w14:textId="77777777" w:rsidR="00DF7FEA" w:rsidRPr="00A95267" w:rsidRDefault="00DF7FEA" w:rsidP="00DF7FEA">
      <w:pPr>
        <w:rPr>
          <w:b/>
          <w:bCs/>
        </w:rPr>
      </w:pPr>
      <w:r w:rsidRPr="00A95267">
        <w:rPr>
          <w:b/>
          <w:bCs/>
        </w:rPr>
        <w:t>Aim:</w:t>
      </w:r>
    </w:p>
    <w:p w14:paraId="6C6B139A" w14:textId="0D9CF2E7" w:rsidR="00DF7FEA" w:rsidRPr="00DF7FEA" w:rsidRDefault="00DF7FEA" w:rsidP="00DF7FEA">
      <w:r w:rsidRPr="00DF7FEA">
        <w:t>To investigate the effect of chlorhexidine</w:t>
      </w:r>
      <w:r w:rsidR="004604C9">
        <w:t xml:space="preserve"> mouthwash,</w:t>
      </w:r>
      <w:r w:rsidRPr="00DF7FEA">
        <w:t xml:space="preserve"> compared </w:t>
      </w:r>
      <w:r w:rsidR="004604C9">
        <w:t>with</w:t>
      </w:r>
      <w:r w:rsidRPr="00DF7FEA">
        <w:t xml:space="preserve"> placebo</w:t>
      </w:r>
      <w:r w:rsidR="004604C9">
        <w:t>,</w:t>
      </w:r>
      <w:r w:rsidRPr="00DF7FEA">
        <w:t xml:space="preserve"> on carbohydrate absorption in healthy</w:t>
      </w:r>
      <w:r>
        <w:t xml:space="preserve"> </w:t>
      </w:r>
      <w:r w:rsidRPr="00DF7FEA">
        <w:t>individuals.</w:t>
      </w:r>
    </w:p>
    <w:p w14:paraId="62DBF3BA" w14:textId="77777777" w:rsidR="00DF7FEA" w:rsidRPr="00A95267" w:rsidRDefault="00DF7FEA" w:rsidP="00DF7FEA">
      <w:pPr>
        <w:rPr>
          <w:b/>
          <w:bCs/>
        </w:rPr>
      </w:pPr>
      <w:r w:rsidRPr="00A95267">
        <w:rPr>
          <w:b/>
          <w:bCs/>
        </w:rPr>
        <w:t>Objectives:</w:t>
      </w:r>
    </w:p>
    <w:p w14:paraId="21F35F19" w14:textId="77777777" w:rsidR="00A95267" w:rsidRPr="00A95267" w:rsidRDefault="00A95267" w:rsidP="00B13B33">
      <w:pPr>
        <w:rPr>
          <w:color w:val="000000" w:themeColor="text1"/>
        </w:rPr>
      </w:pPr>
      <w:r w:rsidRPr="00A95267">
        <w:rPr>
          <w:color w:val="000000" w:themeColor="text1"/>
        </w:rPr>
        <w:t>To determine the postprandial blood glucose response following acute oral rinsing with chlorhexidine compared with placebo before consumption of a standardised carbohydrate-containing meal.</w:t>
      </w:r>
    </w:p>
    <w:p w14:paraId="192AA459" w14:textId="1AB277F5" w:rsidR="004604C9" w:rsidRPr="00A95267" w:rsidRDefault="00A95267" w:rsidP="00B13B33">
      <w:pPr>
        <w:rPr>
          <w:color w:val="000000" w:themeColor="text1"/>
        </w:rPr>
      </w:pPr>
      <w:r w:rsidRPr="00A95267">
        <w:rPr>
          <w:color w:val="000000" w:themeColor="text1"/>
        </w:rPr>
        <w:t xml:space="preserve">To investigate whether acute chlorhexidine mouthwash use affects salivary </w:t>
      </w:r>
      <w:r w:rsidRPr="00A95267">
        <w:rPr>
          <w:rFonts w:ascii="Calibri" w:hAnsi="Calibri" w:cs="Calibri"/>
          <w:color w:val="000000" w:themeColor="text1"/>
        </w:rPr>
        <w:t>α</w:t>
      </w:r>
      <w:r w:rsidRPr="00A95267">
        <w:rPr>
          <w:color w:val="000000" w:themeColor="text1"/>
        </w:rPr>
        <w:t>-amylase activity.</w:t>
      </w:r>
    </w:p>
    <w:p w14:paraId="3920F1C5" w14:textId="77777777" w:rsidR="004604C9" w:rsidRDefault="004604C9" w:rsidP="00DF7FEA">
      <w:pPr>
        <w:rPr>
          <w:color w:val="0070C0"/>
        </w:rPr>
      </w:pPr>
    </w:p>
    <w:p w14:paraId="097A0382" w14:textId="77777777" w:rsidR="007C5796" w:rsidRPr="001E0E18" w:rsidRDefault="007C5796" w:rsidP="007C5796">
      <w:pPr>
        <w:rPr>
          <w:b/>
          <w:bCs/>
        </w:rPr>
      </w:pPr>
      <w:r w:rsidRPr="001E0E18">
        <w:rPr>
          <w:b/>
          <w:bCs/>
        </w:rPr>
        <w:t>Methods</w:t>
      </w:r>
    </w:p>
    <w:p w14:paraId="28E54DDF" w14:textId="77777777" w:rsidR="007C5796" w:rsidRPr="001E0E18" w:rsidRDefault="007C5796" w:rsidP="007C5796">
      <w:pPr>
        <w:rPr>
          <w:b/>
          <w:bCs/>
        </w:rPr>
      </w:pPr>
      <w:r w:rsidRPr="001E0E18">
        <w:rPr>
          <w:b/>
          <w:bCs/>
        </w:rPr>
        <w:t>Study Design</w:t>
      </w:r>
    </w:p>
    <w:p w14:paraId="7FE92DF6" w14:textId="77777777" w:rsidR="007C5796" w:rsidRPr="001E0E18" w:rsidRDefault="007C5796" w:rsidP="007C5796">
      <w:r w:rsidRPr="001E0E18">
        <w:t>This will be a randomised, double-blind, placebo-controlled crossover study investigating the acute effect of chlorhexidine mouthwash on the postprandial response to a carbohydrate-containing meal.</w:t>
      </w:r>
    </w:p>
    <w:p w14:paraId="2F954149" w14:textId="77777777" w:rsidR="007C5796" w:rsidRPr="001E0E18" w:rsidRDefault="007C5796" w:rsidP="007C5796">
      <w:r w:rsidRPr="001E0E18">
        <w:t>Each participant will complete both experimental conditions:</w:t>
      </w:r>
    </w:p>
    <w:p w14:paraId="0BF65E5F" w14:textId="13B2CCD6" w:rsidR="007C5796" w:rsidRPr="001E0E18" w:rsidRDefault="007C5796" w:rsidP="007C5796">
      <w:pPr>
        <w:numPr>
          <w:ilvl w:val="0"/>
          <w:numId w:val="10"/>
        </w:numPr>
      </w:pPr>
      <w:r w:rsidRPr="001E0E18">
        <w:t xml:space="preserve">0.2% chlorhexidine </w:t>
      </w:r>
      <w:proofErr w:type="spellStart"/>
      <w:r w:rsidRPr="001E0E18">
        <w:t>digluconate</w:t>
      </w:r>
      <w:proofErr w:type="spellEnd"/>
      <w:r w:rsidRPr="001E0E18">
        <w:t xml:space="preserve"> mouthwash</w:t>
      </w:r>
      <w:r w:rsidR="00732A3B" w:rsidRPr="00732A3B">
        <w:rPr>
          <w:color w:val="0070C0"/>
        </w:rPr>
        <w:t xml:space="preserve"> </w:t>
      </w:r>
      <w:r w:rsidR="00732A3B" w:rsidRPr="00732A3B">
        <w:t>(Corsodyl, GlaxoSmithKline, UK)</w:t>
      </w:r>
    </w:p>
    <w:p w14:paraId="058F159E" w14:textId="77777777" w:rsidR="007C5796" w:rsidRPr="001E0E18" w:rsidRDefault="007C5796" w:rsidP="007C5796">
      <w:pPr>
        <w:numPr>
          <w:ilvl w:val="0"/>
          <w:numId w:val="10"/>
        </w:numPr>
      </w:pPr>
      <w:r w:rsidRPr="001E0E18">
        <w:t>Placebo mouthwash</w:t>
      </w:r>
    </w:p>
    <w:p w14:paraId="5D3CFD3A" w14:textId="77777777" w:rsidR="007C5796" w:rsidRPr="001E0E18" w:rsidRDefault="007C5796" w:rsidP="007C5796">
      <w:r w:rsidRPr="001E0E18">
        <w:t>The order of the interventions will be randomised. Treatment allocation will be concealed from both participants and researchers conducting the experimental procedures.</w:t>
      </w:r>
    </w:p>
    <w:p w14:paraId="07CB8812" w14:textId="77777777" w:rsidR="007C5796" w:rsidRDefault="007C5796" w:rsidP="007C5796">
      <w:r w:rsidRPr="001E0E18">
        <w:t>A washout period of at least 48 hours will separate the two experimental visits.</w:t>
      </w:r>
    </w:p>
    <w:p w14:paraId="4615D2A9" w14:textId="77777777" w:rsidR="00D6256D" w:rsidRDefault="00D6256D" w:rsidP="007C5796"/>
    <w:p w14:paraId="20A9F49E" w14:textId="77777777" w:rsidR="00D6256D" w:rsidRPr="005235DE" w:rsidRDefault="00D6256D" w:rsidP="00D6256D">
      <w:pPr>
        <w:rPr>
          <w:i/>
          <w:iCs/>
        </w:rPr>
      </w:pPr>
      <w:r w:rsidRPr="005235DE">
        <w:rPr>
          <w:i/>
          <w:iCs/>
        </w:rPr>
        <w:t>Inclusion and exclusion criteria</w:t>
      </w:r>
    </w:p>
    <w:p w14:paraId="331A11EA" w14:textId="77777777" w:rsidR="00D6256D" w:rsidRDefault="00D6256D" w:rsidP="00D6256D">
      <w:r w:rsidRPr="001712A0">
        <w:t xml:space="preserve">Inclusion Criteria: </w:t>
      </w:r>
    </w:p>
    <w:p w14:paraId="0A2E008C" w14:textId="77777777" w:rsidR="00D6256D" w:rsidRPr="001712A0" w:rsidRDefault="00D6256D" w:rsidP="00D6256D">
      <w:r w:rsidRPr="001712A0">
        <w:lastRenderedPageBreak/>
        <w:t>Healthy adults (&gt; 18 years/old)</w:t>
      </w:r>
    </w:p>
    <w:p w14:paraId="21D7B9BA" w14:textId="77777777" w:rsidR="00D6256D" w:rsidRPr="001712A0" w:rsidRDefault="00D6256D" w:rsidP="00D6256D">
      <w:r w:rsidRPr="001712A0">
        <w:t>Exclusion Criteria:</w:t>
      </w:r>
    </w:p>
    <w:p w14:paraId="0F277D45" w14:textId="16766EC7" w:rsidR="009C4C62" w:rsidRDefault="00A95267" w:rsidP="00D6256D">
      <w:r>
        <w:t>I</w:t>
      </w:r>
      <w:r w:rsidRPr="005C5F09">
        <w:t>ncluded coeliac disease and gluten intolerance, pregnancy,</w:t>
      </w:r>
      <w:r>
        <w:t xml:space="preserve"> smoking,</w:t>
      </w:r>
      <w:r w:rsidRPr="005C5F09">
        <w:t xml:space="preserve"> the use of</w:t>
      </w:r>
      <w:r>
        <w:t xml:space="preserve"> </w:t>
      </w:r>
      <w:r w:rsidRPr="0066476C">
        <w:t>immunosuppressant</w:t>
      </w:r>
      <w:r>
        <w:t>s</w:t>
      </w:r>
      <w:r w:rsidRPr="0066476C">
        <w:t xml:space="preserve"> or antibiotics</w:t>
      </w:r>
      <w:r>
        <w:t xml:space="preserve"> and</w:t>
      </w:r>
      <w:r w:rsidRPr="0066476C">
        <w:t xml:space="preserve"> </w:t>
      </w:r>
      <w:r>
        <w:t>the use of</w:t>
      </w:r>
      <w:r w:rsidRPr="0066476C">
        <w:t xml:space="preserve"> antibacterial mouthwash</w:t>
      </w:r>
      <w:r>
        <w:t xml:space="preserve"> and/or oral antibacterial ingredients</w:t>
      </w:r>
      <w:r w:rsidRPr="0066476C">
        <w:t xml:space="preserve"> </w:t>
      </w:r>
      <w:r>
        <w:t>within the 3</w:t>
      </w:r>
      <w:r w:rsidRPr="0066476C">
        <w:t xml:space="preserve"> weeks </w:t>
      </w:r>
      <w:r>
        <w:t>preceding</w:t>
      </w:r>
      <w:r w:rsidRPr="0066476C">
        <w:t xml:space="preserve"> the study</w:t>
      </w:r>
      <w:r>
        <w:t>.</w:t>
      </w:r>
    </w:p>
    <w:p w14:paraId="2ECD8717" w14:textId="77777777" w:rsidR="009C4C62" w:rsidRDefault="009C4C62" w:rsidP="00D6256D"/>
    <w:p w14:paraId="02D4E002" w14:textId="199748BB" w:rsidR="000A6A9D" w:rsidRPr="00291215" w:rsidRDefault="000A6A9D" w:rsidP="000A6A9D">
      <w:pPr>
        <w:rPr>
          <w:i/>
          <w:iCs/>
        </w:rPr>
      </w:pPr>
      <w:r w:rsidRPr="00291215">
        <w:rPr>
          <w:i/>
          <w:iCs/>
        </w:rPr>
        <w:t>Experimental procedures</w:t>
      </w:r>
    </w:p>
    <w:p w14:paraId="3BA25364" w14:textId="77777777" w:rsidR="000A6A9D" w:rsidRPr="000A6A9D" w:rsidRDefault="000A6A9D" w:rsidP="000A6A9D">
      <w:r w:rsidRPr="000A6A9D">
        <w:t>Participants will attend the Nutrition, Exercise and Health Laboratory under fasting conditions for two experimental visits.</w:t>
      </w:r>
    </w:p>
    <w:p w14:paraId="5D65F2AE" w14:textId="77777777" w:rsidR="000A6A9D" w:rsidRPr="000A6A9D" w:rsidRDefault="000A6A9D" w:rsidP="000A6A9D">
      <w:r w:rsidRPr="000A6A9D">
        <w:t>At each visit, the following procedures will be undertaken:</w:t>
      </w:r>
    </w:p>
    <w:p w14:paraId="2B1BD567" w14:textId="3933240B" w:rsidR="000A6A9D" w:rsidRPr="000A6A9D" w:rsidRDefault="000A6A9D" w:rsidP="000A6A9D">
      <w:r w:rsidRPr="000A6A9D">
        <w:rPr>
          <w:b/>
          <w:bCs/>
        </w:rPr>
        <w:t>Anthropometric measurements</w:t>
      </w:r>
      <w:r w:rsidR="00291215">
        <w:rPr>
          <w:b/>
          <w:bCs/>
        </w:rPr>
        <w:t xml:space="preserve">. </w:t>
      </w:r>
      <w:r w:rsidRPr="000A6A9D">
        <w:t>Height and body weight will be measured using a stadiometer and calibrated digital scales, respectively, and BMI will be calculated as kg/m².</w:t>
      </w:r>
    </w:p>
    <w:p w14:paraId="65D6A23D" w14:textId="4DD85014" w:rsidR="000A6A9D" w:rsidRPr="00291215" w:rsidRDefault="000A6A9D" w:rsidP="000A6A9D">
      <w:pPr>
        <w:rPr>
          <w:b/>
          <w:bCs/>
        </w:rPr>
      </w:pPr>
      <w:r w:rsidRPr="000A6A9D">
        <w:rPr>
          <w:b/>
          <w:bCs/>
        </w:rPr>
        <w:t>Baseline saliva collection</w:t>
      </w:r>
      <w:r w:rsidR="00291215">
        <w:rPr>
          <w:b/>
          <w:bCs/>
        </w:rPr>
        <w:t>.</w:t>
      </w:r>
      <w:r w:rsidRPr="000A6A9D">
        <w:t xml:space="preserve"> Approximately 2 mL of unstimulated saliva will be collected into a sterile tube. Saliva samples will be centrifuged at approximately 13,000 rpm to separate the supernatant. The supernatant will be transferred to labelled microtubes and stored at </w:t>
      </w:r>
      <w:r w:rsidRPr="000A6A9D">
        <w:rPr>
          <w:rFonts w:ascii="Cambria Math" w:hAnsi="Cambria Math" w:cs="Cambria Math"/>
        </w:rPr>
        <w:t>−</w:t>
      </w:r>
      <w:r w:rsidRPr="000A6A9D">
        <w:t>80</w:t>
      </w:r>
      <w:r w:rsidRPr="000A6A9D">
        <w:rPr>
          <w:rFonts w:ascii="Aptos" w:hAnsi="Aptos" w:cs="Aptos"/>
        </w:rPr>
        <w:t>°</w:t>
      </w:r>
      <w:r w:rsidRPr="000A6A9D">
        <w:t xml:space="preserve">C pending analysis of salivary </w:t>
      </w:r>
      <w:r w:rsidRPr="000A6A9D">
        <w:rPr>
          <w:rFonts w:ascii="Calibri" w:hAnsi="Calibri" w:cs="Calibri"/>
        </w:rPr>
        <w:t>α</w:t>
      </w:r>
      <w:r w:rsidRPr="000A6A9D">
        <w:t>-amylase activity. Remaining biological material will be disposed of in accordance with the Human Tissue Act and relevant University procedures.</w:t>
      </w:r>
    </w:p>
    <w:p w14:paraId="761AE57C" w14:textId="2997E76D" w:rsidR="000A6A9D" w:rsidRPr="00E66CE9" w:rsidRDefault="000A6A9D" w:rsidP="005C29F1">
      <w:r w:rsidRPr="000A6A9D">
        <w:rPr>
          <w:b/>
          <w:bCs/>
        </w:rPr>
        <w:t>Baseline blood glucose</w:t>
      </w:r>
      <w:r w:rsidR="00291215">
        <w:rPr>
          <w:b/>
          <w:bCs/>
        </w:rPr>
        <w:t>.</w:t>
      </w:r>
      <w:r w:rsidRPr="000A6A9D">
        <w:t xml:space="preserve"> Capillary blood glucose will be measured by finger prick using a blood glucose meter</w:t>
      </w:r>
      <w:r w:rsidR="00DD758B">
        <w:t xml:space="preserve"> (</w:t>
      </w:r>
      <w:r w:rsidR="00135D3C" w:rsidRPr="00E66CE9">
        <w:t>ACCU-CHEK Performa, Roche, USA</w:t>
      </w:r>
      <w:r w:rsidR="00DD758B" w:rsidRPr="00E66CE9">
        <w:t>)</w:t>
      </w:r>
      <w:r w:rsidRPr="00E66CE9">
        <w:t>.</w:t>
      </w:r>
    </w:p>
    <w:p w14:paraId="00E2B266" w14:textId="7C2A0F9D" w:rsidR="000A6A9D" w:rsidRPr="000A6A9D" w:rsidRDefault="000A6A9D" w:rsidP="005C29F1">
      <w:r w:rsidRPr="000A6A9D">
        <w:rPr>
          <w:b/>
          <w:bCs/>
        </w:rPr>
        <w:t>Mouthwash intervention</w:t>
      </w:r>
      <w:r w:rsidR="00291215">
        <w:rPr>
          <w:b/>
          <w:bCs/>
        </w:rPr>
        <w:t>.</w:t>
      </w:r>
      <w:r w:rsidRPr="000A6A9D">
        <w:t xml:space="preserve"> Participants will receive 10 mL of the allocated mouthwash and rinse their mouth for 2 minutes before expectorating the solution.</w:t>
      </w:r>
    </w:p>
    <w:p w14:paraId="13E29959" w14:textId="666779DB" w:rsidR="000A6A9D" w:rsidRPr="000A6A9D" w:rsidRDefault="000A6A9D" w:rsidP="005C29F1">
      <w:r w:rsidRPr="000A6A9D">
        <w:rPr>
          <w:b/>
          <w:bCs/>
        </w:rPr>
        <w:t>Standardised meal</w:t>
      </w:r>
      <w:r w:rsidR="00291215">
        <w:rPr>
          <w:b/>
          <w:bCs/>
        </w:rPr>
        <w:t>.</w:t>
      </w:r>
      <w:r w:rsidRPr="000A6A9D">
        <w:t xml:space="preserve"> Five minutes after completing the mouth rinse, participants will consume 50 g of white bread </w:t>
      </w:r>
      <w:r w:rsidR="00FA46D6" w:rsidRPr="00D53297">
        <w:t>(Sainsbury's Supermarkets Ltd., Northern Ireland, UK)</w:t>
      </w:r>
      <w:r w:rsidR="00FA46D6">
        <w:t xml:space="preserve"> </w:t>
      </w:r>
      <w:r w:rsidRPr="000A6A9D">
        <w:t>with 40 g of strawberry jam</w:t>
      </w:r>
      <w:r w:rsidR="00FA46D6">
        <w:t xml:space="preserve"> </w:t>
      </w:r>
      <w:r w:rsidR="00FA46D6" w:rsidRPr="00D53297">
        <w:t>(Sainsbury's Supermarkets Ltd., London, UK)</w:t>
      </w:r>
      <w:r w:rsidRPr="000A6A9D">
        <w:t>.</w:t>
      </w:r>
    </w:p>
    <w:p w14:paraId="772197D6" w14:textId="1C352DAE" w:rsidR="000A6A9D" w:rsidRPr="000A6A9D" w:rsidRDefault="000A6A9D" w:rsidP="005C29F1">
      <w:r w:rsidRPr="000A6A9D">
        <w:rPr>
          <w:b/>
          <w:bCs/>
        </w:rPr>
        <w:t>Postprandial blood glucose</w:t>
      </w:r>
      <w:r w:rsidR="00291215">
        <w:rPr>
          <w:b/>
          <w:bCs/>
        </w:rPr>
        <w:t>.</w:t>
      </w:r>
      <w:r w:rsidRPr="000A6A9D">
        <w:t xml:space="preserve"> Capillary blood glucose will be measured at 15, 30, 45, 60, 90 and 120 minutes following consumption of the meal.</w:t>
      </w:r>
    </w:p>
    <w:p w14:paraId="5ECAF466" w14:textId="77777777" w:rsidR="000A6A9D" w:rsidRPr="000A6A9D" w:rsidRDefault="000A6A9D" w:rsidP="005C29F1">
      <w:r w:rsidRPr="000A6A9D">
        <w:rPr>
          <w:b/>
          <w:bCs/>
        </w:rPr>
        <w:t>Postprandial saliva collection:</w:t>
      </w:r>
      <w:r w:rsidRPr="000A6A9D">
        <w:t xml:space="preserve"> A second unstimulated saliva sample will be collected at the end of the 120-minute postprandial period and processed and stored according to the same procedures used for the baseline sample.</w:t>
      </w:r>
    </w:p>
    <w:p w14:paraId="2B0ED4D5" w14:textId="287D5349" w:rsidR="000A6A9D" w:rsidRPr="000A6A9D" w:rsidRDefault="000A6A9D" w:rsidP="000A6A9D">
      <w:r w:rsidRPr="0023433D">
        <w:t xml:space="preserve">A washout period of </w:t>
      </w:r>
      <w:r w:rsidRPr="0023433D">
        <w:rPr>
          <w:b/>
          <w:bCs/>
        </w:rPr>
        <w:t xml:space="preserve">at least </w:t>
      </w:r>
      <w:r w:rsidR="00FA46D6" w:rsidRPr="0023433D">
        <w:rPr>
          <w:b/>
          <w:bCs/>
        </w:rPr>
        <w:t>48</w:t>
      </w:r>
      <w:r w:rsidRPr="0023433D">
        <w:t xml:space="preserve"> hours will separate the two experimental sessions.</w:t>
      </w:r>
    </w:p>
    <w:p w14:paraId="75B0F4BD" w14:textId="77777777" w:rsidR="00D6256D" w:rsidRDefault="00D6256D" w:rsidP="007C5796"/>
    <w:p w14:paraId="0904AEC6" w14:textId="0B684018" w:rsidR="00B360CA" w:rsidRPr="00B360CA" w:rsidRDefault="00B360CA" w:rsidP="00B360CA">
      <w:pPr>
        <w:rPr>
          <w:i/>
          <w:iCs/>
        </w:rPr>
      </w:pPr>
      <w:r w:rsidRPr="00B360CA">
        <w:rPr>
          <w:i/>
          <w:iCs/>
        </w:rPr>
        <w:t xml:space="preserve">Statistical </w:t>
      </w:r>
      <w:r>
        <w:rPr>
          <w:i/>
          <w:iCs/>
        </w:rPr>
        <w:t>a</w:t>
      </w:r>
      <w:r w:rsidRPr="00B360CA">
        <w:rPr>
          <w:i/>
          <w:iCs/>
        </w:rPr>
        <w:t>nalysis</w:t>
      </w:r>
    </w:p>
    <w:p w14:paraId="13B1951C" w14:textId="77777777" w:rsidR="00B360CA" w:rsidRPr="00B360CA" w:rsidRDefault="00B360CA" w:rsidP="00B360CA">
      <w:r w:rsidRPr="00B360CA">
        <w:t>Data will be assessed for distributional assumptions before statistical analysis.</w:t>
      </w:r>
    </w:p>
    <w:p w14:paraId="1EB208F9" w14:textId="77777777" w:rsidR="00B360CA" w:rsidRPr="00B360CA" w:rsidRDefault="00B360CA" w:rsidP="00B360CA">
      <w:r w:rsidRPr="00B360CA">
        <w:lastRenderedPageBreak/>
        <w:t>Postprandial blood glucose concentrations will be analysed using a repeated-measures approach to examine the effects of treatment, time, and the treatment × time interaction.</w:t>
      </w:r>
    </w:p>
    <w:p w14:paraId="2F0EFBF8" w14:textId="77777777" w:rsidR="00B360CA" w:rsidRPr="00B360CA" w:rsidRDefault="00B360CA" w:rsidP="00B360CA">
      <w:r w:rsidRPr="00B360CA">
        <w:t>The incremental area under the curve (</w:t>
      </w:r>
      <w:proofErr w:type="spellStart"/>
      <w:r w:rsidRPr="00B360CA">
        <w:t>iAUC</w:t>
      </w:r>
      <w:proofErr w:type="spellEnd"/>
      <w:r w:rsidRPr="00B360CA">
        <w:t xml:space="preserve">) for blood glucose over the 120-minute postprandial period will be calculated relative to baseline for each experimental condition. The glucose </w:t>
      </w:r>
      <w:proofErr w:type="spellStart"/>
      <w:r w:rsidRPr="00B360CA">
        <w:t>iAUC</w:t>
      </w:r>
      <w:proofErr w:type="spellEnd"/>
      <w:r w:rsidRPr="00B360CA">
        <w:t xml:space="preserve"> will then be compared between the chlorhexidine and placebo conditions using an appropriate paired statistical test.</w:t>
      </w:r>
    </w:p>
    <w:p w14:paraId="6CE525D1" w14:textId="77777777" w:rsidR="00B360CA" w:rsidRPr="00B360CA" w:rsidRDefault="00B360CA" w:rsidP="00B360CA">
      <w:r w:rsidRPr="00B360CA">
        <w:t xml:space="preserve">Changes in salivary </w:t>
      </w:r>
      <w:r w:rsidRPr="00B360CA">
        <w:rPr>
          <w:rFonts w:ascii="Calibri" w:hAnsi="Calibri" w:cs="Calibri"/>
        </w:rPr>
        <w:t>α</w:t>
      </w:r>
      <w:r w:rsidRPr="00B360CA">
        <w:t>-amylase activity from baseline to post-intervention will also be compared between experimental conditions using appropriate repeated-measures or paired analyses.</w:t>
      </w:r>
    </w:p>
    <w:p w14:paraId="2DE8C321" w14:textId="77777777" w:rsidR="00B360CA" w:rsidRPr="00B360CA" w:rsidRDefault="00B360CA" w:rsidP="00B360CA">
      <w:r w:rsidRPr="00B360CA">
        <w:t xml:space="preserve">Normality and other relevant assumptions will be assessed. Where parametric assumptions are not met, appropriate transformations or non-parametric alternatives will be considered. Statistical significance will be set at </w:t>
      </w:r>
      <w:r w:rsidRPr="00B360CA">
        <w:rPr>
          <w:i/>
          <w:iCs/>
        </w:rPr>
        <w:t>p</w:t>
      </w:r>
      <w:r w:rsidRPr="00B360CA">
        <w:t xml:space="preserve"> &lt; 0.05.</w:t>
      </w:r>
    </w:p>
    <w:p w14:paraId="712B7A0C" w14:textId="4CE3C3E4" w:rsidR="00FC7A9D" w:rsidRDefault="00FA46D6" w:rsidP="00DF7FEA">
      <w:pPr>
        <w:rPr>
          <w:color w:val="0070C0"/>
        </w:rPr>
      </w:pPr>
      <w:r w:rsidRPr="005C5F09">
        <w:t>Sample size calculation w</w:t>
      </w:r>
      <w:r>
        <w:t>ill be calculated using</w:t>
      </w:r>
      <w:r w:rsidRPr="005C5F09">
        <w:t xml:space="preserve"> preliminary data from our research group, show</w:t>
      </w:r>
      <w:r>
        <w:t>ing</w:t>
      </w:r>
      <w:r w:rsidRPr="005C5F09">
        <w:t xml:space="preserve"> a mean glucose incremental area under the curve (</w:t>
      </w:r>
      <w:proofErr w:type="spellStart"/>
      <w:r w:rsidRPr="005C5F09">
        <w:t>iAUC</w:t>
      </w:r>
      <w:proofErr w:type="spellEnd"/>
      <w:r w:rsidRPr="005C5F09">
        <w:t>) of 150 ± 48 mmol/L x min</w:t>
      </w:r>
      <w:r>
        <w:t xml:space="preserve"> in similar individuals</w:t>
      </w:r>
      <w:r w:rsidRPr="005C5F09">
        <w:t>. The study w</w:t>
      </w:r>
      <w:r>
        <w:t>ill be</w:t>
      </w:r>
      <w:r w:rsidRPr="005C5F09">
        <w:t xml:space="preserve"> powered to detect a minimum between-group difference of 20% in glucose </w:t>
      </w:r>
      <w:proofErr w:type="spellStart"/>
      <w:r w:rsidRPr="005C5F09">
        <w:t>iAUC</w:t>
      </w:r>
      <w:proofErr w:type="spellEnd"/>
      <w:r w:rsidRPr="005C5F09">
        <w:t>. Sample size estimation w</w:t>
      </w:r>
      <w:r>
        <w:t>ill be</w:t>
      </w:r>
      <w:r w:rsidRPr="005C5F09">
        <w:t xml:space="preserve"> performed using the </w:t>
      </w:r>
      <w:proofErr w:type="spellStart"/>
      <w:r w:rsidRPr="005C5F09">
        <w:t>ClinCalc</w:t>
      </w:r>
      <w:proofErr w:type="spellEnd"/>
      <w:r w:rsidRPr="005C5F09">
        <w:t xml:space="preserve"> online sample size calculator (ClinCalc.com), assuming 80% statistical power and a two-sided significance level of 0.05 (95% confidence level). Based on these assumptions, a minimum sample size of 45 participants w</w:t>
      </w:r>
      <w:r>
        <w:t>ill be</w:t>
      </w:r>
      <w:r w:rsidRPr="005C5F09">
        <w:t xml:space="preserve"> required.</w:t>
      </w:r>
    </w:p>
    <w:p w14:paraId="4FDE41BF" w14:textId="77777777" w:rsidR="00C62F00" w:rsidRDefault="00C62F00" w:rsidP="000C4B22">
      <w:pPr>
        <w:rPr>
          <w:color w:val="0070C0"/>
        </w:rPr>
      </w:pPr>
    </w:p>
    <w:p w14:paraId="20C4C33C" w14:textId="6E1C22BD" w:rsidR="002044B3" w:rsidRPr="002044B3" w:rsidRDefault="002044B3" w:rsidP="00997486">
      <w:pPr>
        <w:rPr>
          <w:b/>
          <w:bCs/>
        </w:rPr>
      </w:pPr>
      <w:r w:rsidRPr="002044B3">
        <w:rPr>
          <w:b/>
          <w:bCs/>
        </w:rPr>
        <w:t>Recruitment</w:t>
      </w:r>
    </w:p>
    <w:p w14:paraId="3D921865" w14:textId="3D953E62" w:rsidR="002044B3" w:rsidRPr="002044B3" w:rsidRDefault="002044B3" w:rsidP="002044B3">
      <w:r w:rsidRPr="00FA46D6">
        <w:t>The researchers will recruit healthy participants across the School of Health Professions and the University of Plymouth, aiming to</w:t>
      </w:r>
      <w:r w:rsidR="002B152A" w:rsidRPr="00FA46D6">
        <w:t xml:space="preserve"> </w:t>
      </w:r>
      <w:r w:rsidRPr="00FA46D6">
        <w:t>recruit a 50/50 gender split, although this may not be achievable. Participants will be recruited through word of mouth, sending emails</w:t>
      </w:r>
      <w:r w:rsidR="002B152A" w:rsidRPr="00FA46D6">
        <w:t xml:space="preserve"> </w:t>
      </w:r>
      <w:r w:rsidRPr="00FA46D6">
        <w:t xml:space="preserve">to the student community and professors </w:t>
      </w:r>
      <w:proofErr w:type="gramStart"/>
      <w:r w:rsidRPr="00FA46D6">
        <w:t>of</w:t>
      </w:r>
      <w:proofErr w:type="gramEnd"/>
      <w:r w:rsidRPr="00FA46D6">
        <w:t xml:space="preserve"> the School of Health Professions, using posters,</w:t>
      </w:r>
      <w:r w:rsidR="002B152A" w:rsidRPr="00FA46D6">
        <w:t xml:space="preserve"> </w:t>
      </w:r>
      <w:r w:rsidRPr="00FA46D6">
        <w:t>advertising the study on social media.</w:t>
      </w:r>
    </w:p>
    <w:p w14:paraId="7C086AA3" w14:textId="77777777" w:rsidR="000E5F9C" w:rsidRDefault="000E5F9C" w:rsidP="002044B3"/>
    <w:p w14:paraId="28ED9391" w14:textId="77D71747" w:rsidR="000E5F9C" w:rsidRDefault="000E5F9C" w:rsidP="002044B3">
      <w:pPr>
        <w:rPr>
          <w:b/>
          <w:bCs/>
        </w:rPr>
      </w:pPr>
      <w:r w:rsidRPr="000E5F9C">
        <w:rPr>
          <w:b/>
          <w:bCs/>
        </w:rPr>
        <w:t>Ethical aspects of research</w:t>
      </w:r>
    </w:p>
    <w:p w14:paraId="6A5BAAE5" w14:textId="6CDB26A3" w:rsidR="00AF3B5A" w:rsidRPr="00AF3B5A" w:rsidRDefault="00AF3B5A" w:rsidP="002044B3">
      <w:pPr>
        <w:rPr>
          <w:i/>
          <w:iCs/>
        </w:rPr>
      </w:pPr>
      <w:r w:rsidRPr="00AF3B5A">
        <w:rPr>
          <w:i/>
          <w:iCs/>
        </w:rPr>
        <w:t>Informed consent</w:t>
      </w:r>
    </w:p>
    <w:p w14:paraId="204D88DD" w14:textId="0EEE2D77" w:rsidR="00AF3B5A" w:rsidRDefault="00AF3B5A" w:rsidP="00AF3B5A">
      <w:r w:rsidRPr="00AF3B5A">
        <w:t>The subject of this study is healthy adults, so they have full capacity to consent. Before attending the first experiment in the</w:t>
      </w:r>
      <w:r>
        <w:t xml:space="preserve"> </w:t>
      </w:r>
      <w:r w:rsidRPr="00AF3B5A">
        <w:t>laboratory, a person who decides to take part will be asked to sign an electronic copy of the consent form via JISC Online Survey.</w:t>
      </w:r>
    </w:p>
    <w:p w14:paraId="38DDF654" w14:textId="55CC9EFE" w:rsidR="00AF3B5A" w:rsidRDefault="00AF3B5A" w:rsidP="00AF3B5A">
      <w:pPr>
        <w:rPr>
          <w:i/>
          <w:iCs/>
        </w:rPr>
      </w:pPr>
      <w:r w:rsidRPr="00AF3B5A">
        <w:rPr>
          <w:i/>
          <w:iCs/>
        </w:rPr>
        <w:t>Equality and Diversity</w:t>
      </w:r>
    </w:p>
    <w:p w14:paraId="22B1926B" w14:textId="79D51152" w:rsidR="00472125" w:rsidRPr="00472125" w:rsidRDefault="00472125" w:rsidP="00472125">
      <w:r w:rsidRPr="00472125">
        <w:lastRenderedPageBreak/>
        <w:t>Throughout this research we aim to uphold the values set out by the University of Plymouth in their Equality and Diversity policy and</w:t>
      </w:r>
      <w:r w:rsidR="003C5F02">
        <w:t xml:space="preserve"> </w:t>
      </w:r>
      <w:r w:rsidRPr="00472125">
        <w:t>we understand that research has the power to both expose and exacerbate health inequalities that exist across society.</w:t>
      </w:r>
    </w:p>
    <w:p w14:paraId="4C27E47D" w14:textId="2722927B" w:rsidR="00472125" w:rsidRPr="00472125" w:rsidRDefault="00472125" w:rsidP="00472125">
      <w:r w:rsidRPr="00472125">
        <w:t>We aim to recruit people from across the University of Plymouth which is rich with students from different geographical, social and</w:t>
      </w:r>
      <w:r w:rsidR="003C5F02">
        <w:t xml:space="preserve"> </w:t>
      </w:r>
      <w:r w:rsidRPr="00472125">
        <w:t>ethnic backgrounds. We will aim to recruit participants from across this spectrum. Recruitment will be conducted through word of</w:t>
      </w:r>
      <w:r w:rsidR="003C5F02">
        <w:t xml:space="preserve"> </w:t>
      </w:r>
      <w:r w:rsidRPr="00472125">
        <w:t>mouth, sending emails, using posters, advertising on social media circulated across the school. Emails are a medium through which all</w:t>
      </w:r>
      <w:r w:rsidR="003C5F02">
        <w:t xml:space="preserve"> </w:t>
      </w:r>
      <w:r w:rsidRPr="00472125">
        <w:t>members of the university community have access to, meaning that an equal awareness of the project and the opportunity to take</w:t>
      </w:r>
      <w:r w:rsidR="003C5F02">
        <w:t xml:space="preserve"> </w:t>
      </w:r>
      <w:r w:rsidRPr="00472125">
        <w:t>part will be provided to all.</w:t>
      </w:r>
    </w:p>
    <w:p w14:paraId="6D85E227" w14:textId="353B1772" w:rsidR="00472125" w:rsidRPr="00472125" w:rsidRDefault="00472125" w:rsidP="00472125">
      <w:r w:rsidRPr="00472125">
        <w:t>We are aware that research can often exclude those who do not have English as their first language without a translator being</w:t>
      </w:r>
      <w:r w:rsidR="003C5F02">
        <w:t xml:space="preserve"> </w:t>
      </w:r>
      <w:r w:rsidRPr="00472125">
        <w:t>present. However, we do not believe this will be an issue here, given that a certain level of English is required to study or work in this</w:t>
      </w:r>
      <w:r w:rsidR="003C5F02">
        <w:t xml:space="preserve"> </w:t>
      </w:r>
      <w:r w:rsidRPr="00472125">
        <w:t>setting. As a result, this could help to reduce the inequalities that can exist within health and social care by being able to include these</w:t>
      </w:r>
      <w:r w:rsidR="003C5F02">
        <w:t xml:space="preserve"> </w:t>
      </w:r>
      <w:r w:rsidRPr="00472125">
        <w:t>individuals and enrich the health data obtained.</w:t>
      </w:r>
    </w:p>
    <w:p w14:paraId="0659FE0D" w14:textId="7A29D76B" w:rsidR="00472125" w:rsidRDefault="00472125" w:rsidP="00472125">
      <w:r w:rsidRPr="00472125">
        <w:t>The Equality Act of 2020 listed the following nine characteristics as ‘protected</w:t>
      </w:r>
      <w:r w:rsidR="003C5F02">
        <w:t xml:space="preserve"> </w:t>
      </w:r>
      <w:r w:rsidRPr="00472125">
        <w:t>characteristics’, where it is against the law to</w:t>
      </w:r>
      <w:r w:rsidR="003C5F02">
        <w:t xml:space="preserve"> </w:t>
      </w:r>
      <w:r w:rsidRPr="00472125">
        <w:t>discriminate against anyone because of age, disability, gender reassignment, marriage and civil partnership, pregnancy and</w:t>
      </w:r>
      <w:r w:rsidR="003C5F02">
        <w:t xml:space="preserve"> </w:t>
      </w:r>
      <w:r w:rsidRPr="00472125">
        <w:t xml:space="preserve">maternity, race, religion or belief, sex or sexual orientation. Our exclusion criteria </w:t>
      </w:r>
      <w:proofErr w:type="gramStart"/>
      <w:r w:rsidRPr="00472125">
        <w:t>involves</w:t>
      </w:r>
      <w:proofErr w:type="gramEnd"/>
      <w:r w:rsidRPr="00472125">
        <w:t xml:space="preserve"> not allowing participants who are over the</w:t>
      </w:r>
      <w:r w:rsidR="003C5F02">
        <w:t xml:space="preserve"> </w:t>
      </w:r>
      <w:r w:rsidRPr="00472125">
        <w:t>age of 50 or who are pregnant/breastfeeding due to safety reasons or the potential to influence results. We will not discriminate or</w:t>
      </w:r>
      <w:r w:rsidR="003C5F02">
        <w:t xml:space="preserve"> </w:t>
      </w:r>
      <w:r w:rsidRPr="00472125">
        <w:t>exclude participants based on disability, gender reassignment, marriage and civil partnership, religion or belief, sex or sexual</w:t>
      </w:r>
      <w:r w:rsidR="003C5F02">
        <w:t xml:space="preserve"> </w:t>
      </w:r>
      <w:r w:rsidRPr="00472125">
        <w:t>orientation. We aim to recruit a diverse range of participants in the hope that the results obtained can enrich data available within the</w:t>
      </w:r>
      <w:r w:rsidR="003C5F02">
        <w:t xml:space="preserve"> </w:t>
      </w:r>
      <w:r w:rsidRPr="00472125">
        <w:t>scientific</w:t>
      </w:r>
      <w:r w:rsidR="003C5F02">
        <w:t xml:space="preserve"> </w:t>
      </w:r>
      <w:r w:rsidRPr="00472125">
        <w:t>community, contribute to equal representation and reduce healthcare inequalities in research.</w:t>
      </w:r>
    </w:p>
    <w:p w14:paraId="5AE40AAD" w14:textId="77777777" w:rsidR="008C2663" w:rsidRDefault="008C2663" w:rsidP="00472125"/>
    <w:p w14:paraId="6A7BDDAC" w14:textId="06FAA948" w:rsidR="008C2663" w:rsidRPr="00A017FD" w:rsidRDefault="008C2663" w:rsidP="00472125">
      <w:pPr>
        <w:rPr>
          <w:i/>
          <w:iCs/>
        </w:rPr>
      </w:pPr>
      <w:r w:rsidRPr="00A017FD">
        <w:rPr>
          <w:i/>
          <w:iCs/>
        </w:rPr>
        <w:t>Openness and Honesty</w:t>
      </w:r>
    </w:p>
    <w:p w14:paraId="6C91C1BD" w14:textId="106CC61C" w:rsidR="00A017FD" w:rsidRDefault="00A017FD" w:rsidP="00A017FD">
      <w:r w:rsidRPr="00A017FD">
        <w:t>Potential participants will be provided with an information sheet that gives transparent details about the research they would be</w:t>
      </w:r>
      <w:r>
        <w:t xml:space="preserve"> </w:t>
      </w:r>
      <w:r w:rsidRPr="00A017FD">
        <w:t>involved in, the process they would go through and how information they give will be utilised. At the end of this form there are three</w:t>
      </w:r>
      <w:r>
        <w:t xml:space="preserve"> </w:t>
      </w:r>
      <w:r w:rsidRPr="00A017FD">
        <w:t>contact email addresses for the principal researchers which they may use at any time to clarify any doubts about taking part. At the</w:t>
      </w:r>
      <w:r>
        <w:t xml:space="preserve"> </w:t>
      </w:r>
      <w:r w:rsidRPr="00A017FD">
        <w:t>time of data collection, laboratory technicians who are impartial to the investigation will also be present.</w:t>
      </w:r>
    </w:p>
    <w:p w14:paraId="595F2AB2" w14:textId="77777777" w:rsidR="002D1687" w:rsidRDefault="002D1687" w:rsidP="00A017FD"/>
    <w:p w14:paraId="2C60FCA5" w14:textId="07F82358" w:rsidR="00FA46D6" w:rsidRDefault="00F43BF4" w:rsidP="00A017FD">
      <w:r>
        <w:t xml:space="preserve">Withdraw </w:t>
      </w:r>
    </w:p>
    <w:p w14:paraId="402EA43C" w14:textId="1436BABC" w:rsidR="00347A3F" w:rsidRPr="00347A3F" w:rsidRDefault="00347A3F" w:rsidP="00347A3F">
      <w:r w:rsidRPr="00347A3F">
        <w:t xml:space="preserve">Participants </w:t>
      </w:r>
      <w:r w:rsidR="001A4B8A">
        <w:t>will be</w:t>
      </w:r>
      <w:r w:rsidRPr="00347A3F">
        <w:t xml:space="preserve"> allowed to withdraw from the study at any time and for any reason without penalty. Potential participants will be</w:t>
      </w:r>
      <w:r w:rsidR="001A4B8A">
        <w:t xml:space="preserve"> </w:t>
      </w:r>
      <w:r w:rsidRPr="00347A3F">
        <w:t xml:space="preserve">informed clearly about this right to withdraw </w:t>
      </w:r>
      <w:r w:rsidRPr="00347A3F">
        <w:lastRenderedPageBreak/>
        <w:t>before they decide to give consent or not. This rule of withdrawal is also stated clearly on</w:t>
      </w:r>
      <w:r w:rsidR="001A4B8A">
        <w:t xml:space="preserve"> </w:t>
      </w:r>
      <w:r w:rsidRPr="00347A3F">
        <w:t>both “Information sheet for participants” and “Participant consent form”.</w:t>
      </w:r>
    </w:p>
    <w:p w14:paraId="59A8B2B1" w14:textId="77777777" w:rsidR="00F43BF4" w:rsidRDefault="00F43BF4" w:rsidP="00A017FD"/>
    <w:p w14:paraId="3B5F264A" w14:textId="469D07A1" w:rsidR="005A31E1" w:rsidRDefault="005A31E1" w:rsidP="00A017FD">
      <w:pPr>
        <w:rPr>
          <w:b/>
          <w:bCs/>
        </w:rPr>
      </w:pPr>
      <w:r w:rsidRPr="00872787">
        <w:rPr>
          <w:b/>
          <w:bCs/>
        </w:rPr>
        <w:t>References</w:t>
      </w:r>
    </w:p>
    <w:p w14:paraId="28CCD389" w14:textId="77777777" w:rsidR="006A75CE" w:rsidRPr="006A75CE" w:rsidRDefault="006A75CE" w:rsidP="006A75CE">
      <w:r w:rsidRPr="006A75CE">
        <w:t>Frayn, K. N. (2010). Metabolic regulation: A human perspective (3rd ed.). Wiley-Blackwell.</w:t>
      </w:r>
    </w:p>
    <w:p w14:paraId="47FE3811" w14:textId="6D9419EB" w:rsidR="001D649B" w:rsidRDefault="001D649B" w:rsidP="00872787">
      <w:r w:rsidRPr="001D649B">
        <w:t xml:space="preserve">Jenkinson, H. F. (2011). Beyond the oral microbiome. </w:t>
      </w:r>
      <w:r w:rsidRPr="001D649B">
        <w:rPr>
          <w:i/>
          <w:iCs/>
        </w:rPr>
        <w:t>Environmental Microbiology, 13</w:t>
      </w:r>
      <w:r w:rsidRPr="001D649B">
        <w:t xml:space="preserve">(12), 3077–3087. </w:t>
      </w:r>
      <w:hyperlink r:id="rId5" w:history="1">
        <w:r w:rsidRPr="009E150F">
          <w:rPr>
            <w:rStyle w:val="Hyperlink"/>
          </w:rPr>
          <w:t>https://doi.org/10.1111/j.1462-2920.2011.02573.x</w:t>
        </w:r>
      </w:hyperlink>
    </w:p>
    <w:p w14:paraId="2AF7D04A" w14:textId="77777777" w:rsidR="001D649B" w:rsidRPr="001D649B" w:rsidRDefault="001D649B" w:rsidP="001D649B">
      <w:r w:rsidRPr="001D649B">
        <w:t xml:space="preserve">Kilian, M., Chapple, I. L. C., Hannig, M., Marsh, P. D., Meuric, V., Pedersen, A. M. L., Tonetti, M. S., Wade, W. G., &amp; </w:t>
      </w:r>
      <w:proofErr w:type="spellStart"/>
      <w:r w:rsidRPr="001D649B">
        <w:t>Zaura</w:t>
      </w:r>
      <w:proofErr w:type="spellEnd"/>
      <w:r w:rsidRPr="001D649B">
        <w:t xml:space="preserve">, E. (2016). The oral microbiome – an update for oral healthcare professionals. </w:t>
      </w:r>
      <w:r w:rsidRPr="001D649B">
        <w:rPr>
          <w:i/>
          <w:iCs/>
        </w:rPr>
        <w:t>British Dental Journal, 221</w:t>
      </w:r>
      <w:r w:rsidRPr="001D649B">
        <w:t xml:space="preserve">(10), 657–666. https://doi.org/10.1038/sj.bdj.2016.865 </w:t>
      </w:r>
    </w:p>
    <w:sectPr w:rsidR="001D649B" w:rsidRPr="001D64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A3C"/>
    <w:multiLevelType w:val="multilevel"/>
    <w:tmpl w:val="B96CF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56EB0"/>
    <w:multiLevelType w:val="multilevel"/>
    <w:tmpl w:val="26DC1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CA62DB"/>
    <w:multiLevelType w:val="hybridMultilevel"/>
    <w:tmpl w:val="532E86C8"/>
    <w:lvl w:ilvl="0" w:tplc="34D8C8B4">
      <w:start w:val="1"/>
      <w:numFmt w:val="decimal"/>
      <w:lvlText w:val="%1."/>
      <w:lvlJc w:val="left"/>
      <w:pPr>
        <w:ind w:left="1440" w:hanging="360"/>
      </w:pPr>
    </w:lvl>
    <w:lvl w:ilvl="1" w:tplc="3E2222B2">
      <w:start w:val="1"/>
      <w:numFmt w:val="decimal"/>
      <w:lvlText w:val="%2."/>
      <w:lvlJc w:val="left"/>
      <w:pPr>
        <w:ind w:left="1440" w:hanging="360"/>
      </w:pPr>
    </w:lvl>
    <w:lvl w:ilvl="2" w:tplc="6AE41B18">
      <w:start w:val="1"/>
      <w:numFmt w:val="decimal"/>
      <w:lvlText w:val="%3."/>
      <w:lvlJc w:val="left"/>
      <w:pPr>
        <w:ind w:left="1440" w:hanging="360"/>
      </w:pPr>
    </w:lvl>
    <w:lvl w:ilvl="3" w:tplc="D35E3E46">
      <w:start w:val="1"/>
      <w:numFmt w:val="decimal"/>
      <w:lvlText w:val="%4."/>
      <w:lvlJc w:val="left"/>
      <w:pPr>
        <w:ind w:left="1440" w:hanging="360"/>
      </w:pPr>
    </w:lvl>
    <w:lvl w:ilvl="4" w:tplc="52B6849C">
      <w:start w:val="1"/>
      <w:numFmt w:val="decimal"/>
      <w:lvlText w:val="%5."/>
      <w:lvlJc w:val="left"/>
      <w:pPr>
        <w:ind w:left="1440" w:hanging="360"/>
      </w:pPr>
    </w:lvl>
    <w:lvl w:ilvl="5" w:tplc="FA1CB1EA">
      <w:start w:val="1"/>
      <w:numFmt w:val="decimal"/>
      <w:lvlText w:val="%6."/>
      <w:lvlJc w:val="left"/>
      <w:pPr>
        <w:ind w:left="1440" w:hanging="360"/>
      </w:pPr>
    </w:lvl>
    <w:lvl w:ilvl="6" w:tplc="11B4A130">
      <w:start w:val="1"/>
      <w:numFmt w:val="decimal"/>
      <w:lvlText w:val="%7."/>
      <w:lvlJc w:val="left"/>
      <w:pPr>
        <w:ind w:left="1440" w:hanging="360"/>
      </w:pPr>
    </w:lvl>
    <w:lvl w:ilvl="7" w:tplc="5510A58C">
      <w:start w:val="1"/>
      <w:numFmt w:val="decimal"/>
      <w:lvlText w:val="%8."/>
      <w:lvlJc w:val="left"/>
      <w:pPr>
        <w:ind w:left="1440" w:hanging="360"/>
      </w:pPr>
    </w:lvl>
    <w:lvl w:ilvl="8" w:tplc="904AF1B2">
      <w:start w:val="1"/>
      <w:numFmt w:val="decimal"/>
      <w:lvlText w:val="%9."/>
      <w:lvlJc w:val="left"/>
      <w:pPr>
        <w:ind w:left="1440" w:hanging="360"/>
      </w:pPr>
    </w:lvl>
  </w:abstractNum>
  <w:abstractNum w:abstractNumId="3" w15:restartNumberingAfterBreak="0">
    <w:nsid w:val="0FF14298"/>
    <w:multiLevelType w:val="multilevel"/>
    <w:tmpl w:val="E67A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92DFA"/>
    <w:multiLevelType w:val="multilevel"/>
    <w:tmpl w:val="F176D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C65BD0"/>
    <w:multiLevelType w:val="multilevel"/>
    <w:tmpl w:val="1DC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E7347"/>
    <w:multiLevelType w:val="multilevel"/>
    <w:tmpl w:val="7588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94C18"/>
    <w:multiLevelType w:val="multilevel"/>
    <w:tmpl w:val="F34EC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5F40AC"/>
    <w:multiLevelType w:val="multilevel"/>
    <w:tmpl w:val="87600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F60F65"/>
    <w:multiLevelType w:val="multilevel"/>
    <w:tmpl w:val="81C8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249D6"/>
    <w:multiLevelType w:val="multilevel"/>
    <w:tmpl w:val="9BC0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1621AF"/>
    <w:multiLevelType w:val="multilevel"/>
    <w:tmpl w:val="EF8A3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C55183"/>
    <w:multiLevelType w:val="multilevel"/>
    <w:tmpl w:val="877E9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0B3881"/>
    <w:multiLevelType w:val="multilevel"/>
    <w:tmpl w:val="FC0C2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3368383">
    <w:abstractNumId w:val="3"/>
  </w:num>
  <w:num w:numId="2" w16cid:durableId="2102212934">
    <w:abstractNumId w:val="12"/>
  </w:num>
  <w:num w:numId="3" w16cid:durableId="1627348889">
    <w:abstractNumId w:val="5"/>
  </w:num>
  <w:num w:numId="4" w16cid:durableId="968164857">
    <w:abstractNumId w:val="7"/>
  </w:num>
  <w:num w:numId="5" w16cid:durableId="1123697549">
    <w:abstractNumId w:val="11"/>
  </w:num>
  <w:num w:numId="6" w16cid:durableId="1440367493">
    <w:abstractNumId w:val="10"/>
  </w:num>
  <w:num w:numId="7" w16cid:durableId="1881503793">
    <w:abstractNumId w:val="1"/>
  </w:num>
  <w:num w:numId="8" w16cid:durableId="681975108">
    <w:abstractNumId w:val="8"/>
  </w:num>
  <w:num w:numId="9" w16cid:durableId="1710643033">
    <w:abstractNumId w:val="2"/>
  </w:num>
  <w:num w:numId="10" w16cid:durableId="1620186580">
    <w:abstractNumId w:val="4"/>
  </w:num>
  <w:num w:numId="11" w16cid:durableId="1472482977">
    <w:abstractNumId w:val="6"/>
  </w:num>
  <w:num w:numId="12" w16cid:durableId="275604234">
    <w:abstractNumId w:val="9"/>
  </w:num>
  <w:num w:numId="13" w16cid:durableId="1862891284">
    <w:abstractNumId w:val="13"/>
  </w:num>
  <w:num w:numId="14" w16cid:durableId="184015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75"/>
    <w:rsid w:val="0002358A"/>
    <w:rsid w:val="000812B1"/>
    <w:rsid w:val="000A6A9D"/>
    <w:rsid w:val="000C4948"/>
    <w:rsid w:val="000C4B22"/>
    <w:rsid w:val="000E5F9C"/>
    <w:rsid w:val="000F58EA"/>
    <w:rsid w:val="00135D3C"/>
    <w:rsid w:val="00147D82"/>
    <w:rsid w:val="001712A0"/>
    <w:rsid w:val="001814F1"/>
    <w:rsid w:val="001A4B8A"/>
    <w:rsid w:val="001D649B"/>
    <w:rsid w:val="001E0E18"/>
    <w:rsid w:val="001F64FF"/>
    <w:rsid w:val="002044B3"/>
    <w:rsid w:val="00224F42"/>
    <w:rsid w:val="0023433D"/>
    <w:rsid w:val="00291215"/>
    <w:rsid w:val="002B152A"/>
    <w:rsid w:val="002D1687"/>
    <w:rsid w:val="002D67C8"/>
    <w:rsid w:val="00311F4F"/>
    <w:rsid w:val="00347A3F"/>
    <w:rsid w:val="00382ABF"/>
    <w:rsid w:val="003C5F02"/>
    <w:rsid w:val="00415074"/>
    <w:rsid w:val="004604C9"/>
    <w:rsid w:val="00472125"/>
    <w:rsid w:val="004E4917"/>
    <w:rsid w:val="005235DE"/>
    <w:rsid w:val="005552A2"/>
    <w:rsid w:val="005A31E1"/>
    <w:rsid w:val="005C29F1"/>
    <w:rsid w:val="006165A0"/>
    <w:rsid w:val="00684182"/>
    <w:rsid w:val="006A5AA2"/>
    <w:rsid w:val="006A75CE"/>
    <w:rsid w:val="006B2E56"/>
    <w:rsid w:val="006B75FA"/>
    <w:rsid w:val="006C0EEC"/>
    <w:rsid w:val="006D3FEC"/>
    <w:rsid w:val="00732A3B"/>
    <w:rsid w:val="00781187"/>
    <w:rsid w:val="007C5796"/>
    <w:rsid w:val="00846F5A"/>
    <w:rsid w:val="00872787"/>
    <w:rsid w:val="00872A92"/>
    <w:rsid w:val="008C2663"/>
    <w:rsid w:val="009159D2"/>
    <w:rsid w:val="009242A4"/>
    <w:rsid w:val="00957922"/>
    <w:rsid w:val="009636CE"/>
    <w:rsid w:val="00997486"/>
    <w:rsid w:val="009C4C62"/>
    <w:rsid w:val="00A017FD"/>
    <w:rsid w:val="00A21300"/>
    <w:rsid w:val="00A874F7"/>
    <w:rsid w:val="00A95267"/>
    <w:rsid w:val="00AF3B5A"/>
    <w:rsid w:val="00B06AF9"/>
    <w:rsid w:val="00B12D70"/>
    <w:rsid w:val="00B13B33"/>
    <w:rsid w:val="00B165B0"/>
    <w:rsid w:val="00B35672"/>
    <w:rsid w:val="00B360CA"/>
    <w:rsid w:val="00B71ABB"/>
    <w:rsid w:val="00BD142D"/>
    <w:rsid w:val="00C030A7"/>
    <w:rsid w:val="00C107F4"/>
    <w:rsid w:val="00C2680A"/>
    <w:rsid w:val="00C32989"/>
    <w:rsid w:val="00C62F00"/>
    <w:rsid w:val="00CF1FE8"/>
    <w:rsid w:val="00D22254"/>
    <w:rsid w:val="00D6256D"/>
    <w:rsid w:val="00DA2BC4"/>
    <w:rsid w:val="00DD758B"/>
    <w:rsid w:val="00DF7FEA"/>
    <w:rsid w:val="00E175C3"/>
    <w:rsid w:val="00E66CE9"/>
    <w:rsid w:val="00EB53C2"/>
    <w:rsid w:val="00EB70F1"/>
    <w:rsid w:val="00F43BF4"/>
    <w:rsid w:val="00F73C31"/>
    <w:rsid w:val="00F92624"/>
    <w:rsid w:val="00F94A83"/>
    <w:rsid w:val="00F96BB0"/>
    <w:rsid w:val="00FA46D6"/>
    <w:rsid w:val="00FB5717"/>
    <w:rsid w:val="00FC7A9D"/>
    <w:rsid w:val="00FF1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2D1DC"/>
  <w15:chartTrackingRefBased/>
  <w15:docId w15:val="{0A79234F-289D-41AC-A5E6-89642919F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D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D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D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D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D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D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D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D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D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D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D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D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D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D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D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D75"/>
    <w:rPr>
      <w:rFonts w:eastAsiaTheme="majorEastAsia" w:cstheme="majorBidi"/>
      <w:color w:val="272727" w:themeColor="text1" w:themeTint="D8"/>
    </w:rPr>
  </w:style>
  <w:style w:type="paragraph" w:styleId="Title">
    <w:name w:val="Title"/>
    <w:basedOn w:val="Normal"/>
    <w:next w:val="Normal"/>
    <w:link w:val="TitleChar"/>
    <w:uiPriority w:val="10"/>
    <w:qFormat/>
    <w:rsid w:val="00FF1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D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D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D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D75"/>
    <w:pPr>
      <w:spacing w:before="160"/>
      <w:jc w:val="center"/>
    </w:pPr>
    <w:rPr>
      <w:i/>
      <w:iCs/>
      <w:color w:val="404040" w:themeColor="text1" w:themeTint="BF"/>
    </w:rPr>
  </w:style>
  <w:style w:type="character" w:customStyle="1" w:styleId="QuoteChar">
    <w:name w:val="Quote Char"/>
    <w:basedOn w:val="DefaultParagraphFont"/>
    <w:link w:val="Quote"/>
    <w:uiPriority w:val="29"/>
    <w:rsid w:val="00FF1D75"/>
    <w:rPr>
      <w:i/>
      <w:iCs/>
      <w:color w:val="404040" w:themeColor="text1" w:themeTint="BF"/>
    </w:rPr>
  </w:style>
  <w:style w:type="paragraph" w:styleId="ListParagraph">
    <w:name w:val="List Paragraph"/>
    <w:basedOn w:val="Normal"/>
    <w:uiPriority w:val="34"/>
    <w:qFormat/>
    <w:rsid w:val="00FF1D75"/>
    <w:pPr>
      <w:ind w:left="720"/>
      <w:contextualSpacing/>
    </w:pPr>
  </w:style>
  <w:style w:type="character" w:styleId="IntenseEmphasis">
    <w:name w:val="Intense Emphasis"/>
    <w:basedOn w:val="DefaultParagraphFont"/>
    <w:uiPriority w:val="21"/>
    <w:qFormat/>
    <w:rsid w:val="00FF1D75"/>
    <w:rPr>
      <w:i/>
      <w:iCs/>
      <w:color w:val="0F4761" w:themeColor="accent1" w:themeShade="BF"/>
    </w:rPr>
  </w:style>
  <w:style w:type="paragraph" w:styleId="IntenseQuote">
    <w:name w:val="Intense Quote"/>
    <w:basedOn w:val="Normal"/>
    <w:next w:val="Normal"/>
    <w:link w:val="IntenseQuoteChar"/>
    <w:uiPriority w:val="30"/>
    <w:qFormat/>
    <w:rsid w:val="00FF1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D75"/>
    <w:rPr>
      <w:i/>
      <w:iCs/>
      <w:color w:val="0F4761" w:themeColor="accent1" w:themeShade="BF"/>
    </w:rPr>
  </w:style>
  <w:style w:type="character" w:styleId="IntenseReference">
    <w:name w:val="Intense Reference"/>
    <w:basedOn w:val="DefaultParagraphFont"/>
    <w:uiPriority w:val="32"/>
    <w:qFormat/>
    <w:rsid w:val="00FF1D75"/>
    <w:rPr>
      <w:b/>
      <w:bCs/>
      <w:smallCaps/>
      <w:color w:val="0F4761" w:themeColor="accent1" w:themeShade="BF"/>
      <w:spacing w:val="5"/>
    </w:rPr>
  </w:style>
  <w:style w:type="character" w:styleId="Hyperlink">
    <w:name w:val="Hyperlink"/>
    <w:basedOn w:val="DefaultParagraphFont"/>
    <w:uiPriority w:val="99"/>
    <w:unhideWhenUsed/>
    <w:rsid w:val="00781187"/>
    <w:rPr>
      <w:color w:val="467886" w:themeColor="hyperlink"/>
      <w:u w:val="single"/>
    </w:rPr>
  </w:style>
  <w:style w:type="character" w:styleId="UnresolvedMention">
    <w:name w:val="Unresolved Mention"/>
    <w:basedOn w:val="DefaultParagraphFont"/>
    <w:uiPriority w:val="99"/>
    <w:semiHidden/>
    <w:unhideWhenUsed/>
    <w:rsid w:val="00781187"/>
    <w:rPr>
      <w:color w:val="605E5C"/>
      <w:shd w:val="clear" w:color="auto" w:fill="E1DFDD"/>
    </w:rPr>
  </w:style>
  <w:style w:type="character" w:styleId="CommentReference">
    <w:name w:val="annotation reference"/>
    <w:basedOn w:val="DefaultParagraphFont"/>
    <w:uiPriority w:val="99"/>
    <w:semiHidden/>
    <w:unhideWhenUsed/>
    <w:rsid w:val="00FB5717"/>
    <w:rPr>
      <w:sz w:val="16"/>
      <w:szCs w:val="16"/>
    </w:rPr>
  </w:style>
  <w:style w:type="paragraph" w:styleId="CommentText">
    <w:name w:val="annotation text"/>
    <w:basedOn w:val="Normal"/>
    <w:link w:val="CommentTextChar"/>
    <w:uiPriority w:val="99"/>
    <w:unhideWhenUsed/>
    <w:rsid w:val="00FB5717"/>
    <w:pPr>
      <w:spacing w:line="240" w:lineRule="auto"/>
    </w:pPr>
    <w:rPr>
      <w:sz w:val="20"/>
      <w:szCs w:val="20"/>
    </w:rPr>
  </w:style>
  <w:style w:type="character" w:customStyle="1" w:styleId="CommentTextChar">
    <w:name w:val="Comment Text Char"/>
    <w:basedOn w:val="DefaultParagraphFont"/>
    <w:link w:val="CommentText"/>
    <w:uiPriority w:val="99"/>
    <w:rsid w:val="00FB5717"/>
    <w:rPr>
      <w:sz w:val="20"/>
      <w:szCs w:val="20"/>
    </w:rPr>
  </w:style>
  <w:style w:type="paragraph" w:styleId="CommentSubject">
    <w:name w:val="annotation subject"/>
    <w:basedOn w:val="CommentText"/>
    <w:next w:val="CommentText"/>
    <w:link w:val="CommentSubjectChar"/>
    <w:uiPriority w:val="99"/>
    <w:semiHidden/>
    <w:unhideWhenUsed/>
    <w:rsid w:val="00FB5717"/>
    <w:rPr>
      <w:b/>
      <w:bCs/>
    </w:rPr>
  </w:style>
  <w:style w:type="character" w:customStyle="1" w:styleId="CommentSubjectChar">
    <w:name w:val="Comment Subject Char"/>
    <w:basedOn w:val="CommentTextChar"/>
    <w:link w:val="CommentSubject"/>
    <w:uiPriority w:val="99"/>
    <w:semiHidden/>
    <w:rsid w:val="00FB57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11/j.1462-2920.2011.02573.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1762</Words>
  <Characters>10045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Casas</dc:creator>
  <cp:keywords/>
  <dc:description/>
  <cp:lastModifiedBy>Raul Bescos</cp:lastModifiedBy>
  <cp:revision>6</cp:revision>
  <dcterms:created xsi:type="dcterms:W3CDTF">2026-09-20T18:23:00Z</dcterms:created>
  <dcterms:modified xsi:type="dcterms:W3CDTF">2026-09-21T11:26:00Z</dcterms:modified>
</cp:coreProperties>
</file>