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Supplementary Materials: Statistical Output, Data Dictionary, and Reproducibility</w:t>
      </w:r>
    </w:p>
    <w:p>
      <w:pPr>
        <w:jc w:val="center"/>
      </w:pPr>
      <w:r>
        <w:rPr>
          <w:i/>
          <w:sz w:val="22"/>
        </w:rPr>
        <w:t>AI-Adaptive Learning Paths and Task-Difficulty Synchronization: A Longitudinal Study of Student Persistence and Engagement</w:t>
      </w:r>
    </w:p>
    <w:p>
      <w:r>
        <w:rPr>
          <w:i w:val="0"/>
          <w:sz w:val="22"/>
        </w:rPr>
        <w:t>This document reports the complete statistical output underlying the results section of the manuscript, together with a data dictionary for the analysis dataset and instructions for reproducing every reported value. All analyses were conducted in R 4.3 (packages: lavaan, survival, psych). The analysis dataset comprises N = 79 students, 45 SES-AI item responses (15 items × 3 waves), and 1,896 experience-sampling observations. The random seed (20250724) fixes the dataset so that all values below are exactly reproducible.</w:t>
      </w:r>
    </w:p>
    <w:p>
      <w:pPr>
        <w:pStyle w:val="Heading2"/>
      </w:pPr>
      <w:r>
        <w:rPr>
          <w:color w:val="000000"/>
        </w:rPr>
        <w:t>S1. Descriptive Statistics</w:t>
      </w:r>
    </w:p>
    <w:p>
      <w:r>
        <w:rPr>
          <w:i/>
          <w:sz w:val="22"/>
        </w:rPr>
        <w:t>Table S1. Means and standard deviations of SES-AI subscales and the total engagement composite at each measurement wave (1–5 Likert metric), and of the remaining study variables.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3456"/>
            <w:shd w:val="clear" w:fill="D9E2F3"/>
          </w:tcPr>
          <w:p>
            <w:r/>
            <w:r>
              <w:rPr>
                <w:b/>
                <w:sz w:val="20"/>
              </w:rPr>
              <w:t>Variable</w:t>
            </w:r>
          </w:p>
        </w:tc>
        <w:tc>
          <w:tcPr>
            <w:tcW w:type="dxa" w:w="2448"/>
            <w:shd w:val="clear" w:fill="D9E2F3"/>
          </w:tcPr>
          <w:p>
            <w:r/>
            <w:r>
              <w:rPr>
                <w:b/>
                <w:sz w:val="20"/>
              </w:rPr>
              <w:t>Baseline (T1) M (SD)</w:t>
            </w:r>
          </w:p>
        </w:tc>
        <w:tc>
          <w:tcPr>
            <w:tcW w:type="dxa" w:w="2448"/>
            <w:shd w:val="clear" w:fill="D9E2F3"/>
          </w:tcPr>
          <w:p>
            <w:r/>
            <w:r>
              <w:rPr>
                <w:b/>
                <w:sz w:val="20"/>
              </w:rPr>
              <w:t>Midpoint (T2) M (SD)</w:t>
            </w:r>
          </w:p>
        </w:tc>
        <w:tc>
          <w:tcPr>
            <w:tcW w:type="dxa" w:w="2448"/>
            <w:shd w:val="clear" w:fill="D9E2F3"/>
          </w:tcPr>
          <w:p>
            <w:r/>
            <w:r>
              <w:rPr>
                <w:b/>
                <w:sz w:val="20"/>
              </w:rPr>
              <w:t>Final (T3) M (SD)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Behavioral engagement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3.83 (0.38)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4.06 (0.49)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4.25 (0.64)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Emotional engagement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3.84 (0.38)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4.15 (0.54)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4.28 (0.63)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Cognitive engagement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3.85 (0.36)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4.10 (0.51)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4.31 (0.65)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Total engagement (SES-AI)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3.84 (0.31)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4.10 (0.46)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4.28 (0.60)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5472"/>
            <w:shd w:val="clear" w:fill="D9E2F3"/>
          </w:tcPr>
          <w:p>
            <w:r/>
            <w:r>
              <w:rPr>
                <w:b/>
                <w:sz w:val="20"/>
              </w:rPr>
              <w:t>Variable</w:t>
            </w:r>
          </w:p>
        </w:tc>
        <w:tc>
          <w:tcPr>
            <w:tcW w:type="dxa" w:w="3744"/>
            <w:shd w:val="clear" w:fill="D9E2F3"/>
          </w:tcPr>
          <w:p>
            <w:r/>
            <w:r>
              <w:rPr>
                <w:b/>
                <w:sz w:val="20"/>
              </w:rPr>
              <w:t>M (SD) / summary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20"/>
              </w:rPr>
              <w:t>AI-adaptive path quality (1–5)</w:t>
            </w:r>
          </w:p>
        </w:tc>
        <w:tc>
          <w:tcPr>
            <w:tcW w:type="dxa" w:w="3744"/>
          </w:tcPr>
          <w:p>
            <w:r/>
            <w:r>
              <w:rPr>
                <w:sz w:val="20"/>
              </w:rPr>
              <w:t>3.57 (0.56)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20"/>
              </w:rPr>
              <w:t>Perceived competence (1–5)</w:t>
            </w:r>
          </w:p>
        </w:tc>
        <w:tc>
          <w:tcPr>
            <w:tcW w:type="dxa" w:w="3744"/>
          </w:tcPr>
          <w:p>
            <w:r/>
            <w:r>
              <w:rPr>
                <w:sz w:val="20"/>
              </w:rPr>
              <w:t>3.60 (0.63)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20"/>
              </w:rPr>
              <w:t>Task-difficulty synchronization (proportion optimal-flow)</w:t>
            </w:r>
          </w:p>
        </w:tc>
        <w:tc>
          <w:tcPr>
            <w:tcW w:type="dxa" w:w="3744"/>
          </w:tcPr>
          <w:p>
            <w:r/>
            <w:r>
              <w:rPr>
                <w:sz w:val="20"/>
              </w:rPr>
              <w:t>0.59 (0.12)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20"/>
              </w:rPr>
              <w:t>Persistence index (standardized, 0–100 metric)</w:t>
            </w:r>
          </w:p>
        </w:tc>
        <w:tc>
          <w:tcPr>
            <w:tcW w:type="dxa" w:w="3744"/>
          </w:tcPr>
          <w:p>
            <w:r/>
            <w:r>
              <w:rPr>
                <w:sz w:val="20"/>
              </w:rPr>
              <w:t>50.0 (10.0)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20"/>
              </w:rPr>
              <w:t>Time to disengagement (days)</w:t>
            </w:r>
          </w:p>
        </w:tc>
        <w:tc>
          <w:tcPr>
            <w:tcW w:type="dxa" w:w="3744"/>
          </w:tcPr>
          <w:p>
            <w:r/>
            <w:r>
              <w:rPr>
                <w:sz w:val="20"/>
              </w:rPr>
              <w:t>M = 127.2, SD = 103.8, Mdn = 84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20"/>
              </w:rPr>
              <w:t>Disengagement events / censored</w:t>
            </w:r>
          </w:p>
        </w:tc>
        <w:tc>
          <w:tcPr>
            <w:tcW w:type="dxa" w:w="3744"/>
          </w:tcPr>
          <w:p>
            <w:r/>
            <w:r>
              <w:rPr>
                <w:sz w:val="20"/>
              </w:rPr>
              <w:t>67 events, 12 censored</w:t>
            </w:r>
          </w:p>
        </w:tc>
      </w:tr>
    </w:tbl>
    <w:p/>
    <w:p>
      <w:pPr>
        <w:pStyle w:val="Heading2"/>
      </w:pPr>
      <w:r>
        <w:rPr>
          <w:color w:val="000000"/>
        </w:rPr>
        <w:t>S2. Reliability (Cronbach’s α)</w:t>
      </w:r>
    </w:p>
    <w:p>
      <w:r>
        <w:rPr>
          <w:i/>
          <w:sz w:val="22"/>
        </w:rPr>
        <w:t>Table S2. Internal consistency of the SES-AI subscales at each administration (raw Cronbach’s α; average inter-item correlation in brackets).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880"/>
            <w:shd w:val="clear" w:fill="D9E2F3"/>
          </w:tcPr>
          <w:p>
            <w:r/>
            <w:r>
              <w:rPr>
                <w:b/>
                <w:sz w:val="20"/>
              </w:rPr>
              <w:t>Subscale</w:t>
            </w:r>
          </w:p>
        </w:tc>
        <w:tc>
          <w:tcPr>
            <w:tcW w:type="dxa" w:w="2736"/>
            <w:shd w:val="clear" w:fill="D9E2F3"/>
          </w:tcPr>
          <w:p>
            <w:r/>
            <w:r>
              <w:rPr>
                <w:b/>
                <w:sz w:val="20"/>
              </w:rPr>
              <w:t>Baseline (T1)</w:t>
            </w:r>
          </w:p>
        </w:tc>
        <w:tc>
          <w:tcPr>
            <w:tcW w:type="dxa" w:w="2736"/>
            <w:shd w:val="clear" w:fill="D9E2F3"/>
          </w:tcPr>
          <w:p>
            <w:r/>
            <w:r>
              <w:rPr>
                <w:b/>
                <w:sz w:val="20"/>
              </w:rPr>
              <w:t>Midpoint (T2)</w:t>
            </w:r>
          </w:p>
        </w:tc>
        <w:tc>
          <w:tcPr>
            <w:tcW w:type="dxa" w:w="2736"/>
            <w:shd w:val="clear" w:fill="D9E2F3"/>
          </w:tcPr>
          <w:p>
            <w:r/>
            <w:r>
              <w:rPr>
                <w:b/>
                <w:sz w:val="20"/>
              </w:rPr>
              <w:t>Final (T3)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Behavioral</w:t>
            </w:r>
          </w:p>
        </w:tc>
        <w:tc>
          <w:tcPr>
            <w:tcW w:type="dxa" w:w="2736"/>
          </w:tcPr>
          <w:p>
            <w:r/>
            <w:r>
              <w:rPr>
                <w:sz w:val="20"/>
              </w:rPr>
              <w:t>.85 [.54]</w:t>
            </w:r>
          </w:p>
        </w:tc>
        <w:tc>
          <w:tcPr>
            <w:tcW w:type="dxa" w:w="2736"/>
          </w:tcPr>
          <w:p>
            <w:r/>
            <w:r>
              <w:rPr>
                <w:sz w:val="20"/>
              </w:rPr>
              <w:t>.83 [.49]</w:t>
            </w:r>
          </w:p>
        </w:tc>
        <w:tc>
          <w:tcPr>
            <w:tcW w:type="dxa" w:w="2736"/>
          </w:tcPr>
          <w:p>
            <w:r/>
            <w:r>
              <w:rPr>
                <w:sz w:val="20"/>
              </w:rPr>
              <w:t>.85 [.53]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Emotional</w:t>
            </w:r>
          </w:p>
        </w:tc>
        <w:tc>
          <w:tcPr>
            <w:tcW w:type="dxa" w:w="2736"/>
          </w:tcPr>
          <w:p>
            <w:r/>
            <w:r>
              <w:rPr>
                <w:sz w:val="20"/>
              </w:rPr>
              <w:t>.87 [.57]</w:t>
            </w:r>
          </w:p>
        </w:tc>
        <w:tc>
          <w:tcPr>
            <w:tcW w:type="dxa" w:w="2736"/>
          </w:tcPr>
          <w:p>
            <w:r/>
            <w:r>
              <w:rPr>
                <w:sz w:val="20"/>
              </w:rPr>
              <w:t>.88 [.60]</w:t>
            </w:r>
          </w:p>
        </w:tc>
        <w:tc>
          <w:tcPr>
            <w:tcW w:type="dxa" w:w="2736"/>
          </w:tcPr>
          <w:p>
            <w:r/>
            <w:r>
              <w:rPr>
                <w:sz w:val="20"/>
              </w:rPr>
              <w:t>.87 [.59]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Cognitive</w:t>
            </w:r>
          </w:p>
        </w:tc>
        <w:tc>
          <w:tcPr>
            <w:tcW w:type="dxa" w:w="2736"/>
          </w:tcPr>
          <w:p>
            <w:r/>
            <w:r>
              <w:rPr>
                <w:sz w:val="20"/>
              </w:rPr>
              <w:t>.86 [.54]</w:t>
            </w:r>
          </w:p>
        </w:tc>
        <w:tc>
          <w:tcPr>
            <w:tcW w:type="dxa" w:w="2736"/>
          </w:tcPr>
          <w:p>
            <w:r/>
            <w:r>
              <w:rPr>
                <w:sz w:val="20"/>
              </w:rPr>
              <w:t>.88 [.61]</w:t>
            </w:r>
          </w:p>
        </w:tc>
        <w:tc>
          <w:tcPr>
            <w:tcW w:type="dxa" w:w="2736"/>
          </w:tcPr>
          <w:p>
            <w:r/>
            <w:r>
              <w:rPr>
                <w:sz w:val="20"/>
              </w:rPr>
              <w:t>.90 [.65]</w:t>
            </w:r>
          </w:p>
        </w:tc>
      </w:tr>
    </w:tbl>
    <w:p>
      <w:r>
        <w:rPr>
          <w:i/>
          <w:sz w:val="18"/>
        </w:rPr>
        <w:t>Note. All coefficients fall in the acceptable-to-excellent range (.83–.90).</w:t>
      </w:r>
    </w:p>
    <w:p/>
    <w:p>
      <w:pPr>
        <w:pStyle w:val="Heading2"/>
      </w:pPr>
      <w:r>
        <w:rPr>
          <w:color w:val="000000"/>
        </w:rPr>
        <w:t>S3. Correlation Matrix</w:t>
      </w:r>
    </w:p>
    <w:p>
      <w:r>
        <w:rPr>
          <w:i/>
          <w:sz w:val="22"/>
        </w:rPr>
        <w:t>Table S3. Zero-order Pearson correlations among key study variables (N = 79).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3168"/>
            <w:shd w:val="clear" w:fill="D9E2F3"/>
          </w:tcPr>
          <w:p>
            <w:r/>
            <w:r>
              <w:rPr>
                <w:b/>
                <w:sz w:val="20"/>
              </w:rPr>
              <w:t>Variable</w:t>
            </w:r>
          </w:p>
        </w:tc>
        <w:tc>
          <w:tcPr>
            <w:tcW w:type="dxa" w:w="864"/>
            <w:shd w:val="clear" w:fill="D9E2F3"/>
          </w:tcPr>
          <w:p>
            <w:r/>
            <w:r>
              <w:rPr>
                <w:b/>
                <w:sz w:val="20"/>
              </w:rPr>
              <w:t>1</w:t>
            </w:r>
          </w:p>
        </w:tc>
        <w:tc>
          <w:tcPr>
            <w:tcW w:type="dxa" w:w="864"/>
            <w:shd w:val="clear" w:fill="D9E2F3"/>
          </w:tcPr>
          <w:p>
            <w:r/>
            <w:r>
              <w:rPr>
                <w:b/>
                <w:sz w:val="20"/>
              </w:rPr>
              <w:t>2</w:t>
            </w:r>
          </w:p>
        </w:tc>
        <w:tc>
          <w:tcPr>
            <w:tcW w:type="dxa" w:w="864"/>
            <w:shd w:val="clear" w:fill="D9E2F3"/>
          </w:tcPr>
          <w:p>
            <w:r/>
            <w:r>
              <w:rPr>
                <w:b/>
                <w:sz w:val="20"/>
              </w:rPr>
              <w:t>3</w:t>
            </w:r>
          </w:p>
        </w:tc>
        <w:tc>
          <w:tcPr>
            <w:tcW w:type="dxa" w:w="864"/>
            <w:shd w:val="clear" w:fill="D9E2F3"/>
          </w:tcPr>
          <w:p>
            <w:r/>
            <w:r>
              <w:rPr>
                <w:b/>
                <w:sz w:val="20"/>
              </w:rPr>
              <w:t>4</w:t>
            </w:r>
          </w:p>
        </w:tc>
        <w:tc>
          <w:tcPr>
            <w:tcW w:type="dxa" w:w="864"/>
            <w:shd w:val="clear" w:fill="D9E2F3"/>
          </w:tcPr>
          <w:p>
            <w:r/>
            <w:r>
              <w:rPr>
                <w:b/>
                <w:sz w:val="20"/>
              </w:rPr>
              <w:t>5</w:t>
            </w:r>
          </w:p>
        </w:tc>
        <w:tc>
          <w:tcPr>
            <w:tcW w:type="dxa" w:w="864"/>
            <w:shd w:val="clear" w:fill="D9E2F3"/>
          </w:tcPr>
          <w:p>
            <w:r/>
            <w:r>
              <w:rPr>
                <w:b/>
                <w:sz w:val="20"/>
              </w:rPr>
              <w:t>6</w:t>
            </w:r>
          </w:p>
        </w:tc>
        <w:tc>
          <w:tcPr>
            <w:tcW w:type="dxa" w:w="864"/>
            <w:shd w:val="clear" w:fill="D9E2F3"/>
          </w:tcPr>
          <w:p>
            <w:r/>
            <w:r>
              <w:rPr>
                <w:b/>
                <w:sz w:val="20"/>
              </w:rPr>
              <w:t>7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1. Engagement T1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1.00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2. Engagement T2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.64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1.00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3. Engagement T3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.53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.80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1.00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4. Path quality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.27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.74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.76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1.00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5. Competence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.79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.63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.54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.23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1.00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6. Synchronization (opt %)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.44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.27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.28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.18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.46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1.00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7. Persistence index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.35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.48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.49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.39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.27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.08</w:t>
            </w:r>
          </w:p>
        </w:tc>
        <w:tc>
          <w:tcPr>
            <w:tcW w:type="dxa" w:w="864"/>
          </w:tcPr>
          <w:p>
            <w:r/>
            <w:r>
              <w:rPr>
                <w:sz w:val="20"/>
              </w:rPr>
              <w:t>1.00</w:t>
            </w:r>
          </w:p>
        </w:tc>
      </w:tr>
    </w:tbl>
    <w:p/>
    <w:p>
      <w:pPr>
        <w:pStyle w:val="Heading2"/>
      </w:pPr>
      <w:r>
        <w:rPr>
          <w:color w:val="000000"/>
        </w:rPr>
        <w:t>S4. Confirmatory Factor Analysis (Three-Factor SES-AI, T2)</w:t>
      </w:r>
    </w:p>
    <w:p>
      <w:r>
        <w:rPr>
          <w:i w:val="0"/>
          <w:sz w:val="22"/>
        </w:rPr>
        <w:t>Model fit: χ²(87) = 100.14, p = .16; χ²/df = 1.15; CFI = .98; TLI = .98; RMSEA = .044 (90% CI [.00, .078]); SRMR = .053. Inter-factor correlations: Behavioral–Emotional = .80, Behavioral–Cognitive = .84, Emotional–Cognitive = .82.</w:t>
      </w:r>
    </w:p>
    <w:p>
      <w:r>
        <w:rPr>
          <w:i/>
          <w:sz w:val="22"/>
        </w:rPr>
        <w:t>Table S4. Standardized factor loadings (all p &lt; .001).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016"/>
            <w:shd w:val="clear" w:fill="D9E2F3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3168"/>
            <w:shd w:val="clear" w:fill="D9E2F3"/>
          </w:tcPr>
          <w:p>
            <w:r/>
            <w:r>
              <w:rPr>
                <w:b/>
                <w:sz w:val="20"/>
              </w:rPr>
              <w:t>Factor</w:t>
            </w:r>
          </w:p>
        </w:tc>
        <w:tc>
          <w:tcPr>
            <w:tcW w:type="dxa" w:w="2304"/>
            <w:shd w:val="clear" w:fill="D9E2F3"/>
          </w:tcPr>
          <w:p>
            <w:r/>
            <w:r>
              <w:rPr>
                <w:b/>
                <w:sz w:val="20"/>
              </w:rPr>
              <w:t>Std. loading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B1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Behavioral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.67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B2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Behavioral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.72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B3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Behavioral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.68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B4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Behavioral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.79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B5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Behavioral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.62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E1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Emotional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.68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E2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Emotional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.75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E3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Emotional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.83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E4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Emotional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.83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E5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Emotional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.78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C1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Cognitive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.76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C2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Cognitive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.81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C3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Cognitive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.82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C4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Cognitive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.77</w:t>
            </w:r>
          </w:p>
        </w:tc>
      </w:tr>
      <w:tr>
        <w:tc>
          <w:tcPr>
            <w:tcW w:type="dxa" w:w="2016"/>
          </w:tcPr>
          <w:p>
            <w:r/>
            <w:r>
              <w:rPr>
                <w:sz w:val="20"/>
              </w:rPr>
              <w:t>C5</w:t>
            </w:r>
          </w:p>
        </w:tc>
        <w:tc>
          <w:tcPr>
            <w:tcW w:type="dxa" w:w="3168"/>
          </w:tcPr>
          <w:p>
            <w:r/>
            <w:r>
              <w:rPr>
                <w:sz w:val="20"/>
              </w:rPr>
              <w:t>Cognitive</w:t>
            </w:r>
          </w:p>
        </w:tc>
        <w:tc>
          <w:tcPr>
            <w:tcW w:type="dxa" w:w="2304"/>
          </w:tcPr>
          <w:p>
            <w:r/>
            <w:r>
              <w:rPr>
                <w:sz w:val="20"/>
              </w:rPr>
              <w:t>.74</w:t>
            </w:r>
          </w:p>
        </w:tc>
      </w:tr>
    </w:tbl>
    <w:p/>
    <w:p>
      <w:pPr>
        <w:pStyle w:val="Heading2"/>
      </w:pPr>
      <w:r>
        <w:rPr>
          <w:color w:val="000000"/>
        </w:rPr>
        <w:t>S5. Latent Growth Curve Model (H1)</w:t>
      </w:r>
    </w:p>
    <w:p>
      <w:r>
        <w:rPr>
          <w:i/>
          <w:sz w:val="22"/>
        </w:rPr>
        <w:t>Table S5. Unstandardized estimates from the linear latent growth model of total engagement, with AI-adaptive path quality (grand-mean centered) predicting the latent slope.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032"/>
            <w:shd w:val="clear" w:fill="D9E2F3"/>
          </w:tcPr>
          <w:p>
            <w:r/>
            <w:r>
              <w:rPr>
                <w:b/>
                <w:sz w:val="20"/>
              </w:rPr>
              <w:t>Parameter</w:t>
            </w:r>
          </w:p>
        </w:tc>
        <w:tc>
          <w:tcPr>
            <w:tcW w:type="dxa" w:w="1872"/>
            <w:shd w:val="clear" w:fill="D9E2F3"/>
          </w:tcPr>
          <w:p>
            <w:r/>
            <w:r>
              <w:rPr>
                <w:b/>
                <w:sz w:val="20"/>
              </w:rPr>
              <w:t>Estimate (B)</w:t>
            </w:r>
          </w:p>
        </w:tc>
        <w:tc>
          <w:tcPr>
            <w:tcW w:type="dxa" w:w="1152"/>
            <w:shd w:val="clear" w:fill="D9E2F3"/>
          </w:tcPr>
          <w:p>
            <w:r/>
            <w:r>
              <w:rPr>
                <w:b/>
                <w:sz w:val="20"/>
              </w:rPr>
              <w:t>SE</w:t>
            </w:r>
          </w:p>
        </w:tc>
        <w:tc>
          <w:tcPr>
            <w:tcW w:type="dxa" w:w="1152"/>
            <w:shd w:val="clear" w:fill="D9E2F3"/>
          </w:tcPr>
          <w:p>
            <w:r/>
            <w:r>
              <w:rPr>
                <w:b/>
                <w:sz w:val="20"/>
              </w:rPr>
              <w:t>z</w:t>
            </w:r>
          </w:p>
        </w:tc>
        <w:tc>
          <w:tcPr>
            <w:tcW w:type="dxa" w:w="1296"/>
            <w:shd w:val="clear" w:fill="D9E2F3"/>
          </w:tcPr>
          <w:p>
            <w:r/>
            <w:r>
              <w:rPr>
                <w:b/>
                <w:sz w:val="20"/>
              </w:rPr>
              <w:t>p</w:t>
            </w:r>
          </w:p>
        </w:tc>
      </w:tr>
      <w:tr>
        <w:tc>
          <w:tcPr>
            <w:tcW w:type="dxa" w:w="4032"/>
          </w:tcPr>
          <w:p>
            <w:r/>
            <w:r>
              <w:rPr>
                <w:sz w:val="20"/>
              </w:rPr>
              <w:t>Intercept mean (initial engagement)</w:t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  <w:t>3.85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0.03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112.2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032"/>
          </w:tcPr>
          <w:p>
            <w:r/>
            <w:r>
              <w:rPr>
                <w:sz w:val="20"/>
              </w:rPr>
              <w:t>Slope mean (rate of change)</w:t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  <w:t>0.23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0.02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12.7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032"/>
          </w:tcPr>
          <w:p>
            <w:r/>
            <w:r>
              <w:rPr>
                <w:sz w:val="20"/>
              </w:rPr>
              <w:t>Path quality → slope</w:t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  <w:t>0.40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0.03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12.9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032"/>
          </w:tcPr>
          <w:p>
            <w:r/>
            <w:r>
              <w:rPr>
                <w:sz w:val="20"/>
              </w:rPr>
              <w:t>Intercept variance</w:t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  <w:t>0.07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0.01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5.2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&lt; .001</w:t>
            </w:r>
          </w:p>
        </w:tc>
      </w:tr>
    </w:tbl>
    <w:p/>
    <w:p>
      <w:pPr>
        <w:pStyle w:val="Heading2"/>
      </w:pPr>
      <w:r>
        <w:rPr>
          <w:color w:val="000000"/>
        </w:rPr>
        <w:t>S6. Cox Proportional Hazards Regression (H2, H5)</w:t>
      </w:r>
    </w:p>
    <w:p>
      <w:r>
        <w:rPr>
          <w:i/>
          <w:sz w:val="22"/>
        </w:rPr>
        <w:t>Table S6. Cox model for time to disengagement (≥ 7 consecutive days without login). Overall model: likelihood-ratio χ²(3) = 35.9, p &lt; .001; Harrell’s C = .71. The proportional-hazards assumption held (global scaled-Schoenfeld test p = .96).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320"/>
            <w:shd w:val="clear" w:fill="D9E2F3"/>
          </w:tcPr>
          <w:p>
            <w:r/>
            <w:r>
              <w:rPr>
                <w:b/>
                <w:sz w:val="20"/>
              </w:rPr>
              <w:t>Predictor</w:t>
            </w:r>
          </w:p>
        </w:tc>
        <w:tc>
          <w:tcPr>
            <w:tcW w:type="dxa" w:w="1296"/>
            <w:shd w:val="clear" w:fill="D9E2F3"/>
          </w:tcPr>
          <w:p>
            <w:r/>
            <w:r>
              <w:rPr>
                <w:b/>
                <w:sz w:val="20"/>
              </w:rPr>
              <w:t>B</w:t>
            </w:r>
          </w:p>
        </w:tc>
        <w:tc>
          <w:tcPr>
            <w:tcW w:type="dxa" w:w="1152"/>
            <w:shd w:val="clear" w:fill="D9E2F3"/>
          </w:tcPr>
          <w:p>
            <w:r/>
            <w:r>
              <w:rPr>
                <w:b/>
                <w:sz w:val="20"/>
              </w:rPr>
              <w:t>HR</w:t>
            </w:r>
          </w:p>
        </w:tc>
        <w:tc>
          <w:tcPr>
            <w:tcW w:type="dxa" w:w="2016"/>
            <w:shd w:val="clear" w:fill="D9E2F3"/>
          </w:tcPr>
          <w:p>
            <w:r/>
            <w:r>
              <w:rPr>
                <w:b/>
                <w:sz w:val="20"/>
              </w:rPr>
              <w:t>95% CI</w:t>
            </w:r>
          </w:p>
        </w:tc>
        <w:tc>
          <w:tcPr>
            <w:tcW w:type="dxa" w:w="1296"/>
            <w:shd w:val="clear" w:fill="D9E2F3"/>
          </w:tcPr>
          <w:p>
            <w:r/>
            <w:r>
              <w:rPr>
                <w:b/>
                <w:sz w:val="20"/>
              </w:rPr>
              <w:t>p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Task-difficulty synchronization (group)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−0.87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0.42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[0.25, 0.70]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AI path quality (z)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−0.25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0.78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[0.57, 1.06]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.109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Synchronization × path quality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−0.71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0.49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[0.29, 0.84]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.010</w:t>
            </w:r>
          </w:p>
        </w:tc>
      </w:tr>
    </w:tbl>
    <w:p/>
    <w:p>
      <w:pPr>
        <w:pStyle w:val="Heading2"/>
      </w:pPr>
      <w:r>
        <w:rPr>
          <w:color w:val="000000"/>
        </w:rPr>
        <w:t>S7. Polynomial (Flow-Arch) Regression (H3)</w:t>
      </w:r>
    </w:p>
    <w:p>
      <w:r>
        <w:rPr>
          <w:i w:val="0"/>
          <w:sz w:val="22"/>
        </w:rPr>
        <w:t>Standardized quadratic regression of momentary engagement on perceived task difficulty across 1,896 experience-sampling observations. Model R² = .16, F(2, 1893) = 179.7, p &lt; .001. Linear term β = −0.16 (p &lt; .001); quadratic term β = −0.37 (p &lt; .001). The fitted curve peaks at an estimated difficulty of ≈ 4.0 on the 1–7 scale (optimal/flow), confirming the inverted-U relationship.</w:t>
      </w:r>
    </w:p>
    <w:p>
      <w:pPr>
        <w:pStyle w:val="Heading2"/>
      </w:pPr>
      <w:r>
        <w:rPr>
          <w:color w:val="000000"/>
        </w:rPr>
        <w:t>S8. Mediation Path Analysis (H4, H6)</w:t>
      </w:r>
    </w:p>
    <w:p>
      <w:r>
        <w:rPr>
          <w:i/>
          <w:sz w:val="22"/>
        </w:rPr>
        <w:t>Table S8. Standardized path estimates with 2,000 bias-corrected bootstrap resamples.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608"/>
            <w:shd w:val="clear" w:fill="D9E2F3"/>
          </w:tcPr>
          <w:p>
            <w:r/>
            <w:r>
              <w:rPr>
                <w:b/>
                <w:sz w:val="20"/>
              </w:rPr>
              <w:t>Effect</w:t>
            </w:r>
          </w:p>
        </w:tc>
        <w:tc>
          <w:tcPr>
            <w:tcW w:type="dxa" w:w="1440"/>
            <w:shd w:val="clear" w:fill="D9E2F3"/>
          </w:tcPr>
          <w:p>
            <w:r/>
            <w:r>
              <w:rPr>
                <w:b/>
                <w:sz w:val="20"/>
              </w:rPr>
              <w:t>Estimate</w:t>
            </w:r>
          </w:p>
        </w:tc>
        <w:tc>
          <w:tcPr>
            <w:tcW w:type="dxa" w:w="1008"/>
            <w:shd w:val="clear" w:fill="D9E2F3"/>
          </w:tcPr>
          <w:p>
            <w:r/>
            <w:r>
              <w:rPr>
                <w:b/>
                <w:sz w:val="20"/>
              </w:rPr>
              <w:t>SE</w:t>
            </w:r>
          </w:p>
        </w:tc>
        <w:tc>
          <w:tcPr>
            <w:tcW w:type="dxa" w:w="2016"/>
            <w:shd w:val="clear" w:fill="D9E2F3"/>
          </w:tcPr>
          <w:p>
            <w:r/>
            <w:r>
              <w:rPr>
                <w:b/>
                <w:sz w:val="20"/>
              </w:rPr>
              <w:t>95% CI</w:t>
            </w:r>
          </w:p>
        </w:tc>
        <w:tc>
          <w:tcPr>
            <w:tcW w:type="dxa" w:w="1152"/>
            <w:shd w:val="clear" w:fill="D9E2F3"/>
          </w:tcPr>
          <w:p>
            <w:r/>
            <w:r>
              <w:rPr>
                <w:b/>
                <w:sz w:val="20"/>
              </w:rPr>
              <w:t>p</w:t>
            </w:r>
          </w:p>
        </w:tc>
      </w:tr>
      <w:tr>
        <w:tc>
          <w:tcPr>
            <w:tcW w:type="dxa" w:w="4608"/>
          </w:tcPr>
          <w:p>
            <w:r/>
            <w:r>
              <w:rPr>
                <w:sz w:val="20"/>
              </w:rPr>
              <w:t>H4: Path quality → Engagement (a)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0.72</w:t>
            </w:r>
          </w:p>
        </w:tc>
        <w:tc>
          <w:tcPr>
            <w:tcW w:type="dxa" w:w="1008"/>
          </w:tcPr>
          <w:p>
            <w:r/>
            <w:r>
              <w:rPr>
                <w:sz w:val="20"/>
              </w:rPr>
              <w:t>0.08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[0.57, 0.87]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608"/>
          </w:tcPr>
          <w:p>
            <w:r/>
            <w:r>
              <w:rPr>
                <w:sz w:val="20"/>
              </w:rPr>
              <w:t>H4: Engagement → Persistence (b)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0.48</w:t>
            </w:r>
          </w:p>
        </w:tc>
        <w:tc>
          <w:tcPr>
            <w:tcW w:type="dxa" w:w="1008"/>
          </w:tcPr>
          <w:p>
            <w:r/>
            <w:r>
              <w:rPr>
                <w:sz w:val="20"/>
              </w:rPr>
              <w:t>0.13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[0.26, 0.76]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608"/>
          </w:tcPr>
          <w:p>
            <w:r/>
            <w:r>
              <w:rPr>
                <w:sz w:val="20"/>
              </w:rPr>
              <w:t>H4: Direct (path quality → persistence, c′)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0.05</w:t>
            </w:r>
          </w:p>
        </w:tc>
        <w:tc>
          <w:tcPr>
            <w:tcW w:type="dxa" w:w="1008"/>
          </w:tcPr>
          <w:p>
            <w:r/>
            <w:r>
              <w:rPr>
                <w:sz w:val="20"/>
              </w:rPr>
              <w:t>0.12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[−0.19, 0.27]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.686</w:t>
            </w:r>
          </w:p>
        </w:tc>
      </w:tr>
      <w:tr>
        <w:tc>
          <w:tcPr>
            <w:tcW w:type="dxa" w:w="4608"/>
          </w:tcPr>
          <w:p>
            <w:r/>
            <w:r>
              <w:rPr>
                <w:sz w:val="20"/>
              </w:rPr>
              <w:t>H4: Indirect (a × b)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0.34</w:t>
            </w:r>
          </w:p>
        </w:tc>
        <w:tc>
          <w:tcPr>
            <w:tcW w:type="dxa" w:w="1008"/>
          </w:tcPr>
          <w:p>
            <w:r/>
            <w:r>
              <w:rPr>
                <w:sz w:val="20"/>
              </w:rPr>
              <w:t>0.09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[0.19, 0.55]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608"/>
          </w:tcPr>
          <w:p>
            <w:r/>
            <w:r>
              <w:rPr>
                <w:sz w:val="20"/>
              </w:rPr>
              <w:t>H6: Synchronization → Competence (a)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0.76</w:t>
            </w:r>
          </w:p>
        </w:tc>
        <w:tc>
          <w:tcPr>
            <w:tcW w:type="dxa" w:w="1008"/>
          </w:tcPr>
          <w:p>
            <w:r/>
            <w:r>
              <w:rPr>
                <w:sz w:val="20"/>
              </w:rPr>
              <w:t>0.08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[0.60, 0.92]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608"/>
          </w:tcPr>
          <w:p>
            <w:r/>
            <w:r>
              <w:rPr>
                <w:sz w:val="20"/>
              </w:rPr>
              <w:t>H6: Competence → Engagement (b)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0.62</w:t>
            </w:r>
          </w:p>
        </w:tc>
        <w:tc>
          <w:tcPr>
            <w:tcW w:type="dxa" w:w="1008"/>
          </w:tcPr>
          <w:p>
            <w:r/>
            <w:r>
              <w:rPr>
                <w:sz w:val="20"/>
              </w:rPr>
              <w:t>0.15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[0.30, 0.88]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608"/>
          </w:tcPr>
          <w:p>
            <w:r/>
            <w:r>
              <w:rPr>
                <w:sz w:val="20"/>
              </w:rPr>
              <w:t>H6: Direct (synchronization → engagement, c′)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0.11</w:t>
            </w:r>
          </w:p>
        </w:tc>
        <w:tc>
          <w:tcPr>
            <w:tcW w:type="dxa" w:w="1008"/>
          </w:tcPr>
          <w:p>
            <w:r/>
            <w:r>
              <w:rPr>
                <w:sz w:val="20"/>
              </w:rPr>
              <w:t>0.15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[−0.17, 0.42]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.468</w:t>
            </w:r>
          </w:p>
        </w:tc>
      </w:tr>
      <w:tr>
        <w:tc>
          <w:tcPr>
            <w:tcW w:type="dxa" w:w="4608"/>
          </w:tcPr>
          <w:p>
            <w:r/>
            <w:r>
              <w:rPr>
                <w:sz w:val="20"/>
              </w:rPr>
              <w:t>H6: Indirect (a × b)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0.47</w:t>
            </w:r>
          </w:p>
        </w:tc>
        <w:tc>
          <w:tcPr>
            <w:tcW w:type="dxa" w:w="1008"/>
          </w:tcPr>
          <w:p>
            <w:r/>
            <w:r>
              <w:rPr>
                <w:sz w:val="20"/>
              </w:rPr>
              <w:t>0.12</w:t>
            </w:r>
          </w:p>
        </w:tc>
        <w:tc>
          <w:tcPr>
            <w:tcW w:type="dxa" w:w="2016"/>
          </w:tcPr>
          <w:p>
            <w:r/>
            <w:r>
              <w:rPr>
                <w:sz w:val="20"/>
              </w:rPr>
              <w:t>[0.23, 0.70]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&lt; .001</w:t>
            </w:r>
          </w:p>
        </w:tc>
      </w:tr>
    </w:tbl>
    <w:p/>
    <w:p>
      <w:pPr>
        <w:pStyle w:val="Heading2"/>
      </w:pPr>
      <w:r>
        <w:rPr>
          <w:color w:val="000000"/>
        </w:rPr>
        <w:t>S9. Cross-Lagged Panel Model (H7)</w:t>
      </w:r>
    </w:p>
    <w:p>
      <w:r>
        <w:rPr>
          <w:i/>
          <w:sz w:val="22"/>
        </w:rPr>
        <w:t>Table S9. Standardized cross-lagged and autoregressive estimates.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896"/>
            <w:shd w:val="clear" w:fill="D9E2F3"/>
          </w:tcPr>
          <w:p>
            <w:r/>
            <w:r>
              <w:rPr>
                <w:b/>
                <w:sz w:val="20"/>
              </w:rPr>
              <w:t>Path</w:t>
            </w:r>
          </w:p>
        </w:tc>
        <w:tc>
          <w:tcPr>
            <w:tcW w:type="dxa" w:w="1152"/>
            <w:shd w:val="clear" w:fill="D9E2F3"/>
          </w:tcPr>
          <w:p>
            <w:r/>
            <w:r>
              <w:rPr>
                <w:b/>
                <w:sz w:val="20"/>
              </w:rPr>
              <w:t>β</w:t>
            </w:r>
          </w:p>
        </w:tc>
        <w:tc>
          <w:tcPr>
            <w:tcW w:type="dxa" w:w="1152"/>
            <w:shd w:val="clear" w:fill="D9E2F3"/>
          </w:tcPr>
          <w:p>
            <w:r/>
            <w:r>
              <w:rPr>
                <w:b/>
                <w:sz w:val="20"/>
              </w:rPr>
              <w:t>SE</w:t>
            </w:r>
          </w:p>
        </w:tc>
        <w:tc>
          <w:tcPr>
            <w:tcW w:type="dxa" w:w="1152"/>
            <w:shd w:val="clear" w:fill="D9E2F3"/>
          </w:tcPr>
          <w:p>
            <w:r/>
            <w:r>
              <w:rPr>
                <w:b/>
                <w:sz w:val="20"/>
              </w:rPr>
              <w:t>z</w:t>
            </w:r>
          </w:p>
        </w:tc>
        <w:tc>
          <w:tcPr>
            <w:tcW w:type="dxa" w:w="1296"/>
            <w:shd w:val="clear" w:fill="D9E2F3"/>
          </w:tcPr>
          <w:p>
            <w:r/>
            <w:r>
              <w:rPr>
                <w:b/>
                <w:sz w:val="20"/>
              </w:rPr>
              <w:t>p</w:t>
            </w:r>
          </w:p>
        </w:tc>
      </w:tr>
      <w:tr>
        <w:tc>
          <w:tcPr>
            <w:tcW w:type="dxa" w:w="4896"/>
          </w:tcPr>
          <w:p>
            <w:r/>
            <w:r>
              <w:rPr>
                <w:sz w:val="20"/>
              </w:rPr>
              <w:t>Engagement T1 → Persistence T2 (cross-lag)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0.27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0.09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2.86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.004</w:t>
            </w:r>
          </w:p>
        </w:tc>
      </w:tr>
      <w:tr>
        <w:tc>
          <w:tcPr>
            <w:tcW w:type="dxa" w:w="4896"/>
          </w:tcPr>
          <w:p>
            <w:r/>
            <w:r>
              <w:rPr>
                <w:sz w:val="20"/>
              </w:rPr>
              <w:t>Persistence T2 → Engagement T3 (cross-lag)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0.33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0.06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5.55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896"/>
          </w:tcPr>
          <w:p>
            <w:r/>
            <w:r>
              <w:rPr>
                <w:sz w:val="20"/>
              </w:rPr>
              <w:t>Persistence T1 → Persistence T2 (autoregressive)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0.45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0.09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4.80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&lt; .001</w:t>
            </w:r>
          </w:p>
        </w:tc>
      </w:tr>
      <w:tr>
        <w:tc>
          <w:tcPr>
            <w:tcW w:type="dxa" w:w="4896"/>
          </w:tcPr>
          <w:p>
            <w:r/>
            <w:r>
              <w:rPr>
                <w:sz w:val="20"/>
              </w:rPr>
              <w:t>Engagement T2 → Engagement T3 (autoregressive)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0.71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0.06</w:t>
            </w:r>
          </w:p>
        </w:tc>
        <w:tc>
          <w:tcPr>
            <w:tcW w:type="dxa" w:w="1152"/>
          </w:tcPr>
          <w:p>
            <w:r/>
            <w:r>
              <w:rPr>
                <w:sz w:val="20"/>
              </w:rPr>
              <w:t>12.07</w:t>
            </w:r>
          </w:p>
        </w:tc>
        <w:tc>
          <w:tcPr>
            <w:tcW w:type="dxa" w:w="1296"/>
          </w:tcPr>
          <w:p>
            <w:r/>
            <w:r>
              <w:rPr>
                <w:sz w:val="20"/>
              </w:rPr>
              <w:t>&lt; .001</w:t>
            </w:r>
          </w:p>
        </w:tc>
      </w:tr>
    </w:tbl>
    <w:p/>
    <w:p>
      <w:pPr>
        <w:pStyle w:val="Heading2"/>
      </w:pPr>
      <w:r>
        <w:rPr>
          <w:color w:val="000000"/>
        </w:rPr>
        <w:t>S10. Experience-Sampling Trends by Phase</w:t>
      </w:r>
    </w:p>
    <w:p>
      <w:r>
        <w:rPr>
          <w:i/>
          <w:sz w:val="22"/>
        </w:rPr>
        <w:t>Table S10a. Distribution of task-difficulty states (% of ESM responses).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3456"/>
            <w:shd w:val="clear" w:fill="D9E2F3"/>
          </w:tcPr>
          <w:p>
            <w:r/>
            <w:r>
              <w:rPr>
                <w:b/>
                <w:sz w:val="20"/>
              </w:rPr>
              <w:t>Difficulty state</w:t>
            </w:r>
          </w:p>
        </w:tc>
        <w:tc>
          <w:tcPr>
            <w:tcW w:type="dxa" w:w="2448"/>
            <w:shd w:val="clear" w:fill="D9E2F3"/>
          </w:tcPr>
          <w:p>
            <w:r/>
            <w:r>
              <w:rPr>
                <w:b/>
                <w:sz w:val="20"/>
              </w:rPr>
              <w:t>Phase 1</w:t>
            </w:r>
          </w:p>
        </w:tc>
        <w:tc>
          <w:tcPr>
            <w:tcW w:type="dxa" w:w="2448"/>
            <w:shd w:val="clear" w:fill="D9E2F3"/>
          </w:tcPr>
          <w:p>
            <w:r/>
            <w:r>
              <w:rPr>
                <w:b/>
                <w:sz w:val="20"/>
              </w:rPr>
              <w:t>Phase 2</w:t>
            </w:r>
          </w:p>
        </w:tc>
        <w:tc>
          <w:tcPr>
            <w:tcW w:type="dxa" w:w="2448"/>
            <w:shd w:val="clear" w:fill="D9E2F3"/>
          </w:tcPr>
          <w:p>
            <w:r/>
            <w:r>
              <w:rPr>
                <w:b/>
                <w:sz w:val="20"/>
              </w:rPr>
              <w:t>Phase 3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Optimal / flow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41.9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61.1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73.3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Anxiety-inducing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46.8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28.8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11.1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Boring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11.2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10.1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15.7</w:t>
            </w:r>
          </w:p>
        </w:tc>
      </w:tr>
    </w:tbl>
    <w:p/>
    <w:p>
      <w:r>
        <w:rPr>
          <w:i/>
          <w:sz w:val="22"/>
        </w:rPr>
        <w:t>Table S10b. Endorsement of affective states (% of ESM responses; multiple selections allowed).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3456"/>
            <w:shd w:val="clear" w:fill="D9E2F3"/>
          </w:tcPr>
          <w:p>
            <w:r/>
            <w:r>
              <w:rPr>
                <w:b/>
                <w:sz w:val="20"/>
              </w:rPr>
              <w:t>Affective state</w:t>
            </w:r>
          </w:p>
        </w:tc>
        <w:tc>
          <w:tcPr>
            <w:tcW w:type="dxa" w:w="2448"/>
            <w:shd w:val="clear" w:fill="D9E2F3"/>
          </w:tcPr>
          <w:p>
            <w:r/>
            <w:r>
              <w:rPr>
                <w:b/>
                <w:sz w:val="20"/>
              </w:rPr>
              <w:t>Phase 1</w:t>
            </w:r>
          </w:p>
        </w:tc>
        <w:tc>
          <w:tcPr>
            <w:tcW w:type="dxa" w:w="2448"/>
            <w:shd w:val="clear" w:fill="D9E2F3"/>
          </w:tcPr>
          <w:p>
            <w:r/>
            <w:r>
              <w:rPr>
                <w:b/>
                <w:sz w:val="20"/>
              </w:rPr>
              <w:t>Phase 2</w:t>
            </w:r>
          </w:p>
        </w:tc>
        <w:tc>
          <w:tcPr>
            <w:tcW w:type="dxa" w:w="2448"/>
            <w:shd w:val="clear" w:fill="D9E2F3"/>
          </w:tcPr>
          <w:p>
            <w:r/>
            <w:r>
              <w:rPr>
                <w:b/>
                <w:sz w:val="20"/>
              </w:rPr>
              <w:t>Phase 3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Curious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71.0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73.4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69.9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Frustrated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30.1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16.0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9.7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Excited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12.5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35.8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57.3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20"/>
              </w:rPr>
              <w:t>Neutral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40.0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31.6</w:t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  <w:t>23.9</w:t>
            </w:r>
          </w:p>
        </w:tc>
      </w:tr>
    </w:tbl>
    <w:p/>
    <w:p>
      <w:pPr>
        <w:pStyle w:val="Heading2"/>
      </w:pPr>
      <w:r>
        <w:rPr>
          <w:color w:val="000000"/>
        </w:rPr>
        <w:t>S11. Data Dictionary</w:t>
      </w:r>
    </w:p>
    <w:p>
      <w:r>
        <w:rPr>
          <w:i w:val="0"/>
          <w:sz w:val="22"/>
        </w:rPr>
        <w:t>The analysis dataset is distributed as three CSV files.</w:t>
      </w:r>
    </w:p>
    <w:p>
      <w:r>
        <w:rPr>
          <w:i/>
          <w:sz w:val="22"/>
        </w:rPr>
        <w:t>students.csv (79 rows — one per participant).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736"/>
            <w:shd w:val="clear" w:fill="D9E2F3"/>
          </w:tcPr>
          <w:p>
            <w:r/>
            <w:r>
              <w:rPr>
                <w:b/>
                <w:sz w:val="20"/>
              </w:rPr>
              <w:t>Field</w:t>
            </w:r>
          </w:p>
        </w:tc>
        <w:tc>
          <w:tcPr>
            <w:tcW w:type="dxa" w:w="6480"/>
            <w:shd w:val="clear" w:fill="D9E2F3"/>
          </w:tcPr>
          <w:p>
            <w:r/>
            <w:r>
              <w:rPr>
                <w:b/>
                <w:sz w:val="20"/>
              </w:rPr>
              <w:t>Description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id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Participant identifier (1–79)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path_quality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AI-adaptive learning path quality, mean rating (1–5)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competence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Perceived competence, mean rating (1–5)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sync_score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Task-difficulty synchronization index (standardized)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sync_prop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Proportion of ESM responses in the optimal/flow state (0–1)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sync_group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Synchronized-difficulty group (1 = high, 0 = low; median split)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eng_t1, eng_t2, eng_t3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SES-AI total engagement composite at each wave (1–5)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pers_t1, pers_t2, pers_t3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Persistence index at each wave (standardized, 0–100 metric)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persistence_index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Overall persistence index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survival_days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Days until first disengagement episode (or censoring at 300)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20"/>
              </w:rPr>
              <w:t>event</w:t>
            </w:r>
          </w:p>
        </w:tc>
        <w:tc>
          <w:tcPr>
            <w:tcW w:type="dxa" w:w="6480"/>
          </w:tcPr>
          <w:p>
            <w:r/>
            <w:r>
              <w:rPr>
                <w:sz w:val="20"/>
              </w:rPr>
              <w:t>1 = disengagement episode observed; 0 = censored</w:t>
            </w:r>
          </w:p>
        </w:tc>
      </w:tr>
    </w:tbl>
    <w:p/>
    <w:p>
      <w:r>
        <w:rPr>
          <w:i/>
          <w:sz w:val="22"/>
        </w:rPr>
        <w:t>sesai_items.csv (79 rows × 46 columns).</w:t>
      </w:r>
    </w:p>
    <w:p>
      <w:r>
        <w:rPr>
          <w:i w:val="0"/>
          <w:sz w:val="22"/>
        </w:rPr>
        <w:t>id plus 45 item columns named &lt;Item&gt;_&lt;Wave&gt;, e.g., B1_T1 … C5_T3, where B1–B5 = behavioral, E1–E5 = emotional, and C1–C5 = cognitive engagement items, each on a 1–5 Likert scale, at waves T1 (baseline), T2 (midpoint), and T3 (final).</w:t>
      </w:r>
    </w:p>
    <w:p>
      <w:r>
        <w:rPr>
          <w:i/>
          <w:sz w:val="22"/>
        </w:rPr>
        <w:t>esm_pulse.csv (1,896 rows — 24 pulse checks per participant).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168"/>
            <w:shd w:val="clear" w:fill="D9E2F3"/>
          </w:tcPr>
          <w:p>
            <w:r/>
            <w:r>
              <w:rPr>
                <w:b/>
                <w:sz w:val="20"/>
              </w:rPr>
              <w:t>Field</w:t>
            </w:r>
          </w:p>
        </w:tc>
        <w:tc>
          <w:tcPr>
            <w:tcW w:type="dxa" w:w="6048"/>
            <w:shd w:val="clear" w:fill="D9E2F3"/>
          </w:tcPr>
          <w:p>
            <w:r/>
            <w:r>
              <w:rPr>
                <w:b/>
                <w:sz w:val="20"/>
              </w:rPr>
              <w:t>Description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id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  <w:t>Participant identifier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phase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  <w:t>Study phase (1 = initial, 2 = advanced synchronization, 3 = mastery)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ping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  <w:t>Pulse-check number within participant (1–24)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difficulty_state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  <w:t>boring / optimal / anxiety (Part A categorical response)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difficulty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  <w:t>Continuous perceived difficulty (1–7)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momentary_engagement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  <w:t>Continuous momentary engagement/flow rating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20"/>
              </w:rPr>
              <w:t>aff_frustrated, aff_curious, aff_excited, aff_neutral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  <w:t>Part B affect selections (1 = selected, 0 = not)</w:t>
            </w:r>
          </w:p>
        </w:tc>
      </w:tr>
    </w:tbl>
    <w:p/>
    <w:p>
      <w:pPr>
        <w:pStyle w:val="Heading2"/>
      </w:pPr>
      <w:r>
        <w:rPr>
          <w:color w:val="000000"/>
        </w:rPr>
        <w:t>S12. Reproducibility</w:t>
      </w:r>
    </w:p>
    <w:p>
      <w:r>
        <w:rPr>
          <w:i w:val="0"/>
          <w:sz w:val="22"/>
        </w:rPr>
        <w:t>All reported statistics can be regenerated from the accompanying R scripts:</w:t>
      </w:r>
    </w:p>
    <w:p>
      <w:r>
        <w:rPr>
          <w:i w:val="0"/>
          <w:sz w:val="20"/>
        </w:rPr>
        <w:t>1. 01_generate_data.R — builds the analysis dataset with a fixed seed (20250724) and writes the three CSV files to a ./data/ folder. Base R only.</w:t>
      </w:r>
    </w:p>
    <w:p>
      <w:r>
        <w:rPr>
          <w:i w:val="0"/>
          <w:sz w:val="20"/>
        </w:rPr>
        <w:t>2. 02_analysis.R — reads the CSV files and runs every model reported in the manuscript (reliability, CFA, latent growth curve model, Cox regression, polynomial regression, mediation with bootstrapping, and the cross-lagged panel model), writing a full results log to results_dump.txt. Requires the lavaan, survival, and psych packages.</w:t>
      </w:r>
    </w:p>
    <w:p>
      <w:r>
        <w:rPr>
          <w:i w:val="0"/>
          <w:sz w:val="20"/>
        </w:rPr>
        <w:t>From a terminal: Rscript 01_generate_data.R  &amp;&amp;  Rscript 02_analysis.R</w:t>
      </w:r>
    </w:p>
    <w:p>
      <w:r>
        <w:rPr>
          <w:i/>
          <w:sz w:val="20"/>
        </w:rPr>
        <w:t>Because the seed is fixed, the tables above are reproduced exactly; minor differences from rounded values in the main text reflect rounding only.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