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A5E0B">
      <w:pPr>
        <w:rPr>
          <w:rFonts w:ascii="Calibri" w:hAnsi="Calibri" w:cs="Calibri"/>
          <w:b/>
          <w:bCs/>
        </w:rPr>
      </w:pPr>
      <w:r>
        <w:rPr>
          <w:rFonts w:ascii="Calibri" w:hAnsi="Calibri" w:cs="Calibri"/>
          <w:b/>
          <w:bCs/>
          <w:sz w:val="28"/>
          <w:szCs w:val="32"/>
        </w:rPr>
        <w:t>Supplementary Materials</w:t>
      </w:r>
    </w:p>
    <w:p w14:paraId="0FC3C758">
      <w:pPr>
        <w:ind w:firstLine="420" w:firstLineChars="0"/>
        <w:rPr>
          <w:rFonts w:ascii="Calibri" w:hAnsi="Calibri" w:cs="Calibri"/>
        </w:rPr>
      </w:pPr>
      <w:r>
        <w:rPr>
          <w:rFonts w:hint="eastAsia" w:ascii="Calibri" w:hAnsi="Calibri" w:cs="Calibri"/>
        </w:rPr>
        <w:t xml:space="preserve">Note on data sourcing: Throughout this Supplementary Information, data are categorized as: (i) "Primary data" </w:t>
      </w:r>
      <w:r>
        <w:rPr>
          <w:rFonts w:hint="eastAsia" w:ascii="Calibri" w:hAnsi="Calibri" w:cs="Calibri"/>
          <w:lang w:eastAsia="zh-CN"/>
        </w:rPr>
        <w:t>—</w:t>
      </w:r>
      <w:r>
        <w:rPr>
          <w:rFonts w:hint="eastAsia" w:ascii="Calibri" w:hAnsi="Calibri" w:cs="Calibri"/>
        </w:rPr>
        <w:t xml:space="preserve"> values extracted directly from authoritative public sources, with source URL provided; (ii) "Derived/calculated by this study" — values computed by the authors from primary data using the formulas in the main text; (iii) "Model calibration parameters / assumed distributions" — values set by the authors based on industry benchmarks and literature. No values are presented as primary data unless traceable to the cited source.</w:t>
      </w:r>
    </w:p>
    <w:p w14:paraId="5572D1D4">
      <w:pPr>
        <w:rPr>
          <w:rFonts w:ascii="Calibri" w:hAnsi="Calibri" w:cs="Calibri"/>
        </w:rPr>
      </w:pPr>
    </w:p>
    <w:p w14:paraId="704D48B8">
      <w:pPr>
        <w:rPr>
          <w:rFonts w:ascii="Calibri" w:hAnsi="Calibri" w:cs="Calibri"/>
        </w:rPr>
      </w:pPr>
      <w:r>
        <w:rPr>
          <w:rFonts w:ascii="Calibri" w:hAnsi="Calibri" w:cs="Calibri"/>
        </w:rPr>
        <w:drawing>
          <wp:inline distT="0" distB="0" distL="114300" distR="114300">
            <wp:extent cx="4591685" cy="3247390"/>
            <wp:effectExtent l="0" t="0" r="0" b="0"/>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5"/>
                    <a:stretch>
                      <a:fillRect/>
                    </a:stretch>
                  </pic:blipFill>
                  <pic:spPr>
                    <a:xfrm>
                      <a:off x="0" y="0"/>
                      <a:ext cx="4602699" cy="3255256"/>
                    </a:xfrm>
                    <a:prstGeom prst="rect">
                      <a:avLst/>
                    </a:prstGeom>
                  </pic:spPr>
                </pic:pic>
              </a:graphicData>
            </a:graphic>
          </wp:inline>
        </w:drawing>
      </w:r>
    </w:p>
    <w:p w14:paraId="5FEBB533">
      <w:pPr>
        <w:pStyle w:val="2"/>
        <w:rPr>
          <w:rFonts w:ascii="Calibri" w:hAnsi="Calibri" w:cs="Calibri"/>
        </w:rPr>
      </w:pPr>
      <w:r>
        <w:rPr>
          <w:rFonts w:ascii="Calibri" w:hAnsi="Calibri" w:cs="Calibri"/>
        </w:rPr>
        <w:t>Fig S1 Crude Steel Output, Scrap Steel Recovery and Consumption in China, 1950–2020</w:t>
      </w:r>
    </w:p>
    <w:p w14:paraId="70935731">
      <w:pPr>
        <w:rPr>
          <w:rFonts w:ascii="Calibri" w:hAnsi="Calibri" w:cs="Calibri"/>
        </w:rPr>
      </w:pPr>
      <w:r>
        <w:rPr>
          <w:rFonts w:ascii="Calibri" w:hAnsi="Calibri" w:cs="Calibri"/>
        </w:rPr>
        <w:t>*Data source: Xie, K., 2013. Retrospect and prospect of iron and steel scrap processing in China. Recycling Research 6(9), 25-29.</w:t>
      </w:r>
    </w:p>
    <w:p w14:paraId="5F84E1B1">
      <w:pPr>
        <w:rPr>
          <w:rFonts w:ascii="Calibri" w:hAnsi="Calibri" w:cs="Calibri"/>
        </w:rPr>
      </w:pPr>
    </w:p>
    <w:p w14:paraId="12BF1720">
      <w:pPr>
        <w:pStyle w:val="2"/>
        <w:bidi w:val="0"/>
      </w:pPr>
      <w:r>
        <w:t>Table</w:t>
      </w:r>
      <w:r>
        <w:rPr>
          <w:rFonts w:hint="eastAsia"/>
          <w:lang w:val="en-US" w:eastAsia="zh-CN"/>
        </w:rPr>
        <w:t xml:space="preserve"> </w:t>
      </w:r>
      <w:r>
        <w:rPr>
          <w:rFonts w:hint="eastAsia"/>
        </w:rPr>
        <w:t>S1 Data Inventory with Official Source URLs</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1336"/>
        <w:gridCol w:w="1767"/>
        <w:gridCol w:w="2351"/>
        <w:gridCol w:w="2852"/>
      </w:tblGrid>
      <w:tr w14:paraId="7C0D5E06">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tcBorders>
              <w:bottom w:val="single" w:color="auto" w:sz="6" w:space="0"/>
            </w:tcBorders>
            <w:vAlign w:val="center"/>
          </w:tcPr>
          <w:p w14:paraId="46DBD93E">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Data</w:t>
            </w:r>
          </w:p>
          <w:p w14:paraId="3DAD8E51">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Category</w:t>
            </w:r>
          </w:p>
        </w:tc>
        <w:tc>
          <w:tcPr>
            <w:tcW w:w="1767" w:type="dxa"/>
            <w:tcBorders>
              <w:bottom w:val="single" w:color="auto" w:sz="6" w:space="0"/>
            </w:tcBorders>
            <w:vAlign w:val="center"/>
          </w:tcPr>
          <w:p w14:paraId="2B841087">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Variables</w:t>
            </w:r>
          </w:p>
        </w:tc>
        <w:tc>
          <w:tcPr>
            <w:tcW w:w="2351" w:type="dxa"/>
            <w:tcBorders>
              <w:bottom w:val="single" w:color="auto" w:sz="6" w:space="0"/>
            </w:tcBorders>
            <w:vAlign w:val="center"/>
          </w:tcPr>
          <w:p w14:paraId="3467DFEA">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Issuing Authority</w:t>
            </w:r>
          </w:p>
        </w:tc>
        <w:tc>
          <w:tcPr>
            <w:tcW w:w="2852" w:type="dxa"/>
            <w:tcBorders>
              <w:bottom w:val="single" w:color="auto" w:sz="6" w:space="0"/>
            </w:tcBorders>
            <w:vAlign w:val="center"/>
          </w:tcPr>
          <w:p w14:paraId="413E8804">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Official Source URL</w:t>
            </w:r>
          </w:p>
        </w:tc>
      </w:tr>
      <w:tr w14:paraId="4C7630B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tcBorders>
              <w:top w:val="single" w:color="auto" w:sz="6" w:space="0"/>
            </w:tcBorders>
            <w:vAlign w:val="center"/>
          </w:tcPr>
          <w:p w14:paraId="6911CF5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Steel industry material flow</w:t>
            </w:r>
          </w:p>
        </w:tc>
        <w:tc>
          <w:tcPr>
            <w:tcW w:w="1767" w:type="dxa"/>
            <w:tcBorders>
              <w:top w:val="single" w:color="auto" w:sz="6" w:space="0"/>
            </w:tcBorders>
            <w:vAlign w:val="center"/>
          </w:tcPr>
          <w:p w14:paraId="1EB61B97">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Crude steel output, pig iron output, finished steel, scrap recovery, scrap imports, iron ore consumption</w:t>
            </w:r>
          </w:p>
        </w:tc>
        <w:tc>
          <w:tcPr>
            <w:tcW w:w="2351" w:type="dxa"/>
            <w:tcBorders>
              <w:top w:val="single" w:color="auto" w:sz="6" w:space="0"/>
            </w:tcBorders>
            <w:vAlign w:val="center"/>
          </w:tcPr>
          <w:p w14:paraId="470377B8">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China Iron and Steel Industry Yearbook, CMISI</w:t>
            </w:r>
          </w:p>
        </w:tc>
        <w:tc>
          <w:tcPr>
            <w:tcW w:w="2852" w:type="dxa"/>
            <w:tcBorders>
              <w:top w:val="single" w:color="auto" w:sz="6" w:space="0"/>
            </w:tcBorders>
            <w:vAlign w:val="center"/>
          </w:tcPr>
          <w:p w14:paraId="791724F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http://www.cmisi.com.cn/ ;</w:t>
            </w:r>
          </w:p>
          <w:p w14:paraId="00B9EA2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http://www.chinaisa.org.cn/</w:t>
            </w:r>
          </w:p>
        </w:tc>
      </w:tr>
      <w:tr w14:paraId="6E17321C">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7C7C8D0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Iron ore reserves</w:t>
            </w:r>
          </w:p>
        </w:tc>
        <w:tc>
          <w:tcPr>
            <w:tcW w:w="1767" w:type="dxa"/>
            <w:vAlign w:val="center"/>
          </w:tcPr>
          <w:p w14:paraId="26D63CF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Iron ore reserves, grade, spatial distribution, mine output</w:t>
            </w:r>
          </w:p>
        </w:tc>
        <w:tc>
          <w:tcPr>
            <w:tcW w:w="2351" w:type="dxa"/>
            <w:vAlign w:val="center"/>
          </w:tcPr>
          <w:p w14:paraId="1A65F19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Ministry of Natural Resources (MNR)</w:t>
            </w:r>
          </w:p>
        </w:tc>
        <w:tc>
          <w:tcPr>
            <w:tcW w:w="2852" w:type="dxa"/>
            <w:vAlign w:val="center"/>
          </w:tcPr>
          <w:p w14:paraId="3C8515E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https://www.mnr.gov.cn/ ;</w:t>
            </w:r>
          </w:p>
          <w:p w14:paraId="294502D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https://m.mnr.gov.cn/sj/sjfw/kc_19263/</w:t>
            </w:r>
          </w:p>
        </w:tc>
      </w:tr>
      <w:tr w14:paraId="3668B85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1A18D4A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Energy efficiency benchmarks</w:t>
            </w:r>
          </w:p>
        </w:tc>
        <w:tc>
          <w:tcPr>
            <w:tcW w:w="1767" w:type="dxa"/>
            <w:vAlign w:val="center"/>
          </w:tcPr>
          <w:p w14:paraId="775FCB9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Energy consumption per tonne steel, EAF ratio, process structure</w:t>
            </w:r>
          </w:p>
        </w:tc>
        <w:tc>
          <w:tcPr>
            <w:tcW w:w="2351" w:type="dxa"/>
            <w:vAlign w:val="center"/>
          </w:tcPr>
          <w:p w14:paraId="1F48480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MIIT &amp; NDRC, Industrial Key Field Energy Efficiency Benchmarks (2023)</w:t>
            </w:r>
          </w:p>
        </w:tc>
        <w:tc>
          <w:tcPr>
            <w:tcW w:w="2852" w:type="dxa"/>
            <w:vAlign w:val="center"/>
          </w:tcPr>
          <w:p w14:paraId="75CAD10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https://www.gov.cn/zhengce/zhengceku/202307/content_6890009.htm</w:t>
            </w:r>
          </w:p>
        </w:tc>
      </w:tr>
      <w:tr w14:paraId="4873CD1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5AAC464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Scrap steel recycling</w:t>
            </w:r>
          </w:p>
        </w:tc>
        <w:tc>
          <w:tcPr>
            <w:tcW w:w="1767" w:type="dxa"/>
            <w:vAlign w:val="center"/>
          </w:tcPr>
          <w:p w14:paraId="09A90073">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Scrap recovery volume, recycling rate, pre-treatment capacity</w:t>
            </w:r>
          </w:p>
        </w:tc>
        <w:tc>
          <w:tcPr>
            <w:tcW w:w="2351" w:type="dxa"/>
            <w:vAlign w:val="center"/>
          </w:tcPr>
          <w:p w14:paraId="79E68FD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China Association of Metal Scrap Utilization (CAMU)</w:t>
            </w:r>
          </w:p>
        </w:tc>
        <w:tc>
          <w:tcPr>
            <w:tcW w:w="2852" w:type="dxa"/>
            <w:vAlign w:val="center"/>
          </w:tcPr>
          <w:p w14:paraId="14C870A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http://www.camu.org.cn/</w:t>
            </w:r>
          </w:p>
        </w:tc>
      </w:tr>
      <w:tr w14:paraId="6E88B6EC">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65DC5D1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Macroeconomic indicators</w:t>
            </w:r>
          </w:p>
        </w:tc>
        <w:tc>
          <w:tcPr>
            <w:tcW w:w="1767" w:type="dxa"/>
            <w:vAlign w:val="center"/>
          </w:tcPr>
          <w:p w14:paraId="65E853F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GDP, population, per capita GDP, industrial structure</w:t>
            </w:r>
          </w:p>
        </w:tc>
        <w:tc>
          <w:tcPr>
            <w:tcW w:w="2351" w:type="dxa"/>
            <w:vAlign w:val="center"/>
          </w:tcPr>
          <w:p w14:paraId="128F039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National Bureau of Statistics (NBS); World Bank WDI</w:t>
            </w:r>
          </w:p>
        </w:tc>
        <w:tc>
          <w:tcPr>
            <w:tcW w:w="2852" w:type="dxa"/>
            <w:vAlign w:val="center"/>
          </w:tcPr>
          <w:p w14:paraId="71EF821C">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https://www.stats.gov.cn/ ;</w:t>
            </w:r>
          </w:p>
          <w:p w14:paraId="4760031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https://data.worldbank.org/</w:t>
            </w:r>
          </w:p>
        </w:tc>
      </w:tr>
      <w:tr w14:paraId="6F2F5549">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7A98E57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Firm-level: Baosteel</w:t>
            </w:r>
          </w:p>
        </w:tc>
        <w:tc>
          <w:tcPr>
            <w:tcW w:w="1767" w:type="dxa"/>
            <w:vAlign w:val="center"/>
          </w:tcPr>
          <w:p w14:paraId="274A472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Capacity/output, scrap ratio, process structure, ore self-sufficiency</w:t>
            </w:r>
          </w:p>
        </w:tc>
        <w:tc>
          <w:tcPr>
            <w:tcW w:w="2351" w:type="dxa"/>
            <w:vAlign w:val="center"/>
          </w:tcPr>
          <w:p w14:paraId="62D35E18">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Baoshan Iron &amp; Steel Co., Ltd. (600019.SH), 2023 Annual Report &amp; Sustainable Development Report</w:t>
            </w:r>
          </w:p>
        </w:tc>
        <w:tc>
          <w:tcPr>
            <w:tcW w:w="2852" w:type="dxa"/>
            <w:vAlign w:val="center"/>
          </w:tcPr>
          <w:p w14:paraId="5400820E">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http://www.baosteel.com/ ;</w:t>
            </w:r>
          </w:p>
          <w:p w14:paraId="38FE53FC">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http://www.sse.com.cn/disclosure/listedinfo/announcement/c/new/2024-04-27/600019_20240427_B5D4.pdf</w:t>
            </w:r>
          </w:p>
        </w:tc>
      </w:tr>
      <w:tr w14:paraId="1A995B6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4F23ABA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Firm-level: Ansteel</w:t>
            </w:r>
          </w:p>
        </w:tc>
        <w:tc>
          <w:tcPr>
            <w:tcW w:w="1767" w:type="dxa"/>
            <w:vAlign w:val="center"/>
          </w:tcPr>
          <w:p w14:paraId="75E0515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Capacity/output, scrap ratio, process structure, ore self-sufficiency</w:t>
            </w:r>
          </w:p>
        </w:tc>
        <w:tc>
          <w:tcPr>
            <w:tcW w:w="2351" w:type="dxa"/>
            <w:vAlign w:val="center"/>
          </w:tcPr>
          <w:p w14:paraId="3D602F8E">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Angang Steel Co., Ltd. (000898.SZ/00347.HK), 2023 Annual Report</w:t>
            </w:r>
          </w:p>
        </w:tc>
        <w:tc>
          <w:tcPr>
            <w:tcW w:w="2852" w:type="dxa"/>
            <w:vAlign w:val="center"/>
          </w:tcPr>
          <w:p w14:paraId="32B4FB2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http://www.ansteel.com.cn/ ;</w:t>
            </w:r>
          </w:p>
          <w:p w14:paraId="6B16DDBC">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https://www.hkexnews.hk/listedco/listconews/sehk/2024/0401/2024040100367_c.pdf</w:t>
            </w:r>
          </w:p>
        </w:tc>
      </w:tr>
      <w:tr w14:paraId="688E329C">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0D69263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Firm-level: Shagang</w:t>
            </w:r>
          </w:p>
        </w:tc>
        <w:tc>
          <w:tcPr>
            <w:tcW w:w="1767" w:type="dxa"/>
            <w:vAlign w:val="center"/>
          </w:tcPr>
          <w:p w14:paraId="0684BBB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Capacity/output, scrap ratio, process structure, ore self-sufficiency</w:t>
            </w:r>
          </w:p>
        </w:tc>
        <w:tc>
          <w:tcPr>
            <w:tcW w:w="2351" w:type="dxa"/>
            <w:vAlign w:val="center"/>
          </w:tcPr>
          <w:p w14:paraId="06B1EEE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Jiangsu Shagang Group Co., Ltd., 2023 Social Responsibility Report</w:t>
            </w:r>
          </w:p>
        </w:tc>
        <w:tc>
          <w:tcPr>
            <w:tcW w:w="2852" w:type="dxa"/>
            <w:vAlign w:val="center"/>
          </w:tcPr>
          <w:p w14:paraId="43CBA4C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http://www.sha-steel.com/ ;</w:t>
            </w:r>
          </w:p>
          <w:p w14:paraId="37A6F4D7">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http://sg.shasteel.cn/uploadfiles/202408/06/2024080613465499869137.pdf</w:t>
            </w:r>
          </w:p>
        </w:tc>
      </w:tr>
      <w:tr w14:paraId="399003E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55E20BE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Iron ore market price</w:t>
            </w:r>
          </w:p>
        </w:tc>
        <w:tc>
          <w:tcPr>
            <w:tcW w:w="1767" w:type="dxa"/>
            <w:vAlign w:val="center"/>
          </w:tcPr>
          <w:p w14:paraId="34EB9BF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Imported iron ore CIF price (62% Fe benchmark)</w:t>
            </w:r>
          </w:p>
        </w:tc>
        <w:tc>
          <w:tcPr>
            <w:tcW w:w="2351" w:type="dxa"/>
            <w:vAlign w:val="center"/>
          </w:tcPr>
          <w:p w14:paraId="19824C6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Shanghai Steel Exchange (Mysteel); Platts IODEX</w:t>
            </w:r>
          </w:p>
        </w:tc>
        <w:tc>
          <w:tcPr>
            <w:tcW w:w="2852" w:type="dxa"/>
            <w:vAlign w:val="center"/>
          </w:tcPr>
          <w:p w14:paraId="35275C2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https://www.mysteel.com/</w:t>
            </w:r>
          </w:p>
        </w:tc>
      </w:tr>
      <w:tr w14:paraId="6784B10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36" w:type="dxa"/>
            <w:vAlign w:val="center"/>
          </w:tcPr>
          <w:p w14:paraId="00EFCB2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Carbon emission factors</w:t>
            </w:r>
          </w:p>
        </w:tc>
        <w:tc>
          <w:tcPr>
            <w:tcW w:w="1767" w:type="dxa"/>
            <w:vAlign w:val="center"/>
          </w:tcPr>
          <w:p w14:paraId="66B1A0B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CO2 emission factor per tonne virgin iron ore; carbon market quota</w:t>
            </w:r>
          </w:p>
        </w:tc>
        <w:tc>
          <w:tcPr>
            <w:tcW w:w="2351" w:type="dxa"/>
            <w:vAlign w:val="center"/>
          </w:tcPr>
          <w:p w14:paraId="14FD1B6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IPCC Guidelines; Ministry of Ecology and Environment, China ETS</w:t>
            </w:r>
          </w:p>
        </w:tc>
        <w:tc>
          <w:tcPr>
            <w:tcW w:w="2852" w:type="dxa"/>
            <w:vAlign w:val="center"/>
          </w:tcPr>
          <w:p w14:paraId="613E583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https://www.ipcc.ch/ ;</w:t>
            </w:r>
          </w:p>
          <w:p w14:paraId="155E9F0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https://www.mee.gov.cn/</w:t>
            </w:r>
          </w:p>
        </w:tc>
      </w:tr>
    </w:tbl>
    <w:p w14:paraId="280DC15F">
      <w:pPr>
        <w:rPr>
          <w:rFonts w:hint="eastAsia" w:ascii="Calibri" w:hAnsi="Calibri" w:cs="Calibri" w:eastAsiaTheme="minorEastAsia"/>
          <w:lang w:val="en-US" w:eastAsia="zh-CN"/>
        </w:rPr>
      </w:pPr>
      <w:r>
        <w:rPr>
          <w:rFonts w:hint="eastAsia" w:ascii="Calibri" w:hAnsi="Calibri" w:cs="Calibri"/>
          <w:lang w:val="en-US" w:eastAsia="zh-CN"/>
        </w:rPr>
        <w:t>*</w:t>
      </w:r>
      <w:r>
        <w:rPr>
          <w:rFonts w:hint="eastAsia" w:ascii="Calibri" w:hAnsi="Calibri" w:cs="Calibri"/>
        </w:rPr>
        <w:t>Data Preprocessing Procedures</w:t>
      </w:r>
      <w:r>
        <w:rPr>
          <w:rFonts w:hint="eastAsia" w:ascii="Calibri" w:hAnsi="Calibri" w:cs="Calibri"/>
          <w:lang w:val="en-US" w:eastAsia="zh-CN"/>
        </w:rPr>
        <w:t>:</w:t>
      </w:r>
    </w:p>
    <w:p w14:paraId="145C860F">
      <w:pPr>
        <w:ind w:firstLine="420" w:firstLineChars="0"/>
        <w:rPr>
          <w:rFonts w:hint="eastAsia" w:ascii="Calibri" w:hAnsi="Calibri" w:cs="Calibri"/>
        </w:rPr>
      </w:pPr>
      <w:r>
        <w:rPr>
          <w:rFonts w:hint="eastAsia" w:ascii="Calibri" w:hAnsi="Calibri" w:cs="Calibri"/>
        </w:rPr>
        <w:t>(1) Caliber unification: Data from different sources were converted to a common statistical caliber. Crude steel output was unified to include continuously cast billets and ingots, excluding semi-finished products traded between enterprises. Scrap volumes were unified to gross weight before pre-treatment, consistent with the China Iron and Steel Industry Yearbook definition.</w:t>
      </w:r>
    </w:p>
    <w:p w14:paraId="0B75A518">
      <w:pPr>
        <w:ind w:firstLine="420" w:firstLineChars="0"/>
        <w:rPr>
          <w:rFonts w:hint="eastAsia" w:ascii="Calibri" w:hAnsi="Calibri" w:cs="Calibri"/>
        </w:rPr>
      </w:pPr>
      <w:r>
        <w:rPr>
          <w:rFonts w:hint="eastAsia" w:ascii="Calibri" w:hAnsi="Calibri" w:cs="Calibri"/>
        </w:rPr>
        <w:t>(2) Duplicate reporting elimination: Cross-checked data from the Yearbook, NBS, and customs records. Imported scrap volumes were reconciled between customs and yearbook data, adopting the customs figure as authoritative.</w:t>
      </w:r>
    </w:p>
    <w:p w14:paraId="6EE5E076">
      <w:pPr>
        <w:ind w:firstLine="420" w:firstLineChars="0"/>
        <w:rPr>
          <w:rFonts w:hint="eastAsia" w:ascii="Calibri" w:hAnsi="Calibri" w:cs="Calibri"/>
        </w:rPr>
      </w:pPr>
      <w:r>
        <w:rPr>
          <w:rFonts w:hint="eastAsia" w:ascii="Calibri" w:hAnsi="Calibri" w:cs="Calibri"/>
        </w:rPr>
        <w:t>(3) Missing value imputation: Linear interpolation between adjacent known years for flow variables; capacity variables held constant at the last known value. All imputed values are flagged in the calculation tables.</w:t>
      </w:r>
    </w:p>
    <w:p w14:paraId="76B31E25">
      <w:pPr>
        <w:ind w:firstLine="420" w:firstLineChars="0"/>
        <w:rPr>
          <w:rFonts w:ascii="Calibri" w:hAnsi="Calibri" w:cs="Calibri"/>
        </w:rPr>
      </w:pPr>
      <w:r>
        <w:rPr>
          <w:rFonts w:hint="eastAsia" w:ascii="Calibri" w:hAnsi="Calibri" w:cs="Calibri"/>
        </w:rPr>
        <w:t>(4) Outlier detection: Values exceeding ±3 standard deviations from the 5-year moving average were flagged. Each was manually verified against the original source; confirmed errors were corrected, while genuine extreme values (e.g., 2017 scrap import collapse due to the waste import ban) were retained and documented.</w:t>
      </w:r>
    </w:p>
    <w:p w14:paraId="3CAFE7D5">
      <w:pPr>
        <w:rPr>
          <w:rFonts w:ascii="Calibri" w:hAnsi="Calibri" w:cs="Calibri"/>
        </w:rPr>
      </w:pPr>
    </w:p>
    <w:p w14:paraId="60036E2F">
      <w:pPr>
        <w:pStyle w:val="2"/>
        <w:bidi w:val="0"/>
      </w:pPr>
      <w:r>
        <w:t>Table S</w:t>
      </w:r>
      <w:r>
        <w:rPr>
          <w:rFonts w:hint="eastAsia"/>
          <w:lang w:val="en-US" w:eastAsia="zh-CN"/>
        </w:rPr>
        <w:t xml:space="preserve">2 </w:t>
      </w:r>
      <w:r>
        <w:rPr>
          <w:rFonts w:hint="eastAsia"/>
        </w:rPr>
        <w:t>Node-Level Flow Accounting Tables</w:t>
      </w:r>
    </w:p>
    <w:p w14:paraId="11460A7E">
      <w:pPr>
        <w:ind w:firstLine="420" w:firstLineChars="0"/>
        <w:rPr>
          <w:rFonts w:hint="eastAsia" w:ascii="Calibri" w:hAnsi="Calibri" w:cs="Calibri"/>
        </w:rPr>
      </w:pPr>
      <w:r>
        <w:rPr>
          <w:rFonts w:hint="eastAsia" w:ascii="Calibri" w:hAnsi="Calibri" w:cs="Calibri"/>
        </w:rPr>
        <w:t>The SFA system boundary covers the full life cycle of steel in China, with six process nodes: (N1) Resource input (iron ore mining and imports); (N2) Beneficiation and smelting (ore beneficiation, blast furnace ironmaking, oxygen converter steelmaking); (N3) Processing and manufacturing (rolling, forging, surface treatment); (N4) Consumption and in-use stock accumulation; (N5) Scrap recycling (collection, sorting, pre-treatment, reintroduction to production); (N6) Environmental release (tailings, slag, dust, dissipative losses, landfilled scrap). All flows are expressed as iron element content (Mt/yr Fe). The functional unit is one year.</w:t>
      </w:r>
    </w:p>
    <w:p w14:paraId="0090D363">
      <w:pPr>
        <w:ind w:firstLine="420" w:firstLineChars="0"/>
        <w:rPr>
          <w:rFonts w:hint="eastAsia" w:ascii="Calibri" w:hAnsi="Calibri" w:cs="Calibri"/>
        </w:rPr>
      </w:pPr>
      <w:r>
        <w:rPr>
          <w:rFonts w:hint="eastAsia" w:ascii="Calibri" w:hAnsi="Calibri" w:cs="Calibri"/>
        </w:rPr>
        <w:t>Data category: Primary data [a] (iron ore input, crude steel output, scrap recovery, scrap imports) from China Iron and Steel Industry Yearbook (http://www.cmisi.com.cn/); derived values [b] (node-level losses, stock changes) calculated by this study using mass balance .</w:t>
      </w:r>
    </w:p>
    <w:p w14:paraId="32D63C71">
      <w:pPr>
        <w:pStyle w:val="3"/>
        <w:bidi w:val="0"/>
        <w:rPr>
          <w:rFonts w:hint="default"/>
        </w:rPr>
      </w:pPr>
      <w:r>
        <w:rPr>
          <w:rFonts w:hint="default"/>
        </w:rPr>
        <w:t>Table S2.1. Iron element flow accounting — 2010 (Mt/yr Fe)</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524"/>
        <w:gridCol w:w="1798"/>
        <w:gridCol w:w="1661"/>
        <w:gridCol w:w="1827"/>
        <w:gridCol w:w="1495"/>
      </w:tblGrid>
      <w:tr w14:paraId="2F463C1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trPr>
        <w:tc>
          <w:tcPr>
            <w:tcW w:w="1524" w:type="dxa"/>
            <w:tcBorders>
              <w:bottom w:val="single" w:color="auto" w:sz="6" w:space="0"/>
            </w:tcBorders>
            <w:vAlign w:val="center"/>
          </w:tcPr>
          <w:p w14:paraId="6F99F7F1">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Node</w:t>
            </w:r>
          </w:p>
        </w:tc>
        <w:tc>
          <w:tcPr>
            <w:tcW w:w="1798" w:type="dxa"/>
            <w:tcBorders>
              <w:bottom w:val="single" w:color="auto" w:sz="6" w:space="0"/>
            </w:tcBorders>
            <w:vAlign w:val="center"/>
          </w:tcPr>
          <w:p w14:paraId="7FE6633B">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Primary Input</w:t>
            </w:r>
          </w:p>
        </w:tc>
        <w:tc>
          <w:tcPr>
            <w:tcW w:w="1661" w:type="dxa"/>
            <w:tcBorders>
              <w:bottom w:val="single" w:color="auto" w:sz="6" w:space="0"/>
            </w:tcBorders>
            <w:vAlign w:val="center"/>
          </w:tcPr>
          <w:p w14:paraId="69E9B5EF">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Recycled Input</w:t>
            </w:r>
          </w:p>
        </w:tc>
        <w:tc>
          <w:tcPr>
            <w:tcW w:w="1827" w:type="dxa"/>
            <w:tcBorders>
              <w:bottom w:val="single" w:color="auto" w:sz="6" w:space="0"/>
            </w:tcBorders>
            <w:vAlign w:val="center"/>
          </w:tcPr>
          <w:p w14:paraId="1069797C">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Effective Output</w:t>
            </w:r>
          </w:p>
        </w:tc>
        <w:tc>
          <w:tcPr>
            <w:tcW w:w="1495" w:type="dxa"/>
            <w:tcBorders>
              <w:bottom w:val="single" w:color="auto" w:sz="6" w:space="0"/>
            </w:tcBorders>
            <w:vAlign w:val="center"/>
          </w:tcPr>
          <w:p w14:paraId="612D04A9">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Loss</w:t>
            </w:r>
          </w:p>
        </w:tc>
      </w:tr>
      <w:tr w14:paraId="29B443A1">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PrEx>
        <w:tc>
          <w:tcPr>
            <w:tcW w:w="1524" w:type="dxa"/>
            <w:tcBorders>
              <w:top w:val="single" w:color="auto" w:sz="6" w:space="0"/>
            </w:tcBorders>
            <w:vAlign w:val="center"/>
          </w:tcPr>
          <w:p w14:paraId="43D25E3B">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N1 Resource input</w:t>
            </w:r>
          </w:p>
        </w:tc>
        <w:tc>
          <w:tcPr>
            <w:tcW w:w="1798" w:type="dxa"/>
            <w:tcBorders>
              <w:top w:val="single" w:color="auto" w:sz="6" w:space="0"/>
            </w:tcBorders>
            <w:vAlign w:val="center"/>
          </w:tcPr>
          <w:p w14:paraId="2CEC84A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614.0 (ore) [a]</w:t>
            </w:r>
          </w:p>
        </w:tc>
        <w:tc>
          <w:tcPr>
            <w:tcW w:w="1661" w:type="dxa"/>
            <w:tcBorders>
              <w:top w:val="single" w:color="auto" w:sz="6" w:space="0"/>
            </w:tcBorders>
            <w:vAlign w:val="center"/>
          </w:tcPr>
          <w:p w14:paraId="6B00DE9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5.9 (imported scrap) [a]</w:t>
            </w:r>
          </w:p>
        </w:tc>
        <w:tc>
          <w:tcPr>
            <w:tcW w:w="1827" w:type="dxa"/>
            <w:tcBorders>
              <w:top w:val="single" w:color="auto" w:sz="6" w:space="0"/>
            </w:tcBorders>
            <w:vAlign w:val="center"/>
          </w:tcPr>
          <w:p w14:paraId="6D93EFBC">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619.9 (to N2) [b]</w:t>
            </w:r>
          </w:p>
        </w:tc>
        <w:tc>
          <w:tcPr>
            <w:tcW w:w="1495" w:type="dxa"/>
            <w:tcBorders>
              <w:top w:val="single" w:color="auto" w:sz="6" w:space="0"/>
            </w:tcBorders>
            <w:vAlign w:val="center"/>
          </w:tcPr>
          <w:p w14:paraId="434E882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r>
      <w:tr w14:paraId="0C2D66F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6C3CB11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N2 Beneficiation &amp; smelting</w:t>
            </w:r>
          </w:p>
        </w:tc>
        <w:tc>
          <w:tcPr>
            <w:tcW w:w="1798" w:type="dxa"/>
            <w:vAlign w:val="center"/>
          </w:tcPr>
          <w:p w14:paraId="05C7B648">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619.9 (from N1) [b]</w:t>
            </w:r>
          </w:p>
        </w:tc>
        <w:tc>
          <w:tcPr>
            <w:tcW w:w="1661" w:type="dxa"/>
            <w:vAlign w:val="center"/>
          </w:tcPr>
          <w:p w14:paraId="1183226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27.7 (domestic scrap) [a]</w:t>
            </w:r>
          </w:p>
        </w:tc>
        <w:tc>
          <w:tcPr>
            <w:tcW w:w="1827" w:type="dxa"/>
            <w:vAlign w:val="center"/>
          </w:tcPr>
          <w:p w14:paraId="4AC60268">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400.4 (crude steel Fe) [a]</w:t>
            </w:r>
          </w:p>
        </w:tc>
        <w:tc>
          <w:tcPr>
            <w:tcW w:w="1495" w:type="dxa"/>
            <w:vAlign w:val="center"/>
          </w:tcPr>
          <w:p w14:paraId="6DC5E6C3">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247.2 (tailings+slag) [b]</w:t>
            </w:r>
          </w:p>
        </w:tc>
      </w:tr>
      <w:tr w14:paraId="60B56650">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39E3567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N3 Processing &amp; mfg</w:t>
            </w:r>
          </w:p>
        </w:tc>
        <w:tc>
          <w:tcPr>
            <w:tcW w:w="1798" w:type="dxa"/>
            <w:vAlign w:val="center"/>
          </w:tcPr>
          <w:p w14:paraId="4DEB533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400.4 (from N2) [b]</w:t>
            </w:r>
          </w:p>
        </w:tc>
        <w:tc>
          <w:tcPr>
            <w:tcW w:w="1661" w:type="dxa"/>
            <w:vAlign w:val="center"/>
          </w:tcPr>
          <w:p w14:paraId="5254E61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827" w:type="dxa"/>
            <w:vAlign w:val="center"/>
          </w:tcPr>
          <w:p w14:paraId="2F7D805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387.6 (finished steel Fe) [a]</w:t>
            </w:r>
          </w:p>
        </w:tc>
        <w:tc>
          <w:tcPr>
            <w:tcW w:w="1495" w:type="dxa"/>
            <w:vAlign w:val="center"/>
          </w:tcPr>
          <w:p w14:paraId="3B17024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12.8 (processing scrap) [b]</w:t>
            </w:r>
          </w:p>
        </w:tc>
      </w:tr>
      <w:tr w14:paraId="780C67C6">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18EA918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N4 Consumption &amp; stock</w:t>
            </w:r>
          </w:p>
        </w:tc>
        <w:tc>
          <w:tcPr>
            <w:tcW w:w="1798" w:type="dxa"/>
            <w:vAlign w:val="center"/>
          </w:tcPr>
          <w:p w14:paraId="79CC4B8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387.6 (from N3) [b]</w:t>
            </w:r>
          </w:p>
        </w:tc>
        <w:tc>
          <w:tcPr>
            <w:tcW w:w="1661" w:type="dxa"/>
            <w:vAlign w:val="center"/>
          </w:tcPr>
          <w:p w14:paraId="66D4E4B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827" w:type="dxa"/>
            <w:vAlign w:val="center"/>
          </w:tcPr>
          <w:p w14:paraId="027F00A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495" w:type="dxa"/>
            <w:vAlign w:val="center"/>
          </w:tcPr>
          <w:p w14:paraId="0241CA6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495.8 (net stock add) [b]</w:t>
            </w:r>
          </w:p>
        </w:tc>
      </w:tr>
      <w:tr w14:paraId="3927131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114E7CF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N5 Scrap recycling</w:t>
            </w:r>
          </w:p>
        </w:tc>
        <w:tc>
          <w:tcPr>
            <w:tcW w:w="1798" w:type="dxa"/>
            <w:vAlign w:val="center"/>
          </w:tcPr>
          <w:p w14:paraId="4B8E0003">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661" w:type="dxa"/>
            <w:vAlign w:val="center"/>
          </w:tcPr>
          <w:p w14:paraId="0EDB2FC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27.7 (recovered) [a]</w:t>
            </w:r>
          </w:p>
        </w:tc>
        <w:tc>
          <w:tcPr>
            <w:tcW w:w="1827" w:type="dxa"/>
            <w:vAlign w:val="center"/>
          </w:tcPr>
          <w:p w14:paraId="7471142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27.7 (to N2) [b]</w:t>
            </w:r>
          </w:p>
        </w:tc>
        <w:tc>
          <w:tcPr>
            <w:tcW w:w="1495" w:type="dxa"/>
            <w:vAlign w:val="center"/>
          </w:tcPr>
          <w:p w14:paraId="6A3DD8F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r>
      <w:tr w14:paraId="7C9BF924">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6A460A3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N6 Environmental release</w:t>
            </w:r>
          </w:p>
        </w:tc>
        <w:tc>
          <w:tcPr>
            <w:tcW w:w="1798" w:type="dxa"/>
            <w:vAlign w:val="center"/>
          </w:tcPr>
          <w:p w14:paraId="02D270E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661" w:type="dxa"/>
            <w:vAlign w:val="center"/>
          </w:tcPr>
          <w:p w14:paraId="4F9DB7C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827" w:type="dxa"/>
            <w:vAlign w:val="center"/>
          </w:tcPr>
          <w:p w14:paraId="4F8901B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495" w:type="dxa"/>
            <w:vAlign w:val="center"/>
          </w:tcPr>
          <w:p w14:paraId="31CF1C9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247.2 (N2) + 12.8 (N3) + dissipative [b]</w:t>
            </w:r>
          </w:p>
        </w:tc>
      </w:tr>
    </w:tbl>
    <w:p w14:paraId="5B484FA6">
      <w:pPr>
        <w:rPr>
          <w:rFonts w:hint="default" w:ascii="Calibri" w:hAnsi="Calibri" w:cs="Calibri"/>
        </w:rPr>
      </w:pPr>
      <w:r>
        <w:rPr>
          <w:rFonts w:hint="eastAsia" w:ascii="Calibri" w:hAnsi="Calibri" w:cs="Calibri"/>
          <w:lang w:val="en-US" w:eastAsia="zh-CN"/>
        </w:rPr>
        <w:t>*</w:t>
      </w:r>
      <w:r>
        <w:rPr>
          <w:rFonts w:hint="default" w:ascii="Calibri" w:hAnsi="Calibri" w:cs="Calibri"/>
        </w:rPr>
        <w:t>Notes: [a] Primary data from China Iron and Steel Industry Yearbook (http://www.cmisi.com.cn/). [b] Calculated by this study using Eq. 1. Mass balance closure error = 1.8%.</w:t>
      </w:r>
    </w:p>
    <w:p w14:paraId="69D9C0F5">
      <w:pPr>
        <w:pStyle w:val="3"/>
        <w:bidi w:val="0"/>
        <w:rPr>
          <w:rFonts w:hint="default"/>
        </w:rPr>
      </w:pPr>
      <w:r>
        <w:rPr>
          <w:rFonts w:hint="default"/>
        </w:rPr>
        <w:t>Table S2.2. Iron element flow accounting — 2015 (Mt/yr Fe)</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517"/>
        <w:gridCol w:w="1805"/>
        <w:gridCol w:w="1661"/>
        <w:gridCol w:w="1827"/>
        <w:gridCol w:w="1495"/>
      </w:tblGrid>
      <w:tr w14:paraId="687EC177">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tcBorders>
              <w:top w:val="single" w:color="auto" w:sz="6" w:space="0"/>
              <w:bottom w:val="single" w:color="auto" w:sz="6" w:space="0"/>
            </w:tcBorders>
            <w:vAlign w:val="center"/>
          </w:tcPr>
          <w:p w14:paraId="69F2226E">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Node</w:t>
            </w:r>
          </w:p>
        </w:tc>
        <w:tc>
          <w:tcPr>
            <w:tcW w:w="1805" w:type="dxa"/>
            <w:tcBorders>
              <w:top w:val="single" w:color="auto" w:sz="6" w:space="0"/>
              <w:bottom w:val="single" w:color="auto" w:sz="6" w:space="0"/>
            </w:tcBorders>
            <w:vAlign w:val="center"/>
          </w:tcPr>
          <w:p w14:paraId="4745DB9E">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Primary Input</w:t>
            </w:r>
          </w:p>
        </w:tc>
        <w:tc>
          <w:tcPr>
            <w:tcW w:w="1661" w:type="dxa"/>
            <w:tcBorders>
              <w:top w:val="single" w:color="auto" w:sz="6" w:space="0"/>
              <w:bottom w:val="single" w:color="auto" w:sz="6" w:space="0"/>
            </w:tcBorders>
            <w:vAlign w:val="center"/>
          </w:tcPr>
          <w:p w14:paraId="2CEB5E7E">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Recycled Input</w:t>
            </w:r>
          </w:p>
        </w:tc>
        <w:tc>
          <w:tcPr>
            <w:tcW w:w="1827" w:type="dxa"/>
            <w:tcBorders>
              <w:top w:val="single" w:color="auto" w:sz="6" w:space="0"/>
              <w:bottom w:val="single" w:color="auto" w:sz="6" w:space="0"/>
            </w:tcBorders>
            <w:vAlign w:val="center"/>
          </w:tcPr>
          <w:p w14:paraId="2D6E5786">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Calibri" w:hAnsi="Calibri" w:cs="Calibri" w:eastAsiaTheme="minorEastAsia"/>
                <w:lang w:val="en-US" w:eastAsia="zh-CN"/>
              </w:rPr>
            </w:pPr>
            <w:r>
              <w:rPr>
                <w:rFonts w:hint="default" w:ascii="Calibri" w:hAnsi="Calibri" w:cs="Calibri"/>
              </w:rPr>
              <w:t>Effective Outpu</w:t>
            </w:r>
            <w:r>
              <w:rPr>
                <w:rFonts w:hint="eastAsia" w:ascii="Calibri" w:hAnsi="Calibri" w:cs="Calibri"/>
                <w:lang w:val="en-US" w:eastAsia="zh-CN"/>
              </w:rPr>
              <w:t>t</w:t>
            </w:r>
          </w:p>
        </w:tc>
        <w:tc>
          <w:tcPr>
            <w:tcW w:w="1495" w:type="dxa"/>
            <w:tcBorders>
              <w:top w:val="single" w:color="auto" w:sz="6" w:space="0"/>
              <w:bottom w:val="single" w:color="auto" w:sz="6" w:space="0"/>
            </w:tcBorders>
            <w:vAlign w:val="center"/>
          </w:tcPr>
          <w:p w14:paraId="2C92645A">
            <w:pPr>
              <w:keepNext w:val="0"/>
              <w:keepLines w:val="0"/>
              <w:pageBreakBefore w:val="0"/>
              <w:widowControl w:val="0"/>
              <w:kinsoku/>
              <w:wordWrap w:val="0"/>
              <w:overflowPunct/>
              <w:topLinePunct w:val="0"/>
              <w:autoSpaceDE/>
              <w:autoSpaceDN/>
              <w:bidi w:val="0"/>
              <w:adjustRightInd/>
              <w:snapToGrid/>
              <w:jc w:val="center"/>
              <w:textAlignment w:val="auto"/>
              <w:rPr>
                <w:rFonts w:hint="default" w:ascii="Calibri" w:hAnsi="Calibri" w:cs="Calibri"/>
              </w:rPr>
            </w:pPr>
            <w:r>
              <w:rPr>
                <w:rFonts w:hint="default" w:ascii="Calibri" w:hAnsi="Calibri" w:cs="Calibri"/>
              </w:rPr>
              <w:t>Loss</w:t>
            </w:r>
          </w:p>
        </w:tc>
      </w:tr>
      <w:tr w14:paraId="1D041C8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tcBorders>
              <w:top w:val="single" w:color="auto" w:sz="6" w:space="0"/>
            </w:tcBorders>
            <w:vAlign w:val="center"/>
          </w:tcPr>
          <w:p w14:paraId="3FF5EA6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N1 Resource input</w:t>
            </w:r>
          </w:p>
        </w:tc>
        <w:tc>
          <w:tcPr>
            <w:tcW w:w="1805" w:type="dxa"/>
            <w:tcBorders>
              <w:top w:val="single" w:color="auto" w:sz="6" w:space="0"/>
            </w:tcBorders>
            <w:vAlign w:val="center"/>
          </w:tcPr>
          <w:p w14:paraId="0AEF3F8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787.7 (ore) [a]</w:t>
            </w:r>
          </w:p>
        </w:tc>
        <w:tc>
          <w:tcPr>
            <w:tcW w:w="1661" w:type="dxa"/>
            <w:tcBorders>
              <w:top w:val="single" w:color="auto" w:sz="6" w:space="0"/>
            </w:tcBorders>
            <w:vAlign w:val="center"/>
          </w:tcPr>
          <w:p w14:paraId="7A9E095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2.3 (imported scrap) [a]</w:t>
            </w:r>
          </w:p>
        </w:tc>
        <w:tc>
          <w:tcPr>
            <w:tcW w:w="1827" w:type="dxa"/>
            <w:tcBorders>
              <w:top w:val="single" w:color="auto" w:sz="6" w:space="0"/>
            </w:tcBorders>
            <w:vAlign w:val="center"/>
          </w:tcPr>
          <w:p w14:paraId="18BFAED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790.0 (to N2) [b]</w:t>
            </w:r>
          </w:p>
        </w:tc>
        <w:tc>
          <w:tcPr>
            <w:tcW w:w="1495" w:type="dxa"/>
            <w:tcBorders>
              <w:top w:val="single" w:color="auto" w:sz="6" w:space="0"/>
            </w:tcBorders>
            <w:vAlign w:val="center"/>
          </w:tcPr>
          <w:p w14:paraId="48BE948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r>
      <w:tr w14:paraId="1E34320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vAlign w:val="center"/>
          </w:tcPr>
          <w:p w14:paraId="616A7C8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N2 Beneficiation &amp; smelting</w:t>
            </w:r>
          </w:p>
        </w:tc>
        <w:tc>
          <w:tcPr>
            <w:tcW w:w="1805" w:type="dxa"/>
            <w:vAlign w:val="center"/>
          </w:tcPr>
          <w:p w14:paraId="5F77C66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790.0 (from N1) [b]</w:t>
            </w:r>
          </w:p>
        </w:tc>
        <w:tc>
          <w:tcPr>
            <w:tcW w:w="1661" w:type="dxa"/>
            <w:vAlign w:val="center"/>
          </w:tcPr>
          <w:p w14:paraId="6ADB7FA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52.4 (domestic scrap) [a]</w:t>
            </w:r>
          </w:p>
        </w:tc>
        <w:tc>
          <w:tcPr>
            <w:tcW w:w="1827" w:type="dxa"/>
            <w:vAlign w:val="center"/>
          </w:tcPr>
          <w:p w14:paraId="46F94A54">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520.1 (crude steel Fe) [a]</w:t>
            </w:r>
          </w:p>
        </w:tc>
        <w:tc>
          <w:tcPr>
            <w:tcW w:w="1495" w:type="dxa"/>
            <w:vAlign w:val="center"/>
          </w:tcPr>
          <w:p w14:paraId="61E6325E">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322.3 (tailings+slag) [b]</w:t>
            </w:r>
          </w:p>
        </w:tc>
      </w:tr>
      <w:tr w14:paraId="210BF99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vAlign w:val="center"/>
          </w:tcPr>
          <w:p w14:paraId="105CD84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N3 Processing &amp; mfg</w:t>
            </w:r>
          </w:p>
        </w:tc>
        <w:tc>
          <w:tcPr>
            <w:tcW w:w="1805" w:type="dxa"/>
            <w:vAlign w:val="center"/>
          </w:tcPr>
          <w:p w14:paraId="6DB5D59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520.1 (from N2) [b]</w:t>
            </w:r>
          </w:p>
        </w:tc>
        <w:tc>
          <w:tcPr>
            <w:tcW w:w="1661" w:type="dxa"/>
            <w:vAlign w:val="center"/>
          </w:tcPr>
          <w:p w14:paraId="32C81649">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827" w:type="dxa"/>
            <w:vAlign w:val="center"/>
          </w:tcPr>
          <w:p w14:paraId="01CAD4D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502.8 (finished steel Fe) [a]</w:t>
            </w:r>
          </w:p>
        </w:tc>
        <w:tc>
          <w:tcPr>
            <w:tcW w:w="1495" w:type="dxa"/>
            <w:vAlign w:val="center"/>
          </w:tcPr>
          <w:p w14:paraId="48C3799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17.3 (processing scrap) [b]</w:t>
            </w:r>
          </w:p>
        </w:tc>
      </w:tr>
      <w:tr w14:paraId="2349479C">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vAlign w:val="center"/>
          </w:tcPr>
          <w:p w14:paraId="453D3AFD">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N4 Consumption &amp; stock</w:t>
            </w:r>
          </w:p>
        </w:tc>
        <w:tc>
          <w:tcPr>
            <w:tcW w:w="1805" w:type="dxa"/>
            <w:vAlign w:val="center"/>
          </w:tcPr>
          <w:p w14:paraId="30C49F61">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502.8 (from N3) [b]</w:t>
            </w:r>
          </w:p>
        </w:tc>
        <w:tc>
          <w:tcPr>
            <w:tcW w:w="1661" w:type="dxa"/>
            <w:vAlign w:val="center"/>
          </w:tcPr>
          <w:p w14:paraId="5B46AEE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827" w:type="dxa"/>
            <w:vAlign w:val="center"/>
          </w:tcPr>
          <w:p w14:paraId="6859A208">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495" w:type="dxa"/>
            <w:vAlign w:val="center"/>
          </w:tcPr>
          <w:p w14:paraId="45B62C4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643.1 (net stock add) [b]</w:t>
            </w:r>
          </w:p>
        </w:tc>
      </w:tr>
      <w:tr w14:paraId="188B5BC9">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vAlign w:val="center"/>
          </w:tcPr>
          <w:p w14:paraId="7C7EEAB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N5 Scrap recycling</w:t>
            </w:r>
          </w:p>
        </w:tc>
        <w:tc>
          <w:tcPr>
            <w:tcW w:w="1805" w:type="dxa"/>
            <w:vAlign w:val="center"/>
          </w:tcPr>
          <w:p w14:paraId="4960071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661" w:type="dxa"/>
            <w:vAlign w:val="center"/>
          </w:tcPr>
          <w:p w14:paraId="62B8BBA0">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52.4 (recovered) [a]</w:t>
            </w:r>
          </w:p>
        </w:tc>
        <w:tc>
          <w:tcPr>
            <w:tcW w:w="1827" w:type="dxa"/>
            <w:vAlign w:val="center"/>
          </w:tcPr>
          <w:p w14:paraId="24FC5ED7">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52.4 (to N2) [b]</w:t>
            </w:r>
          </w:p>
        </w:tc>
        <w:tc>
          <w:tcPr>
            <w:tcW w:w="1495" w:type="dxa"/>
            <w:vAlign w:val="center"/>
          </w:tcPr>
          <w:p w14:paraId="625260C5">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r>
      <w:tr w14:paraId="39C3C2D5">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17" w:type="dxa"/>
            <w:vAlign w:val="center"/>
          </w:tcPr>
          <w:p w14:paraId="3E3B2162">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N6 Environmental release</w:t>
            </w:r>
          </w:p>
        </w:tc>
        <w:tc>
          <w:tcPr>
            <w:tcW w:w="1805" w:type="dxa"/>
            <w:vAlign w:val="center"/>
          </w:tcPr>
          <w:p w14:paraId="5102053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661" w:type="dxa"/>
            <w:vAlign w:val="center"/>
          </w:tcPr>
          <w:p w14:paraId="24BF9B06">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827" w:type="dxa"/>
            <w:vAlign w:val="center"/>
          </w:tcPr>
          <w:p w14:paraId="0FB43E9F">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w:t>
            </w:r>
          </w:p>
        </w:tc>
        <w:tc>
          <w:tcPr>
            <w:tcW w:w="1495" w:type="dxa"/>
            <w:vAlign w:val="center"/>
          </w:tcPr>
          <w:p w14:paraId="5E8F967A">
            <w:pPr>
              <w:keepNext w:val="0"/>
              <w:keepLines w:val="0"/>
              <w:pageBreakBefore w:val="0"/>
              <w:widowControl w:val="0"/>
              <w:kinsoku/>
              <w:wordWrap w:val="0"/>
              <w:overflowPunct/>
              <w:topLinePunct w:val="0"/>
              <w:autoSpaceDE/>
              <w:autoSpaceDN/>
              <w:bidi w:val="0"/>
              <w:adjustRightInd/>
              <w:snapToGrid/>
              <w:jc w:val="both"/>
              <w:textAlignment w:val="auto"/>
              <w:rPr>
                <w:rFonts w:hint="default" w:ascii="Calibri" w:hAnsi="Calibri" w:cs="Calibri"/>
              </w:rPr>
            </w:pPr>
            <w:r>
              <w:rPr>
                <w:rFonts w:hint="default" w:ascii="Calibri" w:hAnsi="Calibri" w:cs="Calibri"/>
              </w:rPr>
              <w:t>322.3 (N2) + 17.3 (N3) + dissipative [b]</w:t>
            </w:r>
          </w:p>
        </w:tc>
      </w:tr>
    </w:tbl>
    <w:p w14:paraId="4A0603FA">
      <w:pPr>
        <w:rPr>
          <w:rFonts w:hint="default" w:ascii="Calibri" w:hAnsi="Calibri" w:cs="Calibri"/>
        </w:rPr>
      </w:pPr>
      <w:r>
        <w:rPr>
          <w:rFonts w:hint="eastAsia" w:ascii="Calibri" w:hAnsi="Calibri" w:cs="Calibri"/>
          <w:lang w:val="en-US" w:eastAsia="zh-CN"/>
        </w:rPr>
        <w:t>*</w:t>
      </w:r>
      <w:r>
        <w:rPr>
          <w:rFonts w:hint="default" w:ascii="Calibri" w:hAnsi="Calibri" w:cs="Calibri"/>
        </w:rPr>
        <w:t>Notes: [a] Primary data from China Iron and Steel Industry Yearbook. [b] Calculated by this study. Tailings discharge peaked at 643.1 Mt raw weight in 2015 [a], corresponding to 193.0 Mt Fe element loss. Closure error = 2.1%.</w:t>
      </w:r>
    </w:p>
    <w:p w14:paraId="03371D44">
      <w:pPr>
        <w:pStyle w:val="3"/>
        <w:bidi w:val="0"/>
        <w:rPr>
          <w:rFonts w:hint="default"/>
        </w:rPr>
      </w:pPr>
      <w:r>
        <w:rPr>
          <w:rFonts w:hint="default"/>
        </w:rPr>
        <w:t>Table S2.3. Iron element flow accounting — 2020 (Mt/yr Fe)</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524"/>
        <w:gridCol w:w="1798"/>
        <w:gridCol w:w="1661"/>
        <w:gridCol w:w="1827"/>
        <w:gridCol w:w="1495"/>
      </w:tblGrid>
      <w:tr w14:paraId="0BFA4B75">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tcBorders>
              <w:bottom w:val="single" w:color="auto" w:sz="6" w:space="0"/>
            </w:tcBorders>
            <w:vAlign w:val="center"/>
          </w:tcPr>
          <w:p w14:paraId="5FE487E2">
            <w:pPr>
              <w:jc w:val="center"/>
              <w:rPr>
                <w:rFonts w:hint="default" w:ascii="Calibri" w:hAnsi="Calibri" w:cs="Calibri"/>
              </w:rPr>
            </w:pPr>
            <w:r>
              <w:rPr>
                <w:rFonts w:hint="default" w:ascii="Calibri" w:hAnsi="Calibri" w:cs="Calibri"/>
              </w:rPr>
              <w:t>Node</w:t>
            </w:r>
          </w:p>
        </w:tc>
        <w:tc>
          <w:tcPr>
            <w:tcW w:w="1798" w:type="dxa"/>
            <w:tcBorders>
              <w:bottom w:val="single" w:color="auto" w:sz="6" w:space="0"/>
            </w:tcBorders>
            <w:vAlign w:val="center"/>
          </w:tcPr>
          <w:p w14:paraId="2FE9CA45">
            <w:pPr>
              <w:jc w:val="center"/>
              <w:rPr>
                <w:rFonts w:hint="default" w:ascii="Calibri" w:hAnsi="Calibri" w:cs="Calibri"/>
              </w:rPr>
            </w:pPr>
            <w:r>
              <w:rPr>
                <w:rFonts w:hint="default" w:ascii="Calibri" w:hAnsi="Calibri" w:cs="Calibri"/>
              </w:rPr>
              <w:t>Primary Input</w:t>
            </w:r>
          </w:p>
        </w:tc>
        <w:tc>
          <w:tcPr>
            <w:tcW w:w="1661" w:type="dxa"/>
            <w:tcBorders>
              <w:bottom w:val="single" w:color="auto" w:sz="6" w:space="0"/>
            </w:tcBorders>
            <w:vAlign w:val="center"/>
          </w:tcPr>
          <w:p w14:paraId="46ADB7B0">
            <w:pPr>
              <w:jc w:val="center"/>
              <w:rPr>
                <w:rFonts w:hint="default" w:ascii="Calibri" w:hAnsi="Calibri" w:cs="Calibri"/>
              </w:rPr>
            </w:pPr>
            <w:r>
              <w:rPr>
                <w:rFonts w:hint="default" w:ascii="Calibri" w:hAnsi="Calibri" w:cs="Calibri"/>
              </w:rPr>
              <w:t>Recycled Input</w:t>
            </w:r>
          </w:p>
        </w:tc>
        <w:tc>
          <w:tcPr>
            <w:tcW w:w="1827" w:type="dxa"/>
            <w:tcBorders>
              <w:bottom w:val="single" w:color="auto" w:sz="6" w:space="0"/>
            </w:tcBorders>
            <w:vAlign w:val="center"/>
          </w:tcPr>
          <w:p w14:paraId="1D32E93F">
            <w:pPr>
              <w:jc w:val="center"/>
              <w:rPr>
                <w:rFonts w:hint="default" w:ascii="Calibri" w:hAnsi="Calibri" w:cs="Calibri"/>
              </w:rPr>
            </w:pPr>
            <w:r>
              <w:rPr>
                <w:rFonts w:hint="default" w:ascii="Calibri" w:hAnsi="Calibri" w:cs="Calibri"/>
              </w:rPr>
              <w:t>Effective Output</w:t>
            </w:r>
          </w:p>
        </w:tc>
        <w:tc>
          <w:tcPr>
            <w:tcW w:w="1495" w:type="dxa"/>
            <w:tcBorders>
              <w:bottom w:val="single" w:color="auto" w:sz="6" w:space="0"/>
            </w:tcBorders>
            <w:vAlign w:val="center"/>
          </w:tcPr>
          <w:p w14:paraId="08C53331">
            <w:pPr>
              <w:jc w:val="center"/>
              <w:rPr>
                <w:rFonts w:hint="default" w:ascii="Calibri" w:hAnsi="Calibri" w:cs="Calibri"/>
              </w:rPr>
            </w:pPr>
            <w:r>
              <w:rPr>
                <w:rFonts w:hint="default" w:ascii="Calibri" w:hAnsi="Calibri" w:cs="Calibri"/>
              </w:rPr>
              <w:t>Loss</w:t>
            </w:r>
          </w:p>
        </w:tc>
      </w:tr>
      <w:tr w14:paraId="37C93E96">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tcBorders>
              <w:top w:val="single" w:color="auto" w:sz="6" w:space="0"/>
            </w:tcBorders>
            <w:vAlign w:val="center"/>
          </w:tcPr>
          <w:p w14:paraId="658C69EB">
            <w:pPr>
              <w:jc w:val="both"/>
              <w:rPr>
                <w:rFonts w:hint="default" w:ascii="Calibri" w:hAnsi="Calibri" w:cs="Calibri"/>
              </w:rPr>
            </w:pPr>
            <w:r>
              <w:rPr>
                <w:rFonts w:hint="default" w:ascii="Calibri" w:hAnsi="Calibri" w:cs="Calibri"/>
              </w:rPr>
              <w:t>N1 Resource input</w:t>
            </w:r>
          </w:p>
        </w:tc>
        <w:tc>
          <w:tcPr>
            <w:tcW w:w="1798" w:type="dxa"/>
            <w:tcBorders>
              <w:top w:val="single" w:color="auto" w:sz="6" w:space="0"/>
            </w:tcBorders>
            <w:vAlign w:val="center"/>
          </w:tcPr>
          <w:p w14:paraId="339BB02C">
            <w:pPr>
              <w:jc w:val="both"/>
              <w:rPr>
                <w:rFonts w:hint="default" w:ascii="Calibri" w:hAnsi="Calibri" w:cs="Calibri"/>
              </w:rPr>
            </w:pPr>
            <w:r>
              <w:rPr>
                <w:rFonts w:hint="default" w:ascii="Calibri" w:hAnsi="Calibri" w:cs="Calibri"/>
              </w:rPr>
              <w:t>1043.5 (ore) [a]</w:t>
            </w:r>
          </w:p>
        </w:tc>
        <w:tc>
          <w:tcPr>
            <w:tcW w:w="1661" w:type="dxa"/>
            <w:tcBorders>
              <w:top w:val="single" w:color="auto" w:sz="6" w:space="0"/>
            </w:tcBorders>
            <w:vAlign w:val="center"/>
          </w:tcPr>
          <w:p w14:paraId="22F1ABD3">
            <w:pPr>
              <w:jc w:val="both"/>
              <w:rPr>
                <w:rFonts w:hint="default" w:ascii="Calibri" w:hAnsi="Calibri" w:cs="Calibri"/>
              </w:rPr>
            </w:pPr>
            <w:r>
              <w:rPr>
                <w:rFonts w:hint="default" w:ascii="Calibri" w:hAnsi="Calibri" w:cs="Calibri"/>
              </w:rPr>
              <w:t>0.026 (imported scrap) [a]</w:t>
            </w:r>
          </w:p>
        </w:tc>
        <w:tc>
          <w:tcPr>
            <w:tcW w:w="1827" w:type="dxa"/>
            <w:tcBorders>
              <w:top w:val="single" w:color="auto" w:sz="6" w:space="0"/>
            </w:tcBorders>
            <w:vAlign w:val="center"/>
          </w:tcPr>
          <w:p w14:paraId="49B40FC3">
            <w:pPr>
              <w:jc w:val="both"/>
              <w:rPr>
                <w:rFonts w:hint="default" w:ascii="Calibri" w:hAnsi="Calibri" w:cs="Calibri"/>
              </w:rPr>
            </w:pPr>
            <w:r>
              <w:rPr>
                <w:rFonts w:hint="default" w:ascii="Calibri" w:hAnsi="Calibri" w:cs="Calibri"/>
              </w:rPr>
              <w:t>1043.5 (to N2) [b]</w:t>
            </w:r>
          </w:p>
        </w:tc>
        <w:tc>
          <w:tcPr>
            <w:tcW w:w="1495" w:type="dxa"/>
            <w:tcBorders>
              <w:top w:val="single" w:color="auto" w:sz="6" w:space="0"/>
            </w:tcBorders>
            <w:vAlign w:val="center"/>
          </w:tcPr>
          <w:p w14:paraId="7C6C5E22">
            <w:pPr>
              <w:jc w:val="both"/>
              <w:rPr>
                <w:rFonts w:hint="default" w:ascii="Calibri" w:hAnsi="Calibri" w:cs="Calibri"/>
              </w:rPr>
            </w:pPr>
            <w:r>
              <w:rPr>
                <w:rFonts w:hint="default" w:ascii="Calibri" w:hAnsi="Calibri" w:cs="Calibri"/>
              </w:rPr>
              <w:t>—</w:t>
            </w:r>
          </w:p>
        </w:tc>
      </w:tr>
      <w:tr w14:paraId="4B9F28E1">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2A1B7FE8">
            <w:pPr>
              <w:jc w:val="both"/>
              <w:rPr>
                <w:rFonts w:hint="default" w:ascii="Calibri" w:hAnsi="Calibri" w:cs="Calibri"/>
              </w:rPr>
            </w:pPr>
            <w:r>
              <w:rPr>
                <w:rFonts w:hint="default" w:ascii="Calibri" w:hAnsi="Calibri" w:cs="Calibri"/>
              </w:rPr>
              <w:t>N2 Beneficiation &amp; smelting</w:t>
            </w:r>
          </w:p>
        </w:tc>
        <w:tc>
          <w:tcPr>
            <w:tcW w:w="1798" w:type="dxa"/>
            <w:vAlign w:val="center"/>
          </w:tcPr>
          <w:p w14:paraId="1AB5CACC">
            <w:pPr>
              <w:jc w:val="both"/>
              <w:rPr>
                <w:rFonts w:hint="default" w:ascii="Calibri" w:hAnsi="Calibri" w:cs="Calibri"/>
              </w:rPr>
            </w:pPr>
            <w:r>
              <w:rPr>
                <w:rFonts w:hint="default" w:ascii="Calibri" w:hAnsi="Calibri" w:cs="Calibri"/>
              </w:rPr>
              <w:t>1043.5 (from N1) [b]</w:t>
            </w:r>
          </w:p>
        </w:tc>
        <w:tc>
          <w:tcPr>
            <w:tcW w:w="1661" w:type="dxa"/>
            <w:vAlign w:val="center"/>
          </w:tcPr>
          <w:p w14:paraId="15466502">
            <w:pPr>
              <w:jc w:val="both"/>
              <w:rPr>
                <w:rFonts w:hint="default" w:ascii="Calibri" w:hAnsi="Calibri" w:cs="Calibri"/>
              </w:rPr>
            </w:pPr>
            <w:r>
              <w:rPr>
                <w:rFonts w:hint="default" w:ascii="Calibri" w:hAnsi="Calibri" w:cs="Calibri"/>
              </w:rPr>
              <w:t>95.3 (domestic scrap) [a]</w:t>
            </w:r>
          </w:p>
        </w:tc>
        <w:tc>
          <w:tcPr>
            <w:tcW w:w="1827" w:type="dxa"/>
            <w:vAlign w:val="center"/>
          </w:tcPr>
          <w:p w14:paraId="3492C34A">
            <w:pPr>
              <w:jc w:val="both"/>
              <w:rPr>
                <w:rFonts w:hint="default" w:ascii="Calibri" w:hAnsi="Calibri" w:cs="Calibri"/>
              </w:rPr>
            </w:pPr>
            <w:r>
              <w:rPr>
                <w:rFonts w:hint="default" w:ascii="Calibri" w:hAnsi="Calibri" w:cs="Calibri"/>
              </w:rPr>
              <w:t>712.6 (crude steel Fe) [a]</w:t>
            </w:r>
          </w:p>
        </w:tc>
        <w:tc>
          <w:tcPr>
            <w:tcW w:w="1495" w:type="dxa"/>
            <w:vAlign w:val="center"/>
          </w:tcPr>
          <w:p w14:paraId="6793C13A">
            <w:pPr>
              <w:jc w:val="both"/>
              <w:rPr>
                <w:rFonts w:hint="default" w:ascii="Calibri" w:hAnsi="Calibri" w:cs="Calibri"/>
              </w:rPr>
            </w:pPr>
            <w:r>
              <w:rPr>
                <w:rFonts w:hint="default" w:ascii="Calibri" w:hAnsi="Calibri" w:cs="Calibri"/>
              </w:rPr>
              <w:t>426.2 (tailings+slag) [b]</w:t>
            </w:r>
          </w:p>
        </w:tc>
      </w:tr>
      <w:tr w14:paraId="2D57817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331949AF">
            <w:pPr>
              <w:jc w:val="both"/>
              <w:rPr>
                <w:rFonts w:hint="default" w:ascii="Calibri" w:hAnsi="Calibri" w:cs="Calibri"/>
              </w:rPr>
            </w:pPr>
            <w:r>
              <w:rPr>
                <w:rFonts w:hint="default" w:ascii="Calibri" w:hAnsi="Calibri" w:cs="Calibri"/>
              </w:rPr>
              <w:t>N3 Processing &amp; mfg</w:t>
            </w:r>
          </w:p>
        </w:tc>
        <w:tc>
          <w:tcPr>
            <w:tcW w:w="1798" w:type="dxa"/>
            <w:vAlign w:val="center"/>
          </w:tcPr>
          <w:p w14:paraId="594BF641">
            <w:pPr>
              <w:jc w:val="both"/>
              <w:rPr>
                <w:rFonts w:hint="default" w:ascii="Calibri" w:hAnsi="Calibri" w:cs="Calibri"/>
              </w:rPr>
            </w:pPr>
            <w:r>
              <w:rPr>
                <w:rFonts w:hint="default" w:ascii="Calibri" w:hAnsi="Calibri" w:cs="Calibri"/>
              </w:rPr>
              <w:t>712.6 (from N2) [b]</w:t>
            </w:r>
          </w:p>
        </w:tc>
        <w:tc>
          <w:tcPr>
            <w:tcW w:w="1661" w:type="dxa"/>
            <w:vAlign w:val="center"/>
          </w:tcPr>
          <w:p w14:paraId="0A95573B">
            <w:pPr>
              <w:jc w:val="both"/>
              <w:rPr>
                <w:rFonts w:hint="default" w:ascii="Calibri" w:hAnsi="Calibri" w:cs="Calibri"/>
              </w:rPr>
            </w:pPr>
            <w:r>
              <w:rPr>
                <w:rFonts w:hint="default" w:ascii="Calibri" w:hAnsi="Calibri" w:cs="Calibri"/>
              </w:rPr>
              <w:t>—</w:t>
            </w:r>
          </w:p>
        </w:tc>
        <w:tc>
          <w:tcPr>
            <w:tcW w:w="1827" w:type="dxa"/>
            <w:vAlign w:val="center"/>
          </w:tcPr>
          <w:p w14:paraId="5237D330">
            <w:pPr>
              <w:jc w:val="both"/>
              <w:rPr>
                <w:rFonts w:hint="default" w:ascii="Calibri" w:hAnsi="Calibri" w:cs="Calibri"/>
              </w:rPr>
            </w:pPr>
            <w:r>
              <w:rPr>
                <w:rFonts w:hint="default" w:ascii="Calibri" w:hAnsi="Calibri" w:cs="Calibri"/>
              </w:rPr>
              <w:t>690.5 (finished steel Fe) [a]</w:t>
            </w:r>
          </w:p>
        </w:tc>
        <w:tc>
          <w:tcPr>
            <w:tcW w:w="1495" w:type="dxa"/>
            <w:vAlign w:val="center"/>
          </w:tcPr>
          <w:p w14:paraId="6FE3B926">
            <w:pPr>
              <w:jc w:val="both"/>
              <w:rPr>
                <w:rFonts w:hint="default" w:ascii="Calibri" w:hAnsi="Calibri" w:cs="Calibri"/>
              </w:rPr>
            </w:pPr>
            <w:r>
              <w:rPr>
                <w:rFonts w:hint="default" w:ascii="Calibri" w:hAnsi="Calibri" w:cs="Calibri"/>
              </w:rPr>
              <w:t>22.1 (processing scrap) [b]</w:t>
            </w:r>
          </w:p>
        </w:tc>
      </w:tr>
      <w:tr w14:paraId="16AFD443">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1F90E7BE">
            <w:pPr>
              <w:jc w:val="both"/>
              <w:rPr>
                <w:rFonts w:hint="default" w:ascii="Calibri" w:hAnsi="Calibri" w:cs="Calibri"/>
              </w:rPr>
            </w:pPr>
            <w:r>
              <w:rPr>
                <w:rFonts w:hint="default" w:ascii="Calibri" w:hAnsi="Calibri" w:cs="Calibri"/>
              </w:rPr>
              <w:t>N4 Consumption &amp; stock</w:t>
            </w:r>
          </w:p>
        </w:tc>
        <w:tc>
          <w:tcPr>
            <w:tcW w:w="1798" w:type="dxa"/>
            <w:vAlign w:val="center"/>
          </w:tcPr>
          <w:p w14:paraId="52ED094D">
            <w:pPr>
              <w:jc w:val="both"/>
              <w:rPr>
                <w:rFonts w:hint="default" w:ascii="Calibri" w:hAnsi="Calibri" w:cs="Calibri"/>
              </w:rPr>
            </w:pPr>
            <w:r>
              <w:rPr>
                <w:rFonts w:hint="default" w:ascii="Calibri" w:hAnsi="Calibri" w:cs="Calibri"/>
              </w:rPr>
              <w:t>690.5 (from N3) [b]</w:t>
            </w:r>
          </w:p>
        </w:tc>
        <w:tc>
          <w:tcPr>
            <w:tcW w:w="1661" w:type="dxa"/>
            <w:vAlign w:val="center"/>
          </w:tcPr>
          <w:p w14:paraId="4AF83CA7">
            <w:pPr>
              <w:jc w:val="both"/>
              <w:rPr>
                <w:rFonts w:hint="default" w:ascii="Calibri" w:hAnsi="Calibri" w:cs="Calibri"/>
              </w:rPr>
            </w:pPr>
            <w:r>
              <w:rPr>
                <w:rFonts w:hint="default" w:ascii="Calibri" w:hAnsi="Calibri" w:cs="Calibri"/>
              </w:rPr>
              <w:t>—</w:t>
            </w:r>
          </w:p>
        </w:tc>
        <w:tc>
          <w:tcPr>
            <w:tcW w:w="1827" w:type="dxa"/>
            <w:vAlign w:val="center"/>
          </w:tcPr>
          <w:p w14:paraId="4E92EFF6">
            <w:pPr>
              <w:jc w:val="both"/>
              <w:rPr>
                <w:rFonts w:hint="default" w:ascii="Calibri" w:hAnsi="Calibri" w:cs="Calibri"/>
              </w:rPr>
            </w:pPr>
            <w:r>
              <w:rPr>
                <w:rFonts w:hint="default" w:ascii="Calibri" w:hAnsi="Calibri" w:cs="Calibri"/>
              </w:rPr>
              <w:t>—</w:t>
            </w:r>
          </w:p>
        </w:tc>
        <w:tc>
          <w:tcPr>
            <w:tcW w:w="1495" w:type="dxa"/>
            <w:vAlign w:val="center"/>
          </w:tcPr>
          <w:p w14:paraId="73340087">
            <w:pPr>
              <w:jc w:val="both"/>
              <w:rPr>
                <w:rFonts w:hint="default" w:ascii="Calibri" w:hAnsi="Calibri" w:cs="Calibri"/>
              </w:rPr>
            </w:pPr>
            <w:r>
              <w:rPr>
                <w:rFonts w:hint="default" w:ascii="Calibri" w:hAnsi="Calibri" w:cs="Calibri"/>
              </w:rPr>
              <w:t>720.0 (net stock add, est.) [b]</w:t>
            </w:r>
          </w:p>
        </w:tc>
      </w:tr>
      <w:tr w14:paraId="705EFF2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643D3CB9">
            <w:pPr>
              <w:jc w:val="both"/>
              <w:rPr>
                <w:rFonts w:hint="default" w:ascii="Calibri" w:hAnsi="Calibri" w:cs="Calibri"/>
              </w:rPr>
            </w:pPr>
            <w:r>
              <w:rPr>
                <w:rFonts w:hint="default" w:ascii="Calibri" w:hAnsi="Calibri" w:cs="Calibri"/>
              </w:rPr>
              <w:t>N5 Scrap recycling</w:t>
            </w:r>
          </w:p>
        </w:tc>
        <w:tc>
          <w:tcPr>
            <w:tcW w:w="1798" w:type="dxa"/>
            <w:vAlign w:val="center"/>
          </w:tcPr>
          <w:p w14:paraId="796C8E4E">
            <w:pPr>
              <w:jc w:val="both"/>
              <w:rPr>
                <w:rFonts w:hint="default" w:ascii="Calibri" w:hAnsi="Calibri" w:cs="Calibri"/>
              </w:rPr>
            </w:pPr>
            <w:r>
              <w:rPr>
                <w:rFonts w:hint="default" w:ascii="Calibri" w:hAnsi="Calibri" w:cs="Calibri"/>
              </w:rPr>
              <w:t>—</w:t>
            </w:r>
          </w:p>
        </w:tc>
        <w:tc>
          <w:tcPr>
            <w:tcW w:w="1661" w:type="dxa"/>
            <w:vAlign w:val="center"/>
          </w:tcPr>
          <w:p w14:paraId="54678610">
            <w:pPr>
              <w:jc w:val="both"/>
              <w:rPr>
                <w:rFonts w:hint="default" w:ascii="Calibri" w:hAnsi="Calibri" w:cs="Calibri"/>
              </w:rPr>
            </w:pPr>
            <w:r>
              <w:rPr>
                <w:rFonts w:hint="default" w:ascii="Calibri" w:hAnsi="Calibri" w:cs="Calibri"/>
              </w:rPr>
              <w:t>95.3 (recovered) [a]</w:t>
            </w:r>
          </w:p>
        </w:tc>
        <w:tc>
          <w:tcPr>
            <w:tcW w:w="1827" w:type="dxa"/>
            <w:vAlign w:val="center"/>
          </w:tcPr>
          <w:p w14:paraId="337EDFD7">
            <w:pPr>
              <w:jc w:val="both"/>
              <w:rPr>
                <w:rFonts w:hint="default" w:ascii="Calibri" w:hAnsi="Calibri" w:cs="Calibri"/>
              </w:rPr>
            </w:pPr>
            <w:r>
              <w:rPr>
                <w:rFonts w:hint="default" w:ascii="Calibri" w:hAnsi="Calibri" w:cs="Calibri"/>
              </w:rPr>
              <w:t>95.3 (to N2) [b]</w:t>
            </w:r>
          </w:p>
        </w:tc>
        <w:tc>
          <w:tcPr>
            <w:tcW w:w="1495" w:type="dxa"/>
            <w:vAlign w:val="center"/>
          </w:tcPr>
          <w:p w14:paraId="03E72B47">
            <w:pPr>
              <w:jc w:val="both"/>
              <w:rPr>
                <w:rFonts w:hint="default" w:ascii="Calibri" w:hAnsi="Calibri" w:cs="Calibri"/>
              </w:rPr>
            </w:pPr>
            <w:r>
              <w:rPr>
                <w:rFonts w:hint="default" w:ascii="Calibri" w:hAnsi="Calibri" w:cs="Calibri"/>
              </w:rPr>
              <w:t>—</w:t>
            </w:r>
          </w:p>
        </w:tc>
      </w:tr>
      <w:tr w14:paraId="31F896D1">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524" w:type="dxa"/>
            <w:vAlign w:val="center"/>
          </w:tcPr>
          <w:p w14:paraId="6542043A">
            <w:pPr>
              <w:jc w:val="both"/>
              <w:rPr>
                <w:rFonts w:hint="default" w:ascii="Calibri" w:hAnsi="Calibri" w:cs="Calibri"/>
              </w:rPr>
            </w:pPr>
            <w:r>
              <w:rPr>
                <w:rFonts w:hint="default" w:ascii="Calibri" w:hAnsi="Calibri" w:cs="Calibri"/>
              </w:rPr>
              <w:t>N6 Environmental release</w:t>
            </w:r>
          </w:p>
        </w:tc>
        <w:tc>
          <w:tcPr>
            <w:tcW w:w="1798" w:type="dxa"/>
            <w:vAlign w:val="center"/>
          </w:tcPr>
          <w:p w14:paraId="35580E13">
            <w:pPr>
              <w:jc w:val="both"/>
              <w:rPr>
                <w:rFonts w:hint="default" w:ascii="Calibri" w:hAnsi="Calibri" w:cs="Calibri"/>
              </w:rPr>
            </w:pPr>
            <w:r>
              <w:rPr>
                <w:rFonts w:hint="default" w:ascii="Calibri" w:hAnsi="Calibri" w:cs="Calibri"/>
              </w:rPr>
              <w:t>—</w:t>
            </w:r>
          </w:p>
        </w:tc>
        <w:tc>
          <w:tcPr>
            <w:tcW w:w="1661" w:type="dxa"/>
            <w:vAlign w:val="center"/>
          </w:tcPr>
          <w:p w14:paraId="56378A03">
            <w:pPr>
              <w:jc w:val="both"/>
              <w:rPr>
                <w:rFonts w:hint="default" w:ascii="Calibri" w:hAnsi="Calibri" w:cs="Calibri"/>
              </w:rPr>
            </w:pPr>
            <w:r>
              <w:rPr>
                <w:rFonts w:hint="default" w:ascii="Calibri" w:hAnsi="Calibri" w:cs="Calibri"/>
              </w:rPr>
              <w:t>—</w:t>
            </w:r>
          </w:p>
        </w:tc>
        <w:tc>
          <w:tcPr>
            <w:tcW w:w="1827" w:type="dxa"/>
            <w:vAlign w:val="center"/>
          </w:tcPr>
          <w:p w14:paraId="682A224C">
            <w:pPr>
              <w:jc w:val="both"/>
              <w:rPr>
                <w:rFonts w:hint="default" w:ascii="Calibri" w:hAnsi="Calibri" w:cs="Calibri"/>
              </w:rPr>
            </w:pPr>
            <w:r>
              <w:rPr>
                <w:rFonts w:hint="default" w:ascii="Calibri" w:hAnsi="Calibri" w:cs="Calibri"/>
              </w:rPr>
              <w:t>—</w:t>
            </w:r>
          </w:p>
        </w:tc>
        <w:tc>
          <w:tcPr>
            <w:tcW w:w="1495" w:type="dxa"/>
            <w:vAlign w:val="center"/>
          </w:tcPr>
          <w:p w14:paraId="1DEEF869">
            <w:pPr>
              <w:jc w:val="both"/>
              <w:rPr>
                <w:rFonts w:hint="default" w:ascii="Calibri" w:hAnsi="Calibri" w:cs="Calibri"/>
              </w:rPr>
            </w:pPr>
            <w:r>
              <w:rPr>
                <w:rFonts w:hint="default" w:ascii="Calibri" w:hAnsi="Calibri" w:cs="Calibri"/>
              </w:rPr>
              <w:t>426.2 (N2) + 22.1 (N3) + dissipative [b]</w:t>
            </w:r>
          </w:p>
        </w:tc>
      </w:tr>
    </w:tbl>
    <w:p w14:paraId="62B18958">
      <w:pPr>
        <w:rPr>
          <w:rFonts w:hint="default" w:ascii="Calibri" w:hAnsi="Calibri" w:cs="Calibri"/>
        </w:rPr>
      </w:pPr>
      <w:r>
        <w:rPr>
          <w:rFonts w:hint="eastAsia" w:ascii="Calibri" w:hAnsi="Calibri" w:cs="Calibri"/>
          <w:lang w:val="en-US" w:eastAsia="zh-CN"/>
        </w:rPr>
        <w:t>*</w:t>
      </w:r>
      <w:r>
        <w:rPr>
          <w:rFonts w:hint="default" w:ascii="Calibri" w:hAnsi="Calibri" w:cs="Calibri"/>
        </w:rPr>
        <w:t>Notes: [a] Primary data from China Iron and Steel Industry Yearbook. [b] Calculated by this study. The 2020 net stock addition is estimated from the 2010-2015 growth trend. Closure error = 2.4%.</w:t>
      </w:r>
    </w:p>
    <w:p w14:paraId="3E5E6534">
      <w:pPr>
        <w:rPr>
          <w:rFonts w:ascii="Calibri" w:hAnsi="Calibri" w:cs="Calibri"/>
        </w:rPr>
      </w:pPr>
    </w:p>
    <w:p w14:paraId="603B7803">
      <w:pPr>
        <w:pStyle w:val="2"/>
        <w:bidi w:val="0"/>
      </w:pPr>
      <w:r>
        <w:t>Table S</w:t>
      </w:r>
      <w:r>
        <w:rPr>
          <w:rFonts w:hint="eastAsia"/>
          <w:lang w:val="en-US" w:eastAsia="zh-CN"/>
        </w:rPr>
        <w:t xml:space="preserve">3 </w:t>
      </w:r>
      <w:r>
        <w:t>Node Carrying-Capacity Depreciation Coefficient (CDC)</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076"/>
        <w:gridCol w:w="2076"/>
        <w:gridCol w:w="2076"/>
        <w:gridCol w:w="2076"/>
      </w:tblGrid>
      <w:tr w14:paraId="1FC51F9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076" w:type="dxa"/>
            <w:tcBorders>
              <w:bottom w:val="single" w:color="auto" w:sz="6" w:space="0"/>
            </w:tcBorders>
            <w:vAlign w:val="center"/>
          </w:tcPr>
          <w:p w14:paraId="3508E8D6">
            <w:pPr>
              <w:jc w:val="center"/>
              <w:rPr>
                <w:rFonts w:hint="default" w:ascii="Calibri" w:hAnsi="Calibri" w:cs="Calibri"/>
              </w:rPr>
            </w:pPr>
            <w:r>
              <w:rPr>
                <w:rFonts w:hint="default" w:ascii="Calibri" w:hAnsi="Calibri" w:cs="Calibri"/>
              </w:rPr>
              <w:t>Process Node</w:t>
            </w:r>
          </w:p>
        </w:tc>
        <w:tc>
          <w:tcPr>
            <w:tcW w:w="2076" w:type="dxa"/>
            <w:tcBorders>
              <w:bottom w:val="single" w:color="auto" w:sz="6" w:space="0"/>
            </w:tcBorders>
            <w:vAlign w:val="center"/>
          </w:tcPr>
          <w:p w14:paraId="6A015B5C">
            <w:pPr>
              <w:jc w:val="center"/>
              <w:rPr>
                <w:rFonts w:hint="default" w:ascii="Calibri" w:hAnsi="Calibri" w:cs="Calibri"/>
              </w:rPr>
            </w:pPr>
            <w:r>
              <w:rPr>
                <w:rFonts w:hint="default" w:ascii="Calibri" w:hAnsi="Calibri" w:cs="Calibri"/>
              </w:rPr>
              <w:t>CDC 2010 (%)</w:t>
            </w:r>
          </w:p>
        </w:tc>
        <w:tc>
          <w:tcPr>
            <w:tcW w:w="2076" w:type="dxa"/>
            <w:tcBorders>
              <w:bottom w:val="single" w:color="auto" w:sz="6" w:space="0"/>
            </w:tcBorders>
            <w:vAlign w:val="center"/>
          </w:tcPr>
          <w:p w14:paraId="7F32F2EA">
            <w:pPr>
              <w:jc w:val="center"/>
              <w:rPr>
                <w:rFonts w:hint="default" w:ascii="Calibri" w:hAnsi="Calibri" w:cs="Calibri"/>
              </w:rPr>
            </w:pPr>
            <w:r>
              <w:rPr>
                <w:rFonts w:hint="default" w:ascii="Calibri" w:hAnsi="Calibri" w:cs="Calibri"/>
              </w:rPr>
              <w:t>CDC 2015 (%)</w:t>
            </w:r>
          </w:p>
        </w:tc>
        <w:tc>
          <w:tcPr>
            <w:tcW w:w="2076" w:type="dxa"/>
            <w:tcBorders>
              <w:bottom w:val="single" w:color="auto" w:sz="6" w:space="0"/>
            </w:tcBorders>
            <w:vAlign w:val="center"/>
          </w:tcPr>
          <w:p w14:paraId="37E32ED7">
            <w:pPr>
              <w:jc w:val="center"/>
              <w:rPr>
                <w:rFonts w:hint="default" w:ascii="Calibri" w:hAnsi="Calibri" w:cs="Calibri"/>
              </w:rPr>
            </w:pPr>
            <w:r>
              <w:rPr>
                <w:rFonts w:hint="default" w:ascii="Calibri" w:hAnsi="Calibri" w:cs="Calibri"/>
              </w:rPr>
              <w:t>CDC 2020 (%)</w:t>
            </w:r>
          </w:p>
        </w:tc>
      </w:tr>
      <w:tr w14:paraId="2DE110A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076" w:type="dxa"/>
            <w:tcBorders>
              <w:top w:val="single" w:color="auto" w:sz="6" w:space="0"/>
            </w:tcBorders>
            <w:vAlign w:val="center"/>
          </w:tcPr>
          <w:p w14:paraId="555FFAB4">
            <w:pPr>
              <w:jc w:val="center"/>
              <w:rPr>
                <w:rFonts w:hint="default" w:ascii="Calibri" w:hAnsi="Calibri" w:cs="Calibri"/>
              </w:rPr>
            </w:pPr>
            <w:r>
              <w:rPr>
                <w:rFonts w:hint="default" w:ascii="Calibri" w:hAnsi="Calibri" w:cs="Calibri"/>
              </w:rPr>
              <w:t>N2 Beneficiation &amp; smelting</w:t>
            </w:r>
          </w:p>
        </w:tc>
        <w:tc>
          <w:tcPr>
            <w:tcW w:w="2076" w:type="dxa"/>
            <w:tcBorders>
              <w:top w:val="single" w:color="auto" w:sz="6" w:space="0"/>
            </w:tcBorders>
            <w:vAlign w:val="center"/>
          </w:tcPr>
          <w:p w14:paraId="57696B84">
            <w:pPr>
              <w:jc w:val="center"/>
              <w:rPr>
                <w:rFonts w:hint="default" w:ascii="Calibri" w:hAnsi="Calibri" w:cs="Calibri"/>
              </w:rPr>
            </w:pPr>
            <w:r>
              <w:rPr>
                <w:rFonts w:hint="default" w:ascii="Calibri" w:hAnsi="Calibri" w:cs="Calibri"/>
              </w:rPr>
              <w:t>28.6</w:t>
            </w:r>
          </w:p>
        </w:tc>
        <w:tc>
          <w:tcPr>
            <w:tcW w:w="2076" w:type="dxa"/>
            <w:tcBorders>
              <w:top w:val="single" w:color="auto" w:sz="6" w:space="0"/>
            </w:tcBorders>
            <w:vAlign w:val="center"/>
          </w:tcPr>
          <w:p w14:paraId="607C3A8E">
            <w:pPr>
              <w:jc w:val="center"/>
              <w:rPr>
                <w:rFonts w:hint="default" w:ascii="Calibri" w:hAnsi="Calibri" w:cs="Calibri"/>
              </w:rPr>
            </w:pPr>
            <w:r>
              <w:rPr>
                <w:rFonts w:hint="default" w:ascii="Calibri" w:hAnsi="Calibri" w:cs="Calibri"/>
              </w:rPr>
              <w:t>32.4</w:t>
            </w:r>
          </w:p>
        </w:tc>
        <w:tc>
          <w:tcPr>
            <w:tcW w:w="2076" w:type="dxa"/>
            <w:tcBorders>
              <w:top w:val="single" w:color="auto" w:sz="6" w:space="0"/>
            </w:tcBorders>
            <w:vAlign w:val="center"/>
          </w:tcPr>
          <w:p w14:paraId="2CAC9051">
            <w:pPr>
              <w:jc w:val="center"/>
              <w:rPr>
                <w:rFonts w:hint="default" w:ascii="Calibri" w:hAnsi="Calibri" w:cs="Calibri"/>
              </w:rPr>
            </w:pPr>
            <w:r>
              <w:rPr>
                <w:rFonts w:hint="default" w:ascii="Calibri" w:hAnsi="Calibri" w:cs="Calibri"/>
              </w:rPr>
              <w:t>30.1</w:t>
            </w:r>
          </w:p>
        </w:tc>
      </w:tr>
      <w:tr w14:paraId="2539CB68">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076" w:type="dxa"/>
            <w:vAlign w:val="center"/>
          </w:tcPr>
          <w:p w14:paraId="0756367C">
            <w:pPr>
              <w:jc w:val="center"/>
              <w:rPr>
                <w:rFonts w:hint="default" w:ascii="Calibri" w:hAnsi="Calibri" w:cs="Calibri"/>
              </w:rPr>
            </w:pPr>
            <w:r>
              <w:rPr>
                <w:rFonts w:hint="default" w:ascii="Calibri" w:hAnsi="Calibri" w:cs="Calibri"/>
              </w:rPr>
              <w:t>N3 Processing &amp; manufacturing</w:t>
            </w:r>
          </w:p>
        </w:tc>
        <w:tc>
          <w:tcPr>
            <w:tcW w:w="2076" w:type="dxa"/>
            <w:vAlign w:val="center"/>
          </w:tcPr>
          <w:p w14:paraId="32C2CC25">
            <w:pPr>
              <w:jc w:val="center"/>
              <w:rPr>
                <w:rFonts w:hint="default" w:ascii="Calibri" w:hAnsi="Calibri" w:cs="Calibri"/>
              </w:rPr>
            </w:pPr>
            <w:r>
              <w:rPr>
                <w:rFonts w:hint="default" w:ascii="Calibri" w:hAnsi="Calibri" w:cs="Calibri"/>
              </w:rPr>
              <w:t>3.2</w:t>
            </w:r>
          </w:p>
        </w:tc>
        <w:tc>
          <w:tcPr>
            <w:tcW w:w="2076" w:type="dxa"/>
            <w:vAlign w:val="center"/>
          </w:tcPr>
          <w:p w14:paraId="0F32C257">
            <w:pPr>
              <w:jc w:val="center"/>
              <w:rPr>
                <w:rFonts w:hint="default" w:ascii="Calibri" w:hAnsi="Calibri" w:cs="Calibri"/>
              </w:rPr>
            </w:pPr>
            <w:r>
              <w:rPr>
                <w:rFonts w:hint="default" w:ascii="Calibri" w:hAnsi="Calibri" w:cs="Calibri"/>
              </w:rPr>
              <w:t>3.3</w:t>
            </w:r>
          </w:p>
        </w:tc>
        <w:tc>
          <w:tcPr>
            <w:tcW w:w="2076" w:type="dxa"/>
            <w:vAlign w:val="center"/>
          </w:tcPr>
          <w:p w14:paraId="6E965105">
            <w:pPr>
              <w:jc w:val="center"/>
              <w:rPr>
                <w:rFonts w:hint="default" w:ascii="Calibri" w:hAnsi="Calibri" w:cs="Calibri"/>
              </w:rPr>
            </w:pPr>
            <w:r>
              <w:rPr>
                <w:rFonts w:hint="default" w:ascii="Calibri" w:hAnsi="Calibri" w:cs="Calibri"/>
              </w:rPr>
              <w:t>3.1</w:t>
            </w:r>
          </w:p>
        </w:tc>
      </w:tr>
      <w:tr w14:paraId="37ACE77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076" w:type="dxa"/>
            <w:vAlign w:val="center"/>
          </w:tcPr>
          <w:p w14:paraId="1C9FAF38">
            <w:pPr>
              <w:jc w:val="center"/>
              <w:rPr>
                <w:rFonts w:hint="default" w:ascii="Calibri" w:hAnsi="Calibri" w:cs="Calibri"/>
              </w:rPr>
            </w:pPr>
            <w:r>
              <w:rPr>
                <w:rFonts w:hint="default" w:ascii="Calibri" w:hAnsi="Calibri" w:cs="Calibri"/>
              </w:rPr>
              <w:t>N4 Consumption (dissipative)</w:t>
            </w:r>
          </w:p>
        </w:tc>
        <w:tc>
          <w:tcPr>
            <w:tcW w:w="2076" w:type="dxa"/>
            <w:vAlign w:val="center"/>
          </w:tcPr>
          <w:p w14:paraId="1D755649">
            <w:pPr>
              <w:jc w:val="center"/>
              <w:rPr>
                <w:rFonts w:hint="default" w:ascii="Calibri" w:hAnsi="Calibri" w:cs="Calibri"/>
              </w:rPr>
            </w:pPr>
            <w:r>
              <w:rPr>
                <w:rFonts w:hint="default" w:ascii="Calibri" w:hAnsi="Calibri" w:cs="Calibri"/>
              </w:rPr>
              <w:t>1.8</w:t>
            </w:r>
          </w:p>
        </w:tc>
        <w:tc>
          <w:tcPr>
            <w:tcW w:w="2076" w:type="dxa"/>
            <w:vAlign w:val="center"/>
          </w:tcPr>
          <w:p w14:paraId="3D481052">
            <w:pPr>
              <w:jc w:val="center"/>
              <w:rPr>
                <w:rFonts w:hint="default" w:ascii="Calibri" w:hAnsi="Calibri" w:cs="Calibri"/>
              </w:rPr>
            </w:pPr>
            <w:r>
              <w:rPr>
                <w:rFonts w:hint="default" w:ascii="Calibri" w:hAnsi="Calibri" w:cs="Calibri"/>
              </w:rPr>
              <w:t>1.6</w:t>
            </w:r>
          </w:p>
        </w:tc>
        <w:tc>
          <w:tcPr>
            <w:tcW w:w="2076" w:type="dxa"/>
            <w:vAlign w:val="center"/>
          </w:tcPr>
          <w:p w14:paraId="0C1D401E">
            <w:pPr>
              <w:jc w:val="center"/>
              <w:rPr>
                <w:rFonts w:hint="default" w:ascii="Calibri" w:hAnsi="Calibri" w:cs="Calibri"/>
              </w:rPr>
            </w:pPr>
            <w:r>
              <w:rPr>
                <w:rFonts w:hint="default" w:ascii="Calibri" w:hAnsi="Calibri" w:cs="Calibri"/>
              </w:rPr>
              <w:t>1.5</w:t>
            </w:r>
          </w:p>
        </w:tc>
      </w:tr>
      <w:tr w14:paraId="5577E526">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076" w:type="dxa"/>
            <w:vAlign w:val="center"/>
          </w:tcPr>
          <w:p w14:paraId="2FEFA1E0">
            <w:pPr>
              <w:jc w:val="center"/>
              <w:rPr>
                <w:rFonts w:hint="default" w:ascii="Calibri" w:hAnsi="Calibri" w:cs="Calibri"/>
              </w:rPr>
            </w:pPr>
            <w:r>
              <w:rPr>
                <w:rFonts w:hint="default" w:ascii="Calibri" w:hAnsi="Calibri" w:cs="Calibri"/>
              </w:rPr>
              <w:t>N5 Recycling (pre-treatment loss)</w:t>
            </w:r>
          </w:p>
        </w:tc>
        <w:tc>
          <w:tcPr>
            <w:tcW w:w="2076" w:type="dxa"/>
            <w:vAlign w:val="center"/>
          </w:tcPr>
          <w:p w14:paraId="49057D4D">
            <w:pPr>
              <w:jc w:val="center"/>
              <w:rPr>
                <w:rFonts w:hint="default" w:ascii="Calibri" w:hAnsi="Calibri" w:cs="Calibri"/>
              </w:rPr>
            </w:pPr>
            <w:r>
              <w:rPr>
                <w:rFonts w:hint="default" w:ascii="Calibri" w:hAnsi="Calibri" w:cs="Calibri"/>
              </w:rPr>
              <w:t>5.2</w:t>
            </w:r>
          </w:p>
        </w:tc>
        <w:tc>
          <w:tcPr>
            <w:tcW w:w="2076" w:type="dxa"/>
            <w:vAlign w:val="center"/>
          </w:tcPr>
          <w:p w14:paraId="05926A56">
            <w:pPr>
              <w:jc w:val="center"/>
              <w:rPr>
                <w:rFonts w:hint="default" w:ascii="Calibri" w:hAnsi="Calibri" w:cs="Calibri"/>
              </w:rPr>
            </w:pPr>
            <w:r>
              <w:rPr>
                <w:rFonts w:hint="default" w:ascii="Calibri" w:hAnsi="Calibri" w:cs="Calibri"/>
              </w:rPr>
              <w:t>4.8</w:t>
            </w:r>
          </w:p>
        </w:tc>
        <w:tc>
          <w:tcPr>
            <w:tcW w:w="2076" w:type="dxa"/>
            <w:vAlign w:val="center"/>
          </w:tcPr>
          <w:p w14:paraId="1BD0322F">
            <w:pPr>
              <w:jc w:val="center"/>
              <w:rPr>
                <w:rFonts w:hint="default" w:ascii="Calibri" w:hAnsi="Calibri" w:cs="Calibri"/>
              </w:rPr>
            </w:pPr>
            <w:r>
              <w:rPr>
                <w:rFonts w:hint="default" w:ascii="Calibri" w:hAnsi="Calibri" w:cs="Calibri"/>
              </w:rPr>
              <w:t>4.1</w:t>
            </w:r>
          </w:p>
        </w:tc>
      </w:tr>
      <w:tr w14:paraId="3035D27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076" w:type="dxa"/>
            <w:vAlign w:val="center"/>
          </w:tcPr>
          <w:p w14:paraId="13894391">
            <w:pPr>
              <w:jc w:val="center"/>
              <w:rPr>
                <w:rFonts w:hint="default" w:ascii="Calibri" w:hAnsi="Calibri" w:cs="Calibri"/>
              </w:rPr>
            </w:pPr>
            <w:r>
              <w:rPr>
                <w:rFonts w:hint="default" w:ascii="Calibri" w:hAnsi="Calibri" w:cs="Calibri"/>
              </w:rPr>
              <w:t>Aggregate system CDC (weighted)</w:t>
            </w:r>
          </w:p>
        </w:tc>
        <w:tc>
          <w:tcPr>
            <w:tcW w:w="2076" w:type="dxa"/>
            <w:vAlign w:val="center"/>
          </w:tcPr>
          <w:p w14:paraId="10651B0E">
            <w:pPr>
              <w:jc w:val="center"/>
              <w:rPr>
                <w:rFonts w:hint="default" w:ascii="Calibri" w:hAnsi="Calibri" w:cs="Calibri"/>
              </w:rPr>
            </w:pPr>
            <w:r>
              <w:rPr>
                <w:rFonts w:hint="default" w:ascii="Calibri" w:hAnsi="Calibri" w:cs="Calibri"/>
              </w:rPr>
              <w:t>33.5</w:t>
            </w:r>
          </w:p>
        </w:tc>
        <w:tc>
          <w:tcPr>
            <w:tcW w:w="2076" w:type="dxa"/>
            <w:vAlign w:val="center"/>
          </w:tcPr>
          <w:p w14:paraId="3AE1C053">
            <w:pPr>
              <w:jc w:val="center"/>
              <w:rPr>
                <w:rFonts w:hint="default" w:ascii="Calibri" w:hAnsi="Calibri" w:cs="Calibri"/>
              </w:rPr>
            </w:pPr>
            <w:r>
              <w:rPr>
                <w:rFonts w:hint="default" w:ascii="Calibri" w:hAnsi="Calibri" w:cs="Calibri"/>
              </w:rPr>
              <w:t>37.1</w:t>
            </w:r>
          </w:p>
        </w:tc>
        <w:tc>
          <w:tcPr>
            <w:tcW w:w="2076" w:type="dxa"/>
            <w:vAlign w:val="center"/>
          </w:tcPr>
          <w:p w14:paraId="703E1479">
            <w:pPr>
              <w:jc w:val="center"/>
              <w:rPr>
                <w:rFonts w:hint="default" w:ascii="Calibri" w:hAnsi="Calibri" w:cs="Calibri"/>
              </w:rPr>
            </w:pPr>
            <w:r>
              <w:rPr>
                <w:rFonts w:hint="default" w:ascii="Calibri" w:hAnsi="Calibri" w:cs="Calibri"/>
              </w:rPr>
              <w:t>34.2</w:t>
            </w:r>
          </w:p>
        </w:tc>
      </w:tr>
    </w:tbl>
    <w:p w14:paraId="4190B016">
      <w:pPr>
        <w:rPr>
          <w:rFonts w:ascii="Calibri" w:hAnsi="Calibri" w:cs="Calibri"/>
        </w:rPr>
      </w:pPr>
    </w:p>
    <w:p w14:paraId="07D33CEA">
      <w:pPr>
        <w:pStyle w:val="2"/>
        <w:rPr>
          <w:rFonts w:ascii="Calibri" w:hAnsi="Calibri" w:cs="Calibri"/>
        </w:rPr>
      </w:pPr>
      <w:r>
        <w:rPr>
          <w:rFonts w:ascii="Calibri" w:hAnsi="Calibri" w:cs="Calibri"/>
        </w:rPr>
        <w:t>Table S</w:t>
      </w:r>
      <w:r>
        <w:rPr>
          <w:rFonts w:hint="eastAsia" w:ascii="Calibri" w:hAnsi="Calibri" w:cs="Calibri"/>
          <w:lang w:val="en-US" w:eastAsia="zh-CN"/>
        </w:rPr>
        <w:t>4</w:t>
      </w:r>
      <w:r>
        <w:rPr>
          <w:rFonts w:ascii="Calibri" w:hAnsi="Calibri" w:cs="Calibri"/>
        </w:rPr>
        <w:t xml:space="preserve"> Major chemical composition of iron ore tailings in China (2010-2020, wt%)</w:t>
      </w:r>
    </w:p>
    <w:tbl>
      <w:tblPr>
        <w:tblStyle w:val="15"/>
        <w:tblW w:w="4998" w:type="pct"/>
        <w:tblInd w:w="0" w:type="dxa"/>
        <w:tblBorders>
          <w:top w:val="single" w:color="auto" w:sz="8" w:space="0"/>
          <w:left w:val="none" w:color="auto" w:sz="0" w:space="0"/>
          <w:bottom w:val="single" w:color="auto" w:sz="8"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356"/>
        <w:gridCol w:w="1522"/>
        <w:gridCol w:w="1356"/>
        <w:gridCol w:w="1356"/>
        <w:gridCol w:w="1356"/>
        <w:gridCol w:w="1357"/>
      </w:tblGrid>
      <w:tr w14:paraId="4C3614C1">
        <w:tblPrEx>
          <w:tblBorders>
            <w:top w:val="single" w:color="auto" w:sz="8" w:space="0"/>
            <w:left w:val="none" w:color="auto" w:sz="0" w:space="0"/>
            <w:bottom w:val="single" w:color="auto" w:sz="8"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0" w:hRule="atLeast"/>
        </w:trPr>
        <w:tc>
          <w:tcPr>
            <w:tcW w:w="833" w:type="pct"/>
            <w:tcBorders>
              <w:left w:val="nil"/>
              <w:bottom w:val="single" w:color="auto" w:sz="6" w:space="0"/>
              <w:right w:val="single" w:color="auto" w:sz="4" w:space="0"/>
            </w:tcBorders>
            <w:shd w:val="clear" w:color="auto" w:fill="auto"/>
            <w:noWrap/>
            <w:vAlign w:val="center"/>
          </w:tcPr>
          <w:p w14:paraId="4DD488EA">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Year</w:t>
            </w:r>
          </w:p>
        </w:tc>
        <w:tc>
          <w:tcPr>
            <w:tcW w:w="833" w:type="pct"/>
            <w:tcBorders>
              <w:left w:val="single" w:color="auto" w:sz="4" w:space="0"/>
              <w:bottom w:val="single" w:color="auto" w:sz="6" w:space="0"/>
              <w:right w:val="nil"/>
            </w:tcBorders>
            <w:shd w:val="clear" w:color="auto" w:fill="auto"/>
            <w:noWrap/>
            <w:vAlign w:val="center"/>
          </w:tcPr>
          <w:p w14:paraId="6D9563C7">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Total Iron (TFe)</w:t>
            </w:r>
          </w:p>
        </w:tc>
        <w:tc>
          <w:tcPr>
            <w:tcW w:w="833" w:type="pct"/>
            <w:tcBorders>
              <w:left w:val="nil"/>
              <w:bottom w:val="single" w:color="auto" w:sz="6" w:space="0"/>
              <w:right w:val="nil"/>
            </w:tcBorders>
            <w:shd w:val="clear" w:color="auto" w:fill="auto"/>
            <w:noWrap/>
            <w:vAlign w:val="center"/>
          </w:tcPr>
          <w:p w14:paraId="1721C347">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SiO₂</w:t>
            </w:r>
          </w:p>
        </w:tc>
        <w:tc>
          <w:tcPr>
            <w:tcW w:w="833" w:type="pct"/>
            <w:tcBorders>
              <w:left w:val="nil"/>
              <w:bottom w:val="single" w:color="auto" w:sz="6" w:space="0"/>
              <w:right w:val="nil"/>
            </w:tcBorders>
            <w:shd w:val="clear" w:color="auto" w:fill="auto"/>
            <w:noWrap/>
            <w:vAlign w:val="center"/>
          </w:tcPr>
          <w:p w14:paraId="054D498C">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Al₂O₃</w:t>
            </w:r>
          </w:p>
        </w:tc>
        <w:tc>
          <w:tcPr>
            <w:tcW w:w="833" w:type="pct"/>
            <w:tcBorders>
              <w:left w:val="nil"/>
              <w:bottom w:val="single" w:color="auto" w:sz="6" w:space="0"/>
              <w:right w:val="nil"/>
            </w:tcBorders>
            <w:shd w:val="clear" w:color="auto" w:fill="auto"/>
            <w:noWrap/>
            <w:vAlign w:val="center"/>
          </w:tcPr>
          <w:p w14:paraId="010B2FAB">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CaO</w:t>
            </w:r>
          </w:p>
        </w:tc>
        <w:tc>
          <w:tcPr>
            <w:tcW w:w="833" w:type="pct"/>
            <w:tcBorders>
              <w:left w:val="nil"/>
              <w:bottom w:val="single" w:color="auto" w:sz="6" w:space="0"/>
              <w:right w:val="nil"/>
            </w:tcBorders>
            <w:shd w:val="clear" w:color="auto" w:fill="auto"/>
            <w:noWrap/>
            <w:vAlign w:val="center"/>
          </w:tcPr>
          <w:p w14:paraId="25306241">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MgO</w:t>
            </w:r>
          </w:p>
        </w:tc>
      </w:tr>
      <w:tr w14:paraId="46588B68">
        <w:tblPrEx>
          <w:tblBorders>
            <w:top w:val="single" w:color="auto" w:sz="8" w:space="0"/>
            <w:left w:val="none" w:color="auto" w:sz="0" w:space="0"/>
            <w:bottom w:val="single" w:color="auto" w:sz="8"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0" w:hRule="atLeast"/>
        </w:trPr>
        <w:tc>
          <w:tcPr>
            <w:tcW w:w="833" w:type="pct"/>
            <w:tcBorders>
              <w:top w:val="single" w:color="auto" w:sz="6" w:space="0"/>
              <w:left w:val="nil"/>
              <w:right w:val="single" w:color="auto" w:sz="4" w:space="0"/>
            </w:tcBorders>
            <w:shd w:val="clear" w:color="auto" w:fill="auto"/>
            <w:noWrap/>
            <w:vAlign w:val="center"/>
          </w:tcPr>
          <w:p w14:paraId="51C71DD8">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2010</w:t>
            </w:r>
          </w:p>
        </w:tc>
        <w:tc>
          <w:tcPr>
            <w:tcW w:w="833" w:type="pct"/>
            <w:tcBorders>
              <w:top w:val="single" w:color="auto" w:sz="6" w:space="0"/>
              <w:left w:val="single" w:color="auto" w:sz="4" w:space="0"/>
              <w:right w:val="nil"/>
            </w:tcBorders>
            <w:shd w:val="clear" w:color="auto" w:fill="auto"/>
            <w:noWrap/>
            <w:vAlign w:val="center"/>
          </w:tcPr>
          <w:p w14:paraId="5ED0D503">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10.8</w:t>
            </w:r>
          </w:p>
        </w:tc>
        <w:tc>
          <w:tcPr>
            <w:tcW w:w="833" w:type="pct"/>
            <w:tcBorders>
              <w:top w:val="single" w:color="auto" w:sz="6" w:space="0"/>
              <w:left w:val="nil"/>
              <w:right w:val="nil"/>
            </w:tcBorders>
            <w:shd w:val="clear" w:color="auto" w:fill="auto"/>
            <w:noWrap/>
            <w:vAlign w:val="center"/>
          </w:tcPr>
          <w:p w14:paraId="0C88C35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42.3</w:t>
            </w:r>
          </w:p>
        </w:tc>
        <w:tc>
          <w:tcPr>
            <w:tcW w:w="833" w:type="pct"/>
            <w:tcBorders>
              <w:top w:val="single" w:color="auto" w:sz="6" w:space="0"/>
              <w:left w:val="nil"/>
              <w:right w:val="nil"/>
            </w:tcBorders>
            <w:shd w:val="clear" w:color="auto" w:fill="auto"/>
            <w:noWrap/>
            <w:vAlign w:val="center"/>
          </w:tcPr>
          <w:p w14:paraId="75BB7025">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13.2</w:t>
            </w:r>
          </w:p>
        </w:tc>
        <w:tc>
          <w:tcPr>
            <w:tcW w:w="833" w:type="pct"/>
            <w:tcBorders>
              <w:top w:val="single" w:color="auto" w:sz="6" w:space="0"/>
              <w:left w:val="nil"/>
              <w:right w:val="nil"/>
            </w:tcBorders>
            <w:shd w:val="clear" w:color="auto" w:fill="auto"/>
            <w:noWrap/>
            <w:vAlign w:val="center"/>
          </w:tcPr>
          <w:p w14:paraId="32CA1F7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8.5</w:t>
            </w:r>
          </w:p>
        </w:tc>
        <w:tc>
          <w:tcPr>
            <w:tcW w:w="833" w:type="pct"/>
            <w:tcBorders>
              <w:top w:val="single" w:color="auto" w:sz="6" w:space="0"/>
              <w:left w:val="nil"/>
              <w:right w:val="nil"/>
            </w:tcBorders>
            <w:shd w:val="clear" w:color="auto" w:fill="auto"/>
            <w:noWrap/>
            <w:vAlign w:val="center"/>
          </w:tcPr>
          <w:p w14:paraId="0F262B51">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4.7</w:t>
            </w:r>
          </w:p>
        </w:tc>
      </w:tr>
      <w:tr w14:paraId="07F90F3C">
        <w:tblPrEx>
          <w:tblBorders>
            <w:top w:val="single" w:color="auto" w:sz="8" w:space="0"/>
            <w:left w:val="none" w:color="auto" w:sz="0" w:space="0"/>
            <w:bottom w:val="single" w:color="auto" w:sz="8"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0" w:hRule="atLeast"/>
        </w:trPr>
        <w:tc>
          <w:tcPr>
            <w:tcW w:w="833" w:type="pct"/>
            <w:tcBorders>
              <w:left w:val="nil"/>
              <w:right w:val="single" w:color="auto" w:sz="4" w:space="0"/>
            </w:tcBorders>
            <w:shd w:val="clear" w:color="auto" w:fill="auto"/>
            <w:noWrap/>
            <w:vAlign w:val="center"/>
          </w:tcPr>
          <w:p w14:paraId="4DE8EB7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2015</w:t>
            </w:r>
          </w:p>
        </w:tc>
        <w:tc>
          <w:tcPr>
            <w:tcW w:w="833" w:type="pct"/>
            <w:tcBorders>
              <w:left w:val="single" w:color="auto" w:sz="4" w:space="0"/>
              <w:right w:val="nil"/>
            </w:tcBorders>
            <w:shd w:val="clear" w:color="auto" w:fill="auto"/>
            <w:noWrap/>
            <w:vAlign w:val="center"/>
          </w:tcPr>
          <w:p w14:paraId="7B9E60D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9.7</w:t>
            </w:r>
          </w:p>
        </w:tc>
        <w:tc>
          <w:tcPr>
            <w:tcW w:w="833" w:type="pct"/>
            <w:tcBorders>
              <w:left w:val="nil"/>
              <w:right w:val="nil"/>
            </w:tcBorders>
            <w:shd w:val="clear" w:color="auto" w:fill="auto"/>
            <w:noWrap/>
            <w:vAlign w:val="center"/>
          </w:tcPr>
          <w:p w14:paraId="05F6EB4F">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45.1</w:t>
            </w:r>
          </w:p>
        </w:tc>
        <w:tc>
          <w:tcPr>
            <w:tcW w:w="833" w:type="pct"/>
            <w:tcBorders>
              <w:left w:val="nil"/>
              <w:right w:val="nil"/>
            </w:tcBorders>
            <w:shd w:val="clear" w:color="auto" w:fill="auto"/>
            <w:noWrap/>
            <w:vAlign w:val="center"/>
          </w:tcPr>
          <w:p w14:paraId="6CADF443">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14.6</w:t>
            </w:r>
          </w:p>
        </w:tc>
        <w:tc>
          <w:tcPr>
            <w:tcW w:w="833" w:type="pct"/>
            <w:tcBorders>
              <w:left w:val="nil"/>
              <w:right w:val="nil"/>
            </w:tcBorders>
            <w:shd w:val="clear" w:color="auto" w:fill="auto"/>
            <w:noWrap/>
            <w:vAlign w:val="center"/>
          </w:tcPr>
          <w:p w14:paraId="6880A1E1">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9.8</w:t>
            </w:r>
          </w:p>
        </w:tc>
        <w:tc>
          <w:tcPr>
            <w:tcW w:w="833" w:type="pct"/>
            <w:tcBorders>
              <w:left w:val="nil"/>
              <w:right w:val="nil"/>
            </w:tcBorders>
            <w:shd w:val="clear" w:color="auto" w:fill="auto"/>
            <w:noWrap/>
            <w:vAlign w:val="center"/>
          </w:tcPr>
          <w:p w14:paraId="29CF122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5.2</w:t>
            </w:r>
          </w:p>
        </w:tc>
      </w:tr>
      <w:tr w14:paraId="7FBB35FF">
        <w:tblPrEx>
          <w:tblBorders>
            <w:top w:val="single" w:color="auto" w:sz="8" w:space="0"/>
            <w:left w:val="none" w:color="auto" w:sz="0" w:space="0"/>
            <w:bottom w:val="single" w:color="auto" w:sz="8"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0" w:hRule="atLeast"/>
        </w:trPr>
        <w:tc>
          <w:tcPr>
            <w:tcW w:w="833" w:type="pct"/>
            <w:tcBorders>
              <w:left w:val="nil"/>
              <w:right w:val="single" w:color="auto" w:sz="4" w:space="0"/>
            </w:tcBorders>
            <w:shd w:val="clear" w:color="auto" w:fill="auto"/>
            <w:noWrap/>
            <w:vAlign w:val="center"/>
          </w:tcPr>
          <w:p w14:paraId="78CA1DD3">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2020</w:t>
            </w:r>
          </w:p>
        </w:tc>
        <w:tc>
          <w:tcPr>
            <w:tcW w:w="833" w:type="pct"/>
            <w:tcBorders>
              <w:left w:val="single" w:color="auto" w:sz="4" w:space="0"/>
              <w:right w:val="nil"/>
            </w:tcBorders>
            <w:shd w:val="clear" w:color="auto" w:fill="auto"/>
            <w:noWrap/>
            <w:vAlign w:val="center"/>
          </w:tcPr>
          <w:p w14:paraId="7CE72E38">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9.1</w:t>
            </w:r>
          </w:p>
        </w:tc>
        <w:tc>
          <w:tcPr>
            <w:tcW w:w="833" w:type="pct"/>
            <w:tcBorders>
              <w:left w:val="nil"/>
              <w:right w:val="nil"/>
            </w:tcBorders>
            <w:shd w:val="clear" w:color="auto" w:fill="auto"/>
            <w:noWrap/>
            <w:vAlign w:val="center"/>
          </w:tcPr>
          <w:p w14:paraId="4BE5233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46.7</w:t>
            </w:r>
          </w:p>
        </w:tc>
        <w:tc>
          <w:tcPr>
            <w:tcW w:w="833" w:type="pct"/>
            <w:tcBorders>
              <w:left w:val="nil"/>
              <w:right w:val="nil"/>
            </w:tcBorders>
            <w:shd w:val="clear" w:color="auto" w:fill="auto"/>
            <w:noWrap/>
            <w:vAlign w:val="center"/>
          </w:tcPr>
          <w:p w14:paraId="3085AF9B">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15.1</w:t>
            </w:r>
          </w:p>
        </w:tc>
        <w:tc>
          <w:tcPr>
            <w:tcW w:w="833" w:type="pct"/>
            <w:tcBorders>
              <w:left w:val="nil"/>
              <w:right w:val="nil"/>
            </w:tcBorders>
            <w:shd w:val="clear" w:color="auto" w:fill="auto"/>
            <w:noWrap/>
            <w:vAlign w:val="center"/>
          </w:tcPr>
          <w:p w14:paraId="13AE9BF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10.2</w:t>
            </w:r>
          </w:p>
        </w:tc>
        <w:tc>
          <w:tcPr>
            <w:tcW w:w="833" w:type="pct"/>
            <w:tcBorders>
              <w:left w:val="nil"/>
              <w:right w:val="nil"/>
            </w:tcBorders>
            <w:shd w:val="clear" w:color="auto" w:fill="auto"/>
            <w:noWrap/>
            <w:vAlign w:val="center"/>
          </w:tcPr>
          <w:p w14:paraId="2CA2E1BF">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5.5</w:t>
            </w:r>
          </w:p>
        </w:tc>
      </w:tr>
    </w:tbl>
    <w:p w14:paraId="4C138121">
      <w:pPr>
        <w:rPr>
          <w:rFonts w:ascii="Calibri" w:hAnsi="Calibri" w:cs="Calibri"/>
        </w:rPr>
      </w:pPr>
      <w:r>
        <w:rPr>
          <w:rFonts w:ascii="Calibri" w:hAnsi="Calibri" w:cs="Calibri"/>
        </w:rPr>
        <w:t>*Data source: China Iron and Steel Industry Yearbook (2010-2020)</w:t>
      </w:r>
    </w:p>
    <w:p w14:paraId="234DB4D1">
      <w:pPr>
        <w:ind w:firstLine="420"/>
        <w:rPr>
          <w:rFonts w:ascii="Calibri" w:hAnsi="Calibri" w:cs="Calibri"/>
        </w:rPr>
      </w:pPr>
      <w:r>
        <w:rPr>
          <w:rFonts w:ascii="Calibri" w:hAnsi="Calibri" w:cs="Calibri"/>
        </w:rPr>
        <w:t>To further identify the material composition of front</w:t>
      </w:r>
      <w:r>
        <w:rPr>
          <w:rFonts w:hint="eastAsia" w:ascii="MS Gothic" w:hAnsi="MS Gothic" w:eastAsia="MS Gothic" w:cs="MS Gothic"/>
        </w:rPr>
        <w:t>‑</w:t>
      </w:r>
      <w:r>
        <w:rPr>
          <w:rFonts w:ascii="Calibri" w:hAnsi="Calibri" w:cs="Calibri"/>
        </w:rPr>
        <w:t>end resource loss and corresponding technical improvement targets, we summarized the chemical components of iron ore tailings (Table S1). Tailings are dominated by high</w:t>
      </w:r>
      <w:r>
        <w:rPr>
          <w:rFonts w:hint="eastAsia" w:ascii="MS Gothic" w:hAnsi="MS Gothic" w:eastAsia="MS Gothic" w:cs="MS Gothic"/>
        </w:rPr>
        <w:t>‑</w:t>
      </w:r>
      <w:r>
        <w:rPr>
          <w:rFonts w:ascii="Calibri" w:hAnsi="Calibri" w:cs="Calibri"/>
        </w:rPr>
        <w:t>silicon</w:t>
      </w:r>
      <w:r>
        <w:rPr>
          <w:rFonts w:hint="eastAsia" w:ascii="MS Gothic" w:hAnsi="MS Gothic" w:eastAsia="MS Gothic" w:cs="MS Gothic"/>
        </w:rPr>
        <w:t>‑</w:t>
      </w:r>
      <w:r>
        <w:rPr>
          <w:rFonts w:ascii="Calibri" w:hAnsi="Calibri" w:cs="Calibri"/>
        </w:rPr>
        <w:t>aluminum gangue minerals, with residual total iron (TFe) of 9.1%–10.8%, leading to massive recoverable iron loss during beneficiation. The declining TFe and rising SiO₂</w:t>
      </w:r>
      <w:r>
        <w:rPr>
          <w:rFonts w:hint="eastAsia" w:ascii="MS Gothic" w:hAnsi="MS Gothic" w:eastAsia="MS Gothic" w:cs="MS Gothic"/>
        </w:rPr>
        <w:t>‑</w:t>
      </w:r>
      <w:r>
        <w:rPr>
          <w:rFonts w:ascii="Calibri" w:hAnsi="Calibri" w:cs="Calibri"/>
        </w:rPr>
        <w:t>Al₂O₃ proportions reflect lower</w:t>
      </w:r>
      <w:r>
        <w:rPr>
          <w:rFonts w:hint="eastAsia" w:ascii="MS Gothic" w:hAnsi="MS Gothic" w:eastAsia="MS Gothic" w:cs="MS Gothic"/>
        </w:rPr>
        <w:t>‑</w:t>
      </w:r>
      <w:r>
        <w:rPr>
          <w:rFonts w:ascii="Calibri" w:hAnsi="Calibri" w:cs="Calibri"/>
        </w:rPr>
        <w:t>grade raw ore inputs, and the cumulative iron loss in tailings reached 62.7 Mt from 2010 to 2020. Such material composition indicates that targeted technologies including desilication flotation and low</w:t>
      </w:r>
      <w:r>
        <w:rPr>
          <w:rFonts w:hint="eastAsia" w:ascii="MS Gothic" w:hAnsi="MS Gothic" w:eastAsia="MS Gothic" w:cs="MS Gothic"/>
        </w:rPr>
        <w:t>‑</w:t>
      </w:r>
      <w:r>
        <w:rPr>
          <w:rFonts w:ascii="Calibri" w:hAnsi="Calibri" w:cs="Calibri"/>
        </w:rPr>
        <w:t>grade tailings reprocessing are critical to reduce iron dissipation, alongside tailings valorization for building materials to lower overall beneficiation</w:t>
      </w:r>
      <w:r>
        <w:rPr>
          <w:rFonts w:hint="eastAsia" w:ascii="MS Gothic" w:hAnsi="MS Gothic" w:eastAsia="MS Gothic" w:cs="MS Gothic"/>
        </w:rPr>
        <w:t>‑</w:t>
      </w:r>
      <w:r>
        <w:rPr>
          <w:rFonts w:ascii="Calibri" w:hAnsi="Calibri" w:cs="Calibri"/>
        </w:rPr>
        <w:t>stage resource loss.</w:t>
      </w:r>
    </w:p>
    <w:p w14:paraId="771E89FE">
      <w:pPr>
        <w:ind w:firstLine="420"/>
        <w:rPr>
          <w:rFonts w:ascii="Calibri" w:hAnsi="Calibri" w:cs="Calibri"/>
        </w:rPr>
      </w:pPr>
    </w:p>
    <w:p w14:paraId="69A0CDD5">
      <w:pPr>
        <w:pStyle w:val="2"/>
        <w:rPr>
          <w:rFonts w:ascii="Calibri" w:hAnsi="Calibri" w:cs="Calibri"/>
        </w:rPr>
      </w:pPr>
      <w:r>
        <w:rPr>
          <w:rFonts w:ascii="Calibri" w:hAnsi="Calibri" w:cs="Calibri"/>
        </w:rPr>
        <w:t>Table S</w:t>
      </w:r>
      <w:r>
        <w:rPr>
          <w:rFonts w:hint="eastAsia" w:ascii="Calibri" w:hAnsi="Calibri" w:cs="Calibri"/>
          <w:lang w:val="en-US" w:eastAsia="zh-CN"/>
        </w:rPr>
        <w:t>5</w:t>
      </w:r>
      <w:r>
        <w:rPr>
          <w:rFonts w:ascii="Calibri" w:hAnsi="Calibri" w:cs="Calibri"/>
        </w:rPr>
        <w:t xml:space="preserve"> Glossary of Steel Material Flow Terms (with Academic Explanations)</w:t>
      </w:r>
    </w:p>
    <w:tbl>
      <w:tblPr>
        <w:tblStyle w:val="15"/>
        <w:tblW w:w="0" w:type="auto"/>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24"/>
        <w:gridCol w:w="6682"/>
      </w:tblGrid>
      <w:tr w14:paraId="56852C3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bottom w:val="single" w:color="auto" w:sz="6" w:space="0"/>
            </w:tcBorders>
            <w:shd w:val="clear" w:color="auto" w:fill="auto"/>
            <w:noWrap/>
            <w:vAlign w:val="center"/>
          </w:tcPr>
          <w:p w14:paraId="59054842">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Term</w:t>
            </w:r>
          </w:p>
        </w:tc>
        <w:tc>
          <w:tcPr>
            <w:tcW w:w="0" w:type="auto"/>
            <w:tcBorders>
              <w:bottom w:val="single" w:color="auto" w:sz="6" w:space="0"/>
              <w:right w:val="nil"/>
            </w:tcBorders>
            <w:shd w:val="clear" w:color="auto" w:fill="auto"/>
            <w:noWrap/>
            <w:vAlign w:val="center"/>
          </w:tcPr>
          <w:p w14:paraId="3AB1EAB0">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Brief Academic Explanation</w:t>
            </w:r>
          </w:p>
        </w:tc>
      </w:tr>
      <w:tr w14:paraId="087EB4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top w:val="single" w:color="auto" w:sz="6" w:space="0"/>
              <w:left w:val="nil"/>
            </w:tcBorders>
            <w:shd w:val="clear" w:color="auto" w:fill="auto"/>
            <w:noWrap/>
            <w:vAlign w:val="center"/>
          </w:tcPr>
          <w:p w14:paraId="4DFD2DD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Iron ore</w:t>
            </w:r>
          </w:p>
        </w:tc>
        <w:tc>
          <w:tcPr>
            <w:tcW w:w="0" w:type="auto"/>
            <w:tcBorders>
              <w:top w:val="single" w:color="auto" w:sz="6" w:space="0"/>
              <w:right w:val="nil"/>
            </w:tcBorders>
            <w:shd w:val="clear" w:color="auto" w:fill="auto"/>
            <w:noWrap/>
            <w:vAlign w:val="center"/>
          </w:tcPr>
          <w:p w14:paraId="04D55DDE">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Raw mineral material containing iron, the primary feedstock for iron and steel production</w:t>
            </w:r>
          </w:p>
        </w:tc>
      </w:tr>
      <w:tr w14:paraId="00EE6EB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7FD83068">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Pig iron</w:t>
            </w:r>
          </w:p>
        </w:tc>
        <w:tc>
          <w:tcPr>
            <w:tcW w:w="0" w:type="auto"/>
            <w:tcBorders>
              <w:right w:val="nil"/>
            </w:tcBorders>
            <w:shd w:val="clear" w:color="auto" w:fill="auto"/>
            <w:noWrap/>
            <w:vAlign w:val="center"/>
          </w:tcPr>
          <w:p w14:paraId="23C613B3">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Intermediate product from blast furnace smelting of iron ore, the main raw material for crude steel production</w:t>
            </w:r>
          </w:p>
        </w:tc>
      </w:tr>
      <w:tr w14:paraId="227A35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5619BD77">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Crude steel</w:t>
            </w:r>
          </w:p>
        </w:tc>
        <w:tc>
          <w:tcPr>
            <w:tcW w:w="0" w:type="auto"/>
            <w:tcBorders>
              <w:right w:val="nil"/>
            </w:tcBorders>
            <w:shd w:val="clear" w:color="auto" w:fill="auto"/>
            <w:noWrap/>
            <w:vAlign w:val="center"/>
          </w:tcPr>
          <w:p w14:paraId="3486626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Semi-finished steel product from steelmaking, the core intermediate output of the iron and steel production system</w:t>
            </w:r>
          </w:p>
        </w:tc>
      </w:tr>
      <w:tr w14:paraId="56017B5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456FDE22">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Steel products</w:t>
            </w:r>
          </w:p>
        </w:tc>
        <w:tc>
          <w:tcPr>
            <w:tcW w:w="0" w:type="auto"/>
            <w:tcBorders>
              <w:right w:val="nil"/>
            </w:tcBorders>
            <w:shd w:val="clear" w:color="auto" w:fill="auto"/>
            <w:noWrap/>
            <w:vAlign w:val="center"/>
          </w:tcPr>
          <w:p w14:paraId="6FA98934">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Finished steel materials after rolling/processing, for use in construction, manufacturing and other sectors</w:t>
            </w:r>
          </w:p>
        </w:tc>
      </w:tr>
      <w:tr w14:paraId="6B89D7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11E57E5E">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Steel scrap</w:t>
            </w:r>
          </w:p>
        </w:tc>
        <w:tc>
          <w:tcPr>
            <w:tcW w:w="0" w:type="auto"/>
            <w:tcBorders>
              <w:right w:val="nil"/>
            </w:tcBorders>
            <w:shd w:val="clear" w:color="auto" w:fill="auto"/>
            <w:noWrap/>
            <w:vAlign w:val="center"/>
          </w:tcPr>
          <w:p w14:paraId="2C2D93BF">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Recyclable steel-containing waste materials, including in-house scrap from production and obsolete scrap from end-of-life products</w:t>
            </w:r>
          </w:p>
        </w:tc>
      </w:tr>
      <w:tr w14:paraId="36DE359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2224317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Production</w:t>
            </w:r>
          </w:p>
        </w:tc>
        <w:tc>
          <w:tcPr>
            <w:tcW w:w="0" w:type="auto"/>
            <w:tcBorders>
              <w:right w:val="nil"/>
            </w:tcBorders>
            <w:shd w:val="clear" w:color="auto" w:fill="auto"/>
            <w:noWrap/>
            <w:vAlign w:val="center"/>
          </w:tcPr>
          <w:p w14:paraId="618B44E0">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The core industrial process covering iron making, steel making and continuous casting in the iron and steel supply chain</w:t>
            </w:r>
          </w:p>
        </w:tc>
      </w:tr>
      <w:tr w14:paraId="195D7C4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05BBCBF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Processing and manufacturing</w:t>
            </w:r>
          </w:p>
        </w:tc>
        <w:tc>
          <w:tcPr>
            <w:tcW w:w="0" w:type="auto"/>
            <w:tcBorders>
              <w:right w:val="nil"/>
            </w:tcBorders>
            <w:shd w:val="clear" w:color="auto" w:fill="auto"/>
            <w:noWrap/>
            <w:vAlign w:val="center"/>
          </w:tcPr>
          <w:p w14:paraId="108D575E">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The downstream process of rolling, fabricating and processing crude steel into final steel products</w:t>
            </w:r>
          </w:p>
        </w:tc>
      </w:tr>
      <w:tr w14:paraId="4DB032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327676EE">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Use</w:t>
            </w:r>
          </w:p>
        </w:tc>
        <w:tc>
          <w:tcPr>
            <w:tcW w:w="0" w:type="auto"/>
            <w:tcBorders>
              <w:right w:val="nil"/>
            </w:tcBorders>
            <w:shd w:val="clear" w:color="auto" w:fill="auto"/>
            <w:noWrap/>
            <w:vAlign w:val="center"/>
          </w:tcPr>
          <w:p w14:paraId="05BD63F4">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The life cycle stage where steel products are put into service in the social economy, forming in-use steel stock</w:t>
            </w:r>
          </w:p>
        </w:tc>
      </w:tr>
      <w:tr w14:paraId="3C710CD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7B99ADEC">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Recycling and utilization</w:t>
            </w:r>
          </w:p>
        </w:tc>
        <w:tc>
          <w:tcPr>
            <w:tcW w:w="0" w:type="auto"/>
            <w:tcBorders>
              <w:right w:val="nil"/>
            </w:tcBorders>
            <w:shd w:val="clear" w:color="auto" w:fill="auto"/>
            <w:noWrap/>
            <w:vAlign w:val="center"/>
          </w:tcPr>
          <w:p w14:paraId="51B23390">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The process of collecting, sorting and reprocessing end-of-life steel scrap for reuse in steel production</w:t>
            </w:r>
          </w:p>
        </w:tc>
      </w:tr>
      <w:tr w14:paraId="39407D7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580601F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Stock</w:t>
            </w:r>
          </w:p>
        </w:tc>
        <w:tc>
          <w:tcPr>
            <w:tcW w:w="0" w:type="auto"/>
            <w:tcBorders>
              <w:right w:val="nil"/>
            </w:tcBorders>
            <w:shd w:val="clear" w:color="auto" w:fill="auto"/>
            <w:noWrap/>
            <w:vAlign w:val="center"/>
          </w:tcPr>
          <w:p w14:paraId="798688F1">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The accumulated volume of steel materials retained in the processing and manufacturing stage before entering the use phase</w:t>
            </w:r>
          </w:p>
        </w:tc>
      </w:tr>
      <w:tr w14:paraId="38EADA0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7A18FD23">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In-house scrap steel</w:t>
            </w:r>
          </w:p>
        </w:tc>
        <w:tc>
          <w:tcPr>
            <w:tcW w:w="0" w:type="auto"/>
            <w:tcBorders>
              <w:right w:val="nil"/>
            </w:tcBorders>
            <w:shd w:val="clear" w:color="auto" w:fill="auto"/>
            <w:noWrap/>
            <w:vAlign w:val="center"/>
          </w:tcPr>
          <w:p w14:paraId="2BB4248C">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Scrap steel generated during the internal production process of steel enterprises, directly recycled back to the production system</w:t>
            </w:r>
          </w:p>
        </w:tc>
      </w:tr>
      <w:tr w14:paraId="21AB375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24BA860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Solid waste</w:t>
            </w:r>
          </w:p>
        </w:tc>
        <w:tc>
          <w:tcPr>
            <w:tcW w:w="0" w:type="auto"/>
            <w:tcBorders>
              <w:right w:val="nil"/>
            </w:tcBorders>
            <w:shd w:val="clear" w:color="auto" w:fill="auto"/>
            <w:noWrap/>
            <w:vAlign w:val="center"/>
          </w:tcPr>
          <w:p w14:paraId="22B555D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Non-recyclable solid residues generated during steel processing and manufacturing, including slag and tailings</w:t>
            </w:r>
          </w:p>
        </w:tc>
      </w:tr>
      <w:tr w14:paraId="64F1137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40776983">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End-of-life products</w:t>
            </w:r>
          </w:p>
        </w:tc>
        <w:tc>
          <w:tcPr>
            <w:tcW w:w="0" w:type="auto"/>
            <w:tcBorders>
              <w:right w:val="nil"/>
            </w:tcBorders>
            <w:shd w:val="clear" w:color="auto" w:fill="auto"/>
            <w:noWrap/>
            <w:vAlign w:val="center"/>
          </w:tcPr>
          <w:p w14:paraId="40179D0F">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Steel products that have reached the end of their service life and are ready for recycling or disposal</w:t>
            </w:r>
          </w:p>
        </w:tc>
      </w:tr>
      <w:tr w14:paraId="5FA4AEE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0F841C2A">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Inventory</w:t>
            </w:r>
          </w:p>
        </w:tc>
        <w:tc>
          <w:tcPr>
            <w:tcW w:w="0" w:type="auto"/>
            <w:tcBorders>
              <w:right w:val="nil"/>
            </w:tcBorders>
            <w:shd w:val="clear" w:color="auto" w:fill="auto"/>
            <w:noWrap/>
            <w:vAlign w:val="center"/>
          </w:tcPr>
          <w:p w14:paraId="5A39349F">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The total accumulated volume of steel products in the social in-use stage, also known as social steel stock</w:t>
            </w:r>
          </w:p>
        </w:tc>
      </w:tr>
      <w:tr w14:paraId="09A0E2E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4BD6800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Dissipated waste</w:t>
            </w:r>
          </w:p>
        </w:tc>
        <w:tc>
          <w:tcPr>
            <w:tcW w:w="0" w:type="auto"/>
            <w:tcBorders>
              <w:right w:val="nil"/>
            </w:tcBorders>
            <w:shd w:val="clear" w:color="auto" w:fill="auto"/>
            <w:noWrap/>
            <w:vAlign w:val="center"/>
          </w:tcPr>
          <w:p w14:paraId="7EFB4C0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Steel-containing materials that are irreversibly lost during use and recycling, unable to be recovered and reused</w:t>
            </w:r>
          </w:p>
        </w:tc>
      </w:tr>
      <w:tr w14:paraId="012C46B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7C2D14C6">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Obsolete steel scrap</w:t>
            </w:r>
          </w:p>
        </w:tc>
        <w:tc>
          <w:tcPr>
            <w:tcW w:w="0" w:type="auto"/>
            <w:tcBorders>
              <w:right w:val="nil"/>
            </w:tcBorders>
            <w:shd w:val="clear" w:color="auto" w:fill="auto"/>
            <w:noWrap/>
            <w:vAlign w:val="center"/>
          </w:tcPr>
          <w:p w14:paraId="6882E8DD">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Scrap steel generated from end-of-life steel products in the social economy, the core source of external recycled scrap for steel enterprises</w:t>
            </w:r>
          </w:p>
        </w:tc>
      </w:tr>
      <w:tr w14:paraId="6ABF19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1AA1D1EB">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Ore</w:t>
            </w:r>
          </w:p>
        </w:tc>
        <w:tc>
          <w:tcPr>
            <w:tcW w:w="0" w:type="auto"/>
            <w:tcBorders>
              <w:right w:val="nil"/>
            </w:tcBorders>
            <w:shd w:val="clear" w:color="auto" w:fill="auto"/>
            <w:noWrap/>
            <w:vAlign w:val="center"/>
          </w:tcPr>
          <w:p w14:paraId="4CFEEC61">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Raw iron ore extracted from mines, before beneficiation and processing</w:t>
            </w:r>
          </w:p>
        </w:tc>
      </w:tr>
      <w:tr w14:paraId="60203B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4044CD68">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Tailings</w:t>
            </w:r>
          </w:p>
        </w:tc>
        <w:tc>
          <w:tcPr>
            <w:tcW w:w="0" w:type="auto"/>
            <w:tcBorders>
              <w:right w:val="nil"/>
            </w:tcBorders>
            <w:shd w:val="clear" w:color="auto" w:fill="auto"/>
            <w:noWrap/>
            <w:vAlign w:val="center"/>
          </w:tcPr>
          <w:p w14:paraId="2A88E0AE">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Solid waste residues discharged after iron ore beneficiation, containing unrecovered iron and gangue minerals</w:t>
            </w:r>
          </w:p>
        </w:tc>
      </w:tr>
      <w:tr w14:paraId="7C79046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4F89BC4E">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Iron slag</w:t>
            </w:r>
          </w:p>
        </w:tc>
        <w:tc>
          <w:tcPr>
            <w:tcW w:w="0" w:type="auto"/>
            <w:tcBorders>
              <w:right w:val="nil"/>
            </w:tcBorders>
            <w:shd w:val="clear" w:color="auto" w:fill="auto"/>
            <w:noWrap/>
            <w:vAlign w:val="center"/>
          </w:tcPr>
          <w:p w14:paraId="7209C936">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Solid by-product generated during the pig iron smelting process in blast furnaces</w:t>
            </w:r>
          </w:p>
        </w:tc>
      </w:tr>
      <w:tr w14:paraId="374003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tcBorders>
              <w:left w:val="nil"/>
            </w:tcBorders>
            <w:shd w:val="clear" w:color="auto" w:fill="auto"/>
            <w:noWrap/>
            <w:vAlign w:val="center"/>
          </w:tcPr>
          <w:p w14:paraId="49AA6032">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Steel slag</w:t>
            </w:r>
          </w:p>
        </w:tc>
        <w:tc>
          <w:tcPr>
            <w:tcW w:w="0" w:type="auto"/>
            <w:tcBorders>
              <w:right w:val="nil"/>
            </w:tcBorders>
            <w:shd w:val="clear" w:color="auto" w:fill="auto"/>
            <w:noWrap/>
            <w:vAlign w:val="center"/>
          </w:tcPr>
          <w:p w14:paraId="28393F59">
            <w:pPr>
              <w:widowControl/>
              <w:jc w:val="center"/>
              <w:textAlignment w:val="center"/>
              <w:rPr>
                <w:rFonts w:ascii="Calibri" w:hAnsi="Calibri" w:eastAsia="宋体" w:cs="Calibri"/>
                <w:color w:val="000000"/>
                <w:szCs w:val="21"/>
              </w:rPr>
            </w:pPr>
            <w:r>
              <w:rPr>
                <w:rFonts w:ascii="Calibri" w:hAnsi="Calibri" w:eastAsia="宋体" w:cs="Calibri"/>
                <w:color w:val="000000"/>
                <w:kern w:val="0"/>
                <w:szCs w:val="21"/>
                <w:lang w:bidi="ar"/>
              </w:rPr>
              <w:t>Solid by-product generated during the crude steelmaking process in converters or electric furnaces</w:t>
            </w:r>
          </w:p>
        </w:tc>
      </w:tr>
    </w:tbl>
    <w:p w14:paraId="2DCDCBF2">
      <w:pPr>
        <w:rPr>
          <w:rFonts w:ascii="Calibri" w:hAnsi="Calibri" w:cs="Calibri"/>
        </w:rPr>
      </w:pPr>
    </w:p>
    <w:p w14:paraId="5C25ACC1">
      <w:pPr>
        <w:pStyle w:val="2"/>
      </w:pPr>
      <w:r>
        <w:rPr>
          <w:rFonts w:ascii="Calibri" w:hAnsi="Calibri" w:cs="Calibri"/>
        </w:rPr>
        <w:t xml:space="preserve">Table </w:t>
      </w:r>
      <w:r>
        <w:t>S</w:t>
      </w:r>
      <w:r>
        <w:rPr>
          <w:rFonts w:hint="eastAsia"/>
          <w:lang w:val="en-US" w:eastAsia="zh-CN"/>
        </w:rPr>
        <w:t>6</w:t>
      </w:r>
      <w:r>
        <w:t>. Firm-Level Calibration: Data and Calculation Worksheets</w:t>
      </w:r>
    </w:p>
    <w:p w14:paraId="606DBFDB">
      <w:pPr>
        <w:ind w:firstLine="420" w:firstLineChars="0"/>
        <w:rPr>
          <w:rFonts w:hint="default" w:ascii="Calibri" w:hAnsi="Calibri" w:cs="Calibri"/>
        </w:rPr>
      </w:pPr>
      <w:r>
        <w:rPr>
          <w:rFonts w:hint="default" w:ascii="Calibri" w:hAnsi="Calibri" w:cs="Calibri"/>
          <w:b/>
        </w:rPr>
        <w:t xml:space="preserve">Important note on firm-level data: </w:t>
      </w:r>
      <w:r>
        <w:rPr>
          <w:rFonts w:hint="default" w:ascii="Calibri" w:hAnsi="Calibri" w:cs="Calibri"/>
        </w:rPr>
        <w:t>The operational parameters in Tables S</w:t>
      </w:r>
      <w:r>
        <w:rPr>
          <w:rFonts w:hint="eastAsia" w:ascii="Calibri" w:hAnsi="Calibri" w:cs="Calibri"/>
          <w:lang w:val="en-US" w:eastAsia="zh-CN"/>
        </w:rPr>
        <w:t>6</w:t>
      </w:r>
      <w:r>
        <w:rPr>
          <w:rFonts w:hint="default" w:ascii="Calibri" w:hAnsi="Calibri" w:cs="Calibri"/>
        </w:rPr>
        <w:t>.1 and S</w:t>
      </w:r>
      <w:r>
        <w:rPr>
          <w:rFonts w:hint="eastAsia" w:ascii="Calibri" w:hAnsi="Calibri" w:cs="Calibri"/>
          <w:lang w:val="en-US" w:eastAsia="zh-CN"/>
        </w:rPr>
        <w:t>6</w:t>
      </w:r>
      <w:r>
        <w:rPr>
          <w:rFonts w:hint="default" w:ascii="Calibri" w:hAnsi="Calibri" w:cs="Calibri"/>
        </w:rPr>
        <w:t>.2 are model calibration values compiled by the authors from publicly available annual reports and ESG/sustainability reports. While the source documents are authoritative and publicly accessible (URLs provided), specific parameter values may require verification against the original reports, as some indicators (e.g., comprehensive scrap recycling rate, ore self-sufficiency rate) are not always reported in a standardized format and may involve the authors' interpretation. These values should be treated as reasonable calibration parameters for scenario simulation rather than audited firm-level statistics.</w:t>
      </w:r>
    </w:p>
    <w:p w14:paraId="1A182D9D">
      <w:pPr>
        <w:pStyle w:val="3"/>
        <w:bidi w:val="0"/>
      </w:pPr>
      <w:r>
        <w:rPr>
          <w:rFonts w:hint="default"/>
        </w:rPr>
        <w:t xml:space="preserve">Table </w:t>
      </w:r>
      <w:r>
        <w:t>S</w:t>
      </w:r>
      <w:r>
        <w:rPr>
          <w:rFonts w:hint="eastAsia"/>
          <w:lang w:val="en-US" w:eastAsia="zh-CN"/>
        </w:rPr>
        <w:t>6</w:t>
      </w:r>
      <w:r>
        <w:t>.1. Firm-Level Operational Parameters (FY2023)</w:t>
      </w:r>
    </w:p>
    <w:tbl>
      <w:tblPr>
        <w:tblStyle w:val="15"/>
        <w:tblW w:w="4998" w:type="pct"/>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956"/>
        <w:gridCol w:w="1091"/>
        <w:gridCol w:w="983"/>
        <w:gridCol w:w="1090"/>
        <w:gridCol w:w="1183"/>
      </w:tblGrid>
      <w:tr w14:paraId="2916CD7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tcBorders>
              <w:bottom w:val="single" w:color="auto" w:sz="6" w:space="0"/>
            </w:tcBorders>
            <w:vAlign w:val="center"/>
          </w:tcPr>
          <w:p w14:paraId="6CD1E7B4">
            <w:pPr>
              <w:jc w:val="center"/>
              <w:rPr>
                <w:rFonts w:hint="default" w:ascii="Calibri" w:hAnsi="Calibri" w:cs="Calibri"/>
              </w:rPr>
            </w:pPr>
            <w:r>
              <w:rPr>
                <w:rFonts w:hint="default" w:ascii="Calibri" w:hAnsi="Calibri" w:cs="Calibri"/>
              </w:rPr>
              <w:t>Parameter</w:t>
            </w:r>
          </w:p>
        </w:tc>
        <w:tc>
          <w:tcPr>
            <w:tcW w:w="672" w:type="pct"/>
            <w:tcBorders>
              <w:bottom w:val="single" w:color="auto" w:sz="6" w:space="0"/>
            </w:tcBorders>
            <w:vAlign w:val="center"/>
          </w:tcPr>
          <w:p w14:paraId="34138DDC">
            <w:pPr>
              <w:jc w:val="center"/>
              <w:rPr>
                <w:rFonts w:hint="default" w:ascii="Calibri" w:hAnsi="Calibri" w:cs="Calibri"/>
              </w:rPr>
            </w:pPr>
            <w:r>
              <w:rPr>
                <w:rFonts w:hint="default" w:ascii="Calibri" w:hAnsi="Calibri" w:cs="Calibri"/>
              </w:rPr>
              <w:t>Baosteel</w:t>
            </w:r>
          </w:p>
        </w:tc>
        <w:tc>
          <w:tcPr>
            <w:tcW w:w="607" w:type="pct"/>
            <w:tcBorders>
              <w:bottom w:val="single" w:color="auto" w:sz="6" w:space="0"/>
            </w:tcBorders>
            <w:vAlign w:val="center"/>
          </w:tcPr>
          <w:p w14:paraId="01DC94C6">
            <w:pPr>
              <w:jc w:val="center"/>
              <w:rPr>
                <w:rFonts w:hint="default" w:ascii="Calibri" w:hAnsi="Calibri" w:cs="Calibri"/>
              </w:rPr>
            </w:pPr>
            <w:r>
              <w:rPr>
                <w:rFonts w:hint="default" w:ascii="Calibri" w:hAnsi="Calibri" w:cs="Calibri"/>
              </w:rPr>
              <w:t>Ansteel</w:t>
            </w:r>
          </w:p>
        </w:tc>
        <w:tc>
          <w:tcPr>
            <w:tcW w:w="671" w:type="pct"/>
            <w:tcBorders>
              <w:bottom w:val="single" w:color="auto" w:sz="6" w:space="0"/>
            </w:tcBorders>
            <w:vAlign w:val="center"/>
          </w:tcPr>
          <w:p w14:paraId="2DCD34AB">
            <w:pPr>
              <w:jc w:val="center"/>
              <w:rPr>
                <w:rFonts w:hint="default" w:ascii="Calibri" w:hAnsi="Calibri" w:cs="Calibri"/>
              </w:rPr>
            </w:pPr>
            <w:r>
              <w:rPr>
                <w:rFonts w:hint="default" w:ascii="Calibri" w:hAnsi="Calibri" w:cs="Calibri"/>
              </w:rPr>
              <w:t>Shagang</w:t>
            </w:r>
          </w:p>
        </w:tc>
        <w:tc>
          <w:tcPr>
            <w:tcW w:w="652" w:type="pct"/>
            <w:tcBorders>
              <w:bottom w:val="single" w:color="auto" w:sz="6" w:space="0"/>
            </w:tcBorders>
            <w:vAlign w:val="center"/>
          </w:tcPr>
          <w:p w14:paraId="18F6B73F">
            <w:pPr>
              <w:jc w:val="center"/>
              <w:rPr>
                <w:rFonts w:hint="default" w:ascii="Calibri" w:hAnsi="Calibri" w:cs="Calibri"/>
              </w:rPr>
            </w:pPr>
            <w:r>
              <w:rPr>
                <w:rFonts w:hint="default" w:ascii="Calibri" w:hAnsi="Calibri" w:cs="Calibri"/>
              </w:rPr>
              <w:t>Benchmark</w:t>
            </w:r>
          </w:p>
        </w:tc>
      </w:tr>
      <w:tr w14:paraId="7B96DB8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tcBorders>
              <w:top w:val="single" w:color="auto" w:sz="6" w:space="0"/>
            </w:tcBorders>
            <w:vAlign w:val="center"/>
          </w:tcPr>
          <w:p w14:paraId="77EEC466">
            <w:pPr>
              <w:jc w:val="center"/>
              <w:rPr>
                <w:rFonts w:hint="default" w:ascii="Calibri" w:hAnsi="Calibri" w:cs="Calibri"/>
              </w:rPr>
            </w:pPr>
            <w:r>
              <w:rPr>
                <w:rFonts w:hint="default" w:ascii="Calibri" w:hAnsi="Calibri" w:cs="Calibri"/>
              </w:rPr>
              <w:t>Crude steel capacity</w:t>
            </w:r>
          </w:p>
        </w:tc>
        <w:tc>
          <w:tcPr>
            <w:tcW w:w="672" w:type="pct"/>
            <w:tcBorders>
              <w:top w:val="single" w:color="auto" w:sz="6" w:space="0"/>
            </w:tcBorders>
            <w:vAlign w:val="center"/>
          </w:tcPr>
          <w:p w14:paraId="74390E57">
            <w:pPr>
              <w:jc w:val="center"/>
              <w:rPr>
                <w:rFonts w:hint="default" w:ascii="Calibri" w:hAnsi="Calibri" w:cs="Calibri"/>
              </w:rPr>
            </w:pPr>
            <w:r>
              <w:rPr>
                <w:rFonts w:hint="default" w:ascii="Calibri" w:hAnsi="Calibri" w:cs="Calibri"/>
              </w:rPr>
              <w:t>45.2</w:t>
            </w:r>
          </w:p>
        </w:tc>
        <w:tc>
          <w:tcPr>
            <w:tcW w:w="607" w:type="pct"/>
            <w:tcBorders>
              <w:top w:val="single" w:color="auto" w:sz="6" w:space="0"/>
            </w:tcBorders>
            <w:vAlign w:val="center"/>
          </w:tcPr>
          <w:p w14:paraId="77F78B55">
            <w:pPr>
              <w:jc w:val="center"/>
              <w:rPr>
                <w:rFonts w:hint="default" w:ascii="Calibri" w:hAnsi="Calibri" w:cs="Calibri"/>
              </w:rPr>
            </w:pPr>
            <w:r>
              <w:rPr>
                <w:rFonts w:hint="default" w:ascii="Calibri" w:hAnsi="Calibri" w:cs="Calibri"/>
              </w:rPr>
              <w:t>38.6</w:t>
            </w:r>
          </w:p>
        </w:tc>
        <w:tc>
          <w:tcPr>
            <w:tcW w:w="671" w:type="pct"/>
            <w:tcBorders>
              <w:top w:val="single" w:color="auto" w:sz="6" w:space="0"/>
            </w:tcBorders>
            <w:vAlign w:val="center"/>
          </w:tcPr>
          <w:p w14:paraId="2F39F0A1">
            <w:pPr>
              <w:jc w:val="center"/>
              <w:rPr>
                <w:rFonts w:hint="default" w:ascii="Calibri" w:hAnsi="Calibri" w:cs="Calibri"/>
              </w:rPr>
            </w:pPr>
            <w:r>
              <w:rPr>
                <w:rFonts w:hint="default" w:ascii="Calibri" w:hAnsi="Calibri" w:cs="Calibri"/>
              </w:rPr>
              <w:t>41.5</w:t>
            </w:r>
          </w:p>
        </w:tc>
        <w:tc>
          <w:tcPr>
            <w:tcW w:w="652" w:type="pct"/>
            <w:tcBorders>
              <w:top w:val="single" w:color="auto" w:sz="6" w:space="0"/>
            </w:tcBorders>
            <w:vAlign w:val="center"/>
          </w:tcPr>
          <w:p w14:paraId="7BBCF391">
            <w:pPr>
              <w:jc w:val="center"/>
              <w:rPr>
                <w:rFonts w:hint="default" w:ascii="Calibri" w:hAnsi="Calibri" w:cs="Calibri"/>
              </w:rPr>
            </w:pPr>
            <w:r>
              <w:rPr>
                <w:rFonts w:hint="default" w:ascii="Calibri" w:hAnsi="Calibri" w:cs="Calibri"/>
              </w:rPr>
              <w:t>10.0</w:t>
            </w:r>
          </w:p>
        </w:tc>
      </w:tr>
      <w:tr w14:paraId="6A891317">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1363CF85">
            <w:pPr>
              <w:jc w:val="center"/>
              <w:rPr>
                <w:rFonts w:hint="default" w:ascii="Calibri" w:hAnsi="Calibri" w:cs="Calibri"/>
              </w:rPr>
            </w:pPr>
            <w:r>
              <w:rPr>
                <w:rFonts w:hint="default" w:ascii="Calibri" w:hAnsi="Calibri" w:cs="Calibri"/>
              </w:rPr>
              <w:t>Crude steel output (2023)</w:t>
            </w:r>
          </w:p>
        </w:tc>
        <w:tc>
          <w:tcPr>
            <w:tcW w:w="672" w:type="pct"/>
            <w:vAlign w:val="center"/>
          </w:tcPr>
          <w:p w14:paraId="057075E1">
            <w:pPr>
              <w:jc w:val="center"/>
              <w:rPr>
                <w:rFonts w:hint="default" w:ascii="Calibri" w:hAnsi="Calibri" w:cs="Calibri"/>
              </w:rPr>
            </w:pPr>
            <w:r>
              <w:rPr>
                <w:rFonts w:hint="default" w:ascii="Calibri" w:hAnsi="Calibri" w:cs="Calibri"/>
              </w:rPr>
              <w:t>44.1</w:t>
            </w:r>
          </w:p>
        </w:tc>
        <w:tc>
          <w:tcPr>
            <w:tcW w:w="607" w:type="pct"/>
            <w:vAlign w:val="center"/>
          </w:tcPr>
          <w:p w14:paraId="79662051">
            <w:pPr>
              <w:jc w:val="center"/>
              <w:rPr>
                <w:rFonts w:hint="default" w:ascii="Calibri" w:hAnsi="Calibri" w:cs="Calibri"/>
              </w:rPr>
            </w:pPr>
            <w:r>
              <w:rPr>
                <w:rFonts w:hint="default" w:ascii="Calibri" w:hAnsi="Calibri" w:cs="Calibri"/>
              </w:rPr>
              <w:t>37.2</w:t>
            </w:r>
          </w:p>
        </w:tc>
        <w:tc>
          <w:tcPr>
            <w:tcW w:w="671" w:type="pct"/>
            <w:vAlign w:val="center"/>
          </w:tcPr>
          <w:p w14:paraId="47912EB5">
            <w:pPr>
              <w:jc w:val="center"/>
              <w:rPr>
                <w:rFonts w:hint="default" w:ascii="Calibri" w:hAnsi="Calibri" w:cs="Calibri"/>
              </w:rPr>
            </w:pPr>
            <w:r>
              <w:rPr>
                <w:rFonts w:hint="default" w:ascii="Calibri" w:hAnsi="Calibri" w:cs="Calibri"/>
              </w:rPr>
              <w:t>40.3</w:t>
            </w:r>
          </w:p>
        </w:tc>
        <w:tc>
          <w:tcPr>
            <w:tcW w:w="652" w:type="pct"/>
            <w:vAlign w:val="center"/>
          </w:tcPr>
          <w:p w14:paraId="52AAF0BB">
            <w:pPr>
              <w:jc w:val="center"/>
              <w:rPr>
                <w:rFonts w:hint="default" w:ascii="Calibri" w:hAnsi="Calibri" w:cs="Calibri"/>
              </w:rPr>
            </w:pPr>
            <w:r>
              <w:rPr>
                <w:rFonts w:hint="default" w:ascii="Calibri" w:hAnsi="Calibri" w:cs="Calibri"/>
              </w:rPr>
              <w:t>9.5</w:t>
            </w:r>
          </w:p>
        </w:tc>
      </w:tr>
      <w:tr w14:paraId="17A24170">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60303410">
            <w:pPr>
              <w:jc w:val="center"/>
              <w:rPr>
                <w:rFonts w:hint="default" w:ascii="Calibri" w:hAnsi="Calibri" w:cs="Calibri"/>
              </w:rPr>
            </w:pPr>
            <w:r>
              <w:rPr>
                <w:rFonts w:hint="default" w:ascii="Calibri" w:hAnsi="Calibri" w:cs="Calibri"/>
              </w:rPr>
              <w:t>Blast furnace capacity share</w:t>
            </w:r>
          </w:p>
        </w:tc>
        <w:tc>
          <w:tcPr>
            <w:tcW w:w="672" w:type="pct"/>
            <w:vAlign w:val="center"/>
          </w:tcPr>
          <w:p w14:paraId="79B7F020">
            <w:pPr>
              <w:jc w:val="center"/>
              <w:rPr>
                <w:rFonts w:hint="default" w:ascii="Calibri" w:hAnsi="Calibri" w:cs="Calibri"/>
              </w:rPr>
            </w:pPr>
            <w:r>
              <w:rPr>
                <w:rFonts w:hint="default" w:ascii="Calibri" w:hAnsi="Calibri" w:cs="Calibri"/>
              </w:rPr>
              <w:t>82</w:t>
            </w:r>
          </w:p>
        </w:tc>
        <w:tc>
          <w:tcPr>
            <w:tcW w:w="607" w:type="pct"/>
            <w:vAlign w:val="center"/>
          </w:tcPr>
          <w:p w14:paraId="7FD44E39">
            <w:pPr>
              <w:jc w:val="center"/>
              <w:rPr>
                <w:rFonts w:hint="default" w:ascii="Calibri" w:hAnsi="Calibri" w:cs="Calibri"/>
              </w:rPr>
            </w:pPr>
            <w:r>
              <w:rPr>
                <w:rFonts w:hint="default" w:ascii="Calibri" w:hAnsi="Calibri" w:cs="Calibri"/>
              </w:rPr>
              <w:t>88</w:t>
            </w:r>
          </w:p>
        </w:tc>
        <w:tc>
          <w:tcPr>
            <w:tcW w:w="671" w:type="pct"/>
            <w:vAlign w:val="center"/>
          </w:tcPr>
          <w:p w14:paraId="593535F5">
            <w:pPr>
              <w:jc w:val="center"/>
              <w:rPr>
                <w:rFonts w:hint="default" w:ascii="Calibri" w:hAnsi="Calibri" w:cs="Calibri"/>
              </w:rPr>
            </w:pPr>
            <w:r>
              <w:rPr>
                <w:rFonts w:hint="default" w:ascii="Calibri" w:hAnsi="Calibri" w:cs="Calibri"/>
              </w:rPr>
              <w:t>85</w:t>
            </w:r>
          </w:p>
        </w:tc>
        <w:tc>
          <w:tcPr>
            <w:tcW w:w="652" w:type="pct"/>
            <w:vAlign w:val="center"/>
          </w:tcPr>
          <w:p w14:paraId="14279F0A">
            <w:pPr>
              <w:jc w:val="center"/>
              <w:rPr>
                <w:rFonts w:hint="default" w:ascii="Calibri" w:hAnsi="Calibri" w:cs="Calibri"/>
              </w:rPr>
            </w:pPr>
            <w:r>
              <w:rPr>
                <w:rFonts w:hint="default" w:ascii="Calibri" w:hAnsi="Calibri" w:cs="Calibri"/>
              </w:rPr>
              <w:t>100</w:t>
            </w:r>
          </w:p>
        </w:tc>
      </w:tr>
      <w:tr w14:paraId="185C953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79100E3F">
            <w:pPr>
              <w:jc w:val="center"/>
              <w:rPr>
                <w:rFonts w:hint="default" w:ascii="Calibri" w:hAnsi="Calibri" w:cs="Calibri"/>
              </w:rPr>
            </w:pPr>
            <w:r>
              <w:rPr>
                <w:rFonts w:hint="default" w:ascii="Calibri" w:hAnsi="Calibri" w:cs="Calibri"/>
              </w:rPr>
              <w:t>Electric arc furnace share</w:t>
            </w:r>
          </w:p>
        </w:tc>
        <w:tc>
          <w:tcPr>
            <w:tcW w:w="672" w:type="pct"/>
            <w:vAlign w:val="center"/>
          </w:tcPr>
          <w:p w14:paraId="6685C1D2">
            <w:pPr>
              <w:jc w:val="center"/>
              <w:rPr>
                <w:rFonts w:hint="default" w:ascii="Calibri" w:hAnsi="Calibri" w:cs="Calibri"/>
              </w:rPr>
            </w:pPr>
            <w:r>
              <w:rPr>
                <w:rFonts w:hint="default" w:ascii="Calibri" w:hAnsi="Calibri" w:cs="Calibri"/>
              </w:rPr>
              <w:t>18</w:t>
            </w:r>
          </w:p>
        </w:tc>
        <w:tc>
          <w:tcPr>
            <w:tcW w:w="607" w:type="pct"/>
            <w:vAlign w:val="center"/>
          </w:tcPr>
          <w:p w14:paraId="6D04BE26">
            <w:pPr>
              <w:jc w:val="center"/>
              <w:rPr>
                <w:rFonts w:hint="default" w:ascii="Calibri" w:hAnsi="Calibri" w:cs="Calibri"/>
              </w:rPr>
            </w:pPr>
            <w:r>
              <w:rPr>
                <w:rFonts w:hint="default" w:ascii="Calibri" w:hAnsi="Calibri" w:cs="Calibri"/>
              </w:rPr>
              <w:t>12</w:t>
            </w:r>
          </w:p>
        </w:tc>
        <w:tc>
          <w:tcPr>
            <w:tcW w:w="671" w:type="pct"/>
            <w:vAlign w:val="center"/>
          </w:tcPr>
          <w:p w14:paraId="5014C569">
            <w:pPr>
              <w:jc w:val="center"/>
              <w:rPr>
                <w:rFonts w:hint="default" w:ascii="Calibri" w:hAnsi="Calibri" w:cs="Calibri"/>
              </w:rPr>
            </w:pPr>
            <w:r>
              <w:rPr>
                <w:rFonts w:hint="default" w:ascii="Calibri" w:hAnsi="Calibri" w:cs="Calibri"/>
              </w:rPr>
              <w:t>15</w:t>
            </w:r>
          </w:p>
        </w:tc>
        <w:tc>
          <w:tcPr>
            <w:tcW w:w="652" w:type="pct"/>
            <w:vAlign w:val="center"/>
          </w:tcPr>
          <w:p w14:paraId="7D98A393">
            <w:pPr>
              <w:jc w:val="center"/>
              <w:rPr>
                <w:rFonts w:hint="default" w:ascii="Calibri" w:hAnsi="Calibri" w:cs="Calibri"/>
              </w:rPr>
            </w:pPr>
            <w:r>
              <w:rPr>
                <w:rFonts w:hint="default" w:ascii="Calibri" w:hAnsi="Calibri" w:cs="Calibri"/>
              </w:rPr>
              <w:t>0</w:t>
            </w:r>
          </w:p>
        </w:tc>
      </w:tr>
      <w:tr w14:paraId="7507AC97">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57C5C75C">
            <w:pPr>
              <w:jc w:val="center"/>
              <w:rPr>
                <w:rFonts w:hint="default" w:ascii="Calibri" w:hAnsi="Calibri" w:cs="Calibri"/>
              </w:rPr>
            </w:pPr>
            <w:r>
              <w:rPr>
                <w:rFonts w:hint="default" w:ascii="Calibri" w:hAnsi="Calibri" w:cs="Calibri"/>
              </w:rPr>
              <w:t>Scrap ratio in steelmaking</w:t>
            </w:r>
          </w:p>
        </w:tc>
        <w:tc>
          <w:tcPr>
            <w:tcW w:w="672" w:type="pct"/>
            <w:vAlign w:val="center"/>
          </w:tcPr>
          <w:p w14:paraId="0C13983B">
            <w:pPr>
              <w:jc w:val="center"/>
              <w:rPr>
                <w:rFonts w:hint="default" w:ascii="Calibri" w:hAnsi="Calibri" w:cs="Calibri"/>
              </w:rPr>
            </w:pPr>
            <w:r>
              <w:rPr>
                <w:rFonts w:hint="default" w:ascii="Calibri" w:hAnsi="Calibri" w:cs="Calibri"/>
              </w:rPr>
              <w:t>22.5</w:t>
            </w:r>
          </w:p>
        </w:tc>
        <w:tc>
          <w:tcPr>
            <w:tcW w:w="607" w:type="pct"/>
            <w:vAlign w:val="center"/>
          </w:tcPr>
          <w:p w14:paraId="67AA50CC">
            <w:pPr>
              <w:jc w:val="center"/>
              <w:rPr>
                <w:rFonts w:hint="default" w:ascii="Calibri" w:hAnsi="Calibri" w:cs="Calibri"/>
              </w:rPr>
            </w:pPr>
            <w:r>
              <w:rPr>
                <w:rFonts w:hint="default" w:ascii="Calibri" w:hAnsi="Calibri" w:cs="Calibri"/>
              </w:rPr>
              <w:t>18.2</w:t>
            </w:r>
          </w:p>
        </w:tc>
        <w:tc>
          <w:tcPr>
            <w:tcW w:w="671" w:type="pct"/>
            <w:vAlign w:val="center"/>
          </w:tcPr>
          <w:p w14:paraId="067D02AD">
            <w:pPr>
              <w:jc w:val="center"/>
              <w:rPr>
                <w:rFonts w:hint="default" w:ascii="Calibri" w:hAnsi="Calibri" w:cs="Calibri"/>
              </w:rPr>
            </w:pPr>
            <w:r>
              <w:rPr>
                <w:rFonts w:hint="default" w:ascii="Calibri" w:hAnsi="Calibri" w:cs="Calibri"/>
              </w:rPr>
              <w:t>20.1</w:t>
            </w:r>
          </w:p>
        </w:tc>
        <w:tc>
          <w:tcPr>
            <w:tcW w:w="652" w:type="pct"/>
            <w:vAlign w:val="center"/>
          </w:tcPr>
          <w:p w14:paraId="420E31C2">
            <w:pPr>
              <w:jc w:val="center"/>
              <w:rPr>
                <w:rFonts w:hint="default" w:ascii="Calibri" w:hAnsi="Calibri" w:cs="Calibri"/>
              </w:rPr>
            </w:pPr>
            <w:r>
              <w:rPr>
                <w:rFonts w:hint="default" w:ascii="Calibri" w:hAnsi="Calibri" w:cs="Calibri"/>
              </w:rPr>
              <w:t>15.0</w:t>
            </w:r>
          </w:p>
        </w:tc>
      </w:tr>
      <w:tr w14:paraId="71467E3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6EBACBF1">
            <w:pPr>
              <w:jc w:val="center"/>
              <w:rPr>
                <w:rFonts w:hint="default" w:ascii="Calibri" w:hAnsi="Calibri" w:cs="Calibri"/>
              </w:rPr>
            </w:pPr>
            <w:r>
              <w:rPr>
                <w:rFonts w:hint="default" w:ascii="Calibri" w:hAnsi="Calibri" w:cs="Calibri"/>
              </w:rPr>
              <w:t>Comprehensive scrap recycling rate (η)</w:t>
            </w:r>
          </w:p>
        </w:tc>
        <w:tc>
          <w:tcPr>
            <w:tcW w:w="672" w:type="pct"/>
            <w:vAlign w:val="center"/>
          </w:tcPr>
          <w:p w14:paraId="4EA0AE74">
            <w:pPr>
              <w:jc w:val="center"/>
              <w:rPr>
                <w:rFonts w:hint="default" w:ascii="Calibri" w:hAnsi="Calibri" w:cs="Calibri"/>
              </w:rPr>
            </w:pPr>
            <w:r>
              <w:rPr>
                <w:rFonts w:hint="default" w:ascii="Calibri" w:hAnsi="Calibri" w:cs="Calibri"/>
              </w:rPr>
              <w:t>28.3</w:t>
            </w:r>
          </w:p>
        </w:tc>
        <w:tc>
          <w:tcPr>
            <w:tcW w:w="607" w:type="pct"/>
            <w:vAlign w:val="center"/>
          </w:tcPr>
          <w:p w14:paraId="226FD07A">
            <w:pPr>
              <w:jc w:val="center"/>
              <w:rPr>
                <w:rFonts w:hint="default" w:ascii="Calibri" w:hAnsi="Calibri" w:cs="Calibri"/>
              </w:rPr>
            </w:pPr>
            <w:r>
              <w:rPr>
                <w:rFonts w:hint="default" w:ascii="Calibri" w:hAnsi="Calibri" w:cs="Calibri"/>
              </w:rPr>
              <w:t>22.7</w:t>
            </w:r>
          </w:p>
        </w:tc>
        <w:tc>
          <w:tcPr>
            <w:tcW w:w="671" w:type="pct"/>
            <w:vAlign w:val="center"/>
          </w:tcPr>
          <w:p w14:paraId="3DEEAEB0">
            <w:pPr>
              <w:jc w:val="center"/>
              <w:rPr>
                <w:rFonts w:hint="default" w:ascii="Calibri" w:hAnsi="Calibri" w:cs="Calibri"/>
              </w:rPr>
            </w:pPr>
            <w:r>
              <w:rPr>
                <w:rFonts w:hint="default" w:ascii="Calibri" w:hAnsi="Calibri" w:cs="Calibri"/>
              </w:rPr>
              <w:t>24.5</w:t>
            </w:r>
          </w:p>
        </w:tc>
        <w:tc>
          <w:tcPr>
            <w:tcW w:w="652" w:type="pct"/>
            <w:vAlign w:val="center"/>
          </w:tcPr>
          <w:p w14:paraId="0035ECE3">
            <w:pPr>
              <w:jc w:val="center"/>
              <w:rPr>
                <w:rFonts w:hint="default" w:ascii="Calibri" w:hAnsi="Calibri" w:cs="Calibri"/>
              </w:rPr>
            </w:pPr>
            <w:r>
              <w:rPr>
                <w:rFonts w:hint="default" w:ascii="Calibri" w:hAnsi="Calibri" w:cs="Calibri"/>
              </w:rPr>
              <w:t>15.0</w:t>
            </w:r>
          </w:p>
        </w:tc>
      </w:tr>
      <w:tr w14:paraId="12D34C59">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PrEx>
        <w:tc>
          <w:tcPr>
            <w:tcW w:w="2397" w:type="pct"/>
            <w:vAlign w:val="center"/>
          </w:tcPr>
          <w:p w14:paraId="2700DF13">
            <w:pPr>
              <w:jc w:val="center"/>
              <w:rPr>
                <w:rFonts w:hint="default" w:ascii="Calibri" w:hAnsi="Calibri" w:cs="Calibri"/>
              </w:rPr>
            </w:pPr>
            <w:r>
              <w:rPr>
                <w:rFonts w:hint="default" w:ascii="Calibri" w:hAnsi="Calibri" w:cs="Calibri"/>
              </w:rPr>
              <w:t>Ore self-sufficiency rate</w:t>
            </w:r>
          </w:p>
        </w:tc>
        <w:tc>
          <w:tcPr>
            <w:tcW w:w="672" w:type="pct"/>
            <w:vAlign w:val="center"/>
          </w:tcPr>
          <w:p w14:paraId="192542B7">
            <w:pPr>
              <w:jc w:val="center"/>
              <w:rPr>
                <w:rFonts w:hint="default" w:ascii="Calibri" w:hAnsi="Calibri" w:cs="Calibri"/>
              </w:rPr>
            </w:pPr>
            <w:r>
              <w:rPr>
                <w:rFonts w:hint="default" w:ascii="Calibri" w:hAnsi="Calibri" w:cs="Calibri"/>
              </w:rPr>
              <w:t>15</w:t>
            </w:r>
          </w:p>
        </w:tc>
        <w:tc>
          <w:tcPr>
            <w:tcW w:w="607" w:type="pct"/>
            <w:vAlign w:val="center"/>
          </w:tcPr>
          <w:p w14:paraId="578B0DBE">
            <w:pPr>
              <w:jc w:val="center"/>
              <w:rPr>
                <w:rFonts w:hint="default" w:ascii="Calibri" w:hAnsi="Calibri" w:cs="Calibri"/>
              </w:rPr>
            </w:pPr>
            <w:r>
              <w:rPr>
                <w:rFonts w:hint="default" w:ascii="Calibri" w:hAnsi="Calibri" w:cs="Calibri"/>
              </w:rPr>
              <w:t>42</w:t>
            </w:r>
          </w:p>
        </w:tc>
        <w:tc>
          <w:tcPr>
            <w:tcW w:w="671" w:type="pct"/>
            <w:vAlign w:val="center"/>
          </w:tcPr>
          <w:p w14:paraId="52DC7441">
            <w:pPr>
              <w:jc w:val="center"/>
              <w:rPr>
                <w:rFonts w:hint="default" w:ascii="Calibri" w:hAnsi="Calibri" w:cs="Calibri"/>
              </w:rPr>
            </w:pPr>
            <w:r>
              <w:rPr>
                <w:rFonts w:hint="default" w:ascii="Calibri" w:hAnsi="Calibri" w:cs="Calibri"/>
              </w:rPr>
              <w:t>8</w:t>
            </w:r>
          </w:p>
        </w:tc>
        <w:tc>
          <w:tcPr>
            <w:tcW w:w="652" w:type="pct"/>
            <w:vAlign w:val="center"/>
          </w:tcPr>
          <w:p w14:paraId="6163CE6D">
            <w:pPr>
              <w:jc w:val="center"/>
              <w:rPr>
                <w:rFonts w:hint="default" w:ascii="Calibri" w:hAnsi="Calibri" w:cs="Calibri"/>
              </w:rPr>
            </w:pPr>
            <w:r>
              <w:rPr>
                <w:rFonts w:hint="default" w:ascii="Calibri" w:hAnsi="Calibri" w:cs="Calibri"/>
              </w:rPr>
              <w:t>0</w:t>
            </w:r>
          </w:p>
        </w:tc>
      </w:tr>
      <w:tr w14:paraId="5A5B9F3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668FC3DD">
            <w:pPr>
              <w:jc w:val="center"/>
              <w:rPr>
                <w:rFonts w:hint="default" w:ascii="Calibri" w:hAnsi="Calibri" w:cs="Calibri"/>
              </w:rPr>
            </w:pPr>
            <w:r>
              <w:rPr>
                <w:rFonts w:hint="default" w:ascii="Calibri" w:hAnsi="Calibri" w:cs="Calibri"/>
              </w:rPr>
              <w:t>Virgin iron ore consumption (2023)</w:t>
            </w:r>
          </w:p>
        </w:tc>
        <w:tc>
          <w:tcPr>
            <w:tcW w:w="672" w:type="pct"/>
            <w:vAlign w:val="center"/>
          </w:tcPr>
          <w:p w14:paraId="24DE008B">
            <w:pPr>
              <w:jc w:val="center"/>
              <w:rPr>
                <w:rFonts w:hint="default" w:ascii="Calibri" w:hAnsi="Calibri" w:cs="Calibri"/>
              </w:rPr>
            </w:pPr>
            <w:r>
              <w:rPr>
                <w:rFonts w:hint="default" w:ascii="Calibri" w:hAnsi="Calibri" w:cs="Calibri"/>
              </w:rPr>
              <w:t>79.6</w:t>
            </w:r>
          </w:p>
        </w:tc>
        <w:tc>
          <w:tcPr>
            <w:tcW w:w="607" w:type="pct"/>
            <w:vAlign w:val="center"/>
          </w:tcPr>
          <w:p w14:paraId="060667BE">
            <w:pPr>
              <w:jc w:val="center"/>
              <w:rPr>
                <w:rFonts w:hint="default" w:ascii="Calibri" w:hAnsi="Calibri" w:cs="Calibri"/>
              </w:rPr>
            </w:pPr>
            <w:r>
              <w:rPr>
                <w:rFonts w:hint="default" w:ascii="Calibri" w:hAnsi="Calibri" w:cs="Calibri"/>
              </w:rPr>
              <w:t>72.4</w:t>
            </w:r>
          </w:p>
        </w:tc>
        <w:tc>
          <w:tcPr>
            <w:tcW w:w="671" w:type="pct"/>
            <w:vAlign w:val="center"/>
          </w:tcPr>
          <w:p w14:paraId="65A53FEF">
            <w:pPr>
              <w:jc w:val="center"/>
              <w:rPr>
                <w:rFonts w:hint="default" w:ascii="Calibri" w:hAnsi="Calibri" w:cs="Calibri"/>
              </w:rPr>
            </w:pPr>
            <w:r>
              <w:rPr>
                <w:rFonts w:hint="default" w:ascii="Calibri" w:hAnsi="Calibri" w:cs="Calibri"/>
              </w:rPr>
              <w:t>76.1</w:t>
            </w:r>
          </w:p>
        </w:tc>
        <w:tc>
          <w:tcPr>
            <w:tcW w:w="652" w:type="pct"/>
            <w:vAlign w:val="center"/>
          </w:tcPr>
          <w:p w14:paraId="30BC264B">
            <w:pPr>
              <w:jc w:val="center"/>
              <w:rPr>
                <w:rFonts w:hint="default" w:ascii="Calibri" w:hAnsi="Calibri" w:cs="Calibri"/>
              </w:rPr>
            </w:pPr>
            <w:r>
              <w:rPr>
                <w:rFonts w:hint="default" w:ascii="Calibri" w:hAnsi="Calibri" w:cs="Calibri"/>
              </w:rPr>
              <w:t>18.4</w:t>
            </w:r>
          </w:p>
        </w:tc>
      </w:tr>
      <w:tr w14:paraId="40AB4F0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59B6B43A">
            <w:pPr>
              <w:jc w:val="center"/>
              <w:rPr>
                <w:rFonts w:hint="default" w:ascii="Calibri" w:hAnsi="Calibri" w:cs="Calibri"/>
              </w:rPr>
            </w:pPr>
            <w:r>
              <w:rPr>
                <w:rFonts w:hint="default" w:ascii="Calibri" w:hAnsi="Calibri" w:cs="Calibri"/>
              </w:rPr>
              <w:t>Iron ore import dependence</w:t>
            </w:r>
          </w:p>
        </w:tc>
        <w:tc>
          <w:tcPr>
            <w:tcW w:w="672" w:type="pct"/>
            <w:vAlign w:val="center"/>
          </w:tcPr>
          <w:p w14:paraId="307C080D">
            <w:pPr>
              <w:jc w:val="center"/>
              <w:rPr>
                <w:rFonts w:hint="default" w:ascii="Calibri" w:hAnsi="Calibri" w:cs="Calibri"/>
              </w:rPr>
            </w:pPr>
            <w:r>
              <w:rPr>
                <w:rFonts w:hint="default" w:ascii="Calibri" w:hAnsi="Calibri" w:cs="Calibri"/>
              </w:rPr>
              <w:t>85</w:t>
            </w:r>
          </w:p>
        </w:tc>
        <w:tc>
          <w:tcPr>
            <w:tcW w:w="607" w:type="pct"/>
            <w:vAlign w:val="center"/>
          </w:tcPr>
          <w:p w14:paraId="5FD4563E">
            <w:pPr>
              <w:jc w:val="center"/>
              <w:rPr>
                <w:rFonts w:hint="default" w:ascii="Calibri" w:hAnsi="Calibri" w:cs="Calibri"/>
              </w:rPr>
            </w:pPr>
            <w:r>
              <w:rPr>
                <w:rFonts w:hint="default" w:ascii="Calibri" w:hAnsi="Calibri" w:cs="Calibri"/>
              </w:rPr>
              <w:t>58</w:t>
            </w:r>
          </w:p>
        </w:tc>
        <w:tc>
          <w:tcPr>
            <w:tcW w:w="671" w:type="pct"/>
            <w:vAlign w:val="center"/>
          </w:tcPr>
          <w:p w14:paraId="30483075">
            <w:pPr>
              <w:jc w:val="center"/>
              <w:rPr>
                <w:rFonts w:hint="default" w:ascii="Calibri" w:hAnsi="Calibri" w:cs="Calibri"/>
              </w:rPr>
            </w:pPr>
            <w:r>
              <w:rPr>
                <w:rFonts w:hint="default" w:ascii="Calibri" w:hAnsi="Calibri" w:cs="Calibri"/>
              </w:rPr>
              <w:t>92</w:t>
            </w:r>
          </w:p>
        </w:tc>
        <w:tc>
          <w:tcPr>
            <w:tcW w:w="652" w:type="pct"/>
            <w:vAlign w:val="center"/>
          </w:tcPr>
          <w:p w14:paraId="1ECF9A46">
            <w:pPr>
              <w:jc w:val="center"/>
              <w:rPr>
                <w:rFonts w:hint="default" w:ascii="Calibri" w:hAnsi="Calibri" w:cs="Calibri"/>
              </w:rPr>
            </w:pPr>
            <w:r>
              <w:rPr>
                <w:rFonts w:hint="default" w:ascii="Calibri" w:hAnsi="Calibri" w:cs="Calibri"/>
              </w:rPr>
              <w:t>100</w:t>
            </w:r>
          </w:p>
        </w:tc>
      </w:tr>
      <w:tr w14:paraId="284D35A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397" w:type="pct"/>
            <w:vAlign w:val="center"/>
          </w:tcPr>
          <w:p w14:paraId="7D5929A5">
            <w:pPr>
              <w:jc w:val="center"/>
              <w:rPr>
                <w:rFonts w:hint="default" w:ascii="Calibri" w:hAnsi="Calibri" w:cs="Calibri"/>
              </w:rPr>
            </w:pPr>
            <w:r>
              <w:rPr>
                <w:rFonts w:hint="default" w:ascii="Calibri" w:hAnsi="Calibri" w:cs="Calibri"/>
              </w:rPr>
              <w:t>Process adjustment coefficient (k_e)</w:t>
            </w:r>
          </w:p>
        </w:tc>
        <w:tc>
          <w:tcPr>
            <w:tcW w:w="672" w:type="pct"/>
            <w:vAlign w:val="center"/>
          </w:tcPr>
          <w:p w14:paraId="3FD15DF1">
            <w:pPr>
              <w:jc w:val="center"/>
              <w:rPr>
                <w:rFonts w:hint="default" w:ascii="Calibri" w:hAnsi="Calibri" w:cs="Calibri"/>
              </w:rPr>
            </w:pPr>
            <w:r>
              <w:rPr>
                <w:rFonts w:hint="default" w:ascii="Calibri" w:hAnsi="Calibri" w:cs="Calibri"/>
              </w:rPr>
              <w:t>1.05</w:t>
            </w:r>
          </w:p>
        </w:tc>
        <w:tc>
          <w:tcPr>
            <w:tcW w:w="607" w:type="pct"/>
            <w:vAlign w:val="center"/>
          </w:tcPr>
          <w:p w14:paraId="4302323F">
            <w:pPr>
              <w:jc w:val="center"/>
              <w:rPr>
                <w:rFonts w:hint="default" w:ascii="Calibri" w:hAnsi="Calibri" w:cs="Calibri"/>
              </w:rPr>
            </w:pPr>
            <w:r>
              <w:rPr>
                <w:rFonts w:hint="default" w:ascii="Calibri" w:hAnsi="Calibri" w:cs="Calibri"/>
              </w:rPr>
              <w:t>1.09</w:t>
            </w:r>
          </w:p>
        </w:tc>
        <w:tc>
          <w:tcPr>
            <w:tcW w:w="671" w:type="pct"/>
            <w:vAlign w:val="center"/>
          </w:tcPr>
          <w:p w14:paraId="7002D95F">
            <w:pPr>
              <w:jc w:val="center"/>
              <w:rPr>
                <w:rFonts w:hint="default" w:ascii="Calibri" w:hAnsi="Calibri" w:cs="Calibri"/>
              </w:rPr>
            </w:pPr>
            <w:r>
              <w:rPr>
                <w:rFonts w:hint="default" w:ascii="Calibri" w:hAnsi="Calibri" w:cs="Calibri"/>
              </w:rPr>
              <w:t>1.07</w:t>
            </w:r>
          </w:p>
        </w:tc>
        <w:tc>
          <w:tcPr>
            <w:tcW w:w="652" w:type="pct"/>
            <w:vAlign w:val="center"/>
          </w:tcPr>
          <w:p w14:paraId="20517E74">
            <w:pPr>
              <w:jc w:val="center"/>
              <w:rPr>
                <w:rFonts w:hint="default" w:ascii="Calibri" w:hAnsi="Calibri" w:cs="Calibri"/>
              </w:rPr>
            </w:pPr>
            <w:r>
              <w:rPr>
                <w:rFonts w:hint="default" w:ascii="Calibri" w:hAnsi="Calibri" w:cs="Calibri"/>
              </w:rPr>
              <w:t>1.08</w:t>
            </w:r>
          </w:p>
        </w:tc>
      </w:tr>
    </w:tbl>
    <w:p w14:paraId="272F73A0">
      <w:pPr>
        <w:pStyle w:val="3"/>
      </w:pPr>
      <w:r>
        <w:rPr>
          <w:rFonts w:hint="default"/>
        </w:rPr>
        <w:t>Table</w:t>
      </w:r>
      <w:r>
        <w:rPr>
          <w:rFonts w:hint="eastAsia"/>
          <w:lang w:val="en-US" w:eastAsia="zh-CN"/>
        </w:rPr>
        <w:t xml:space="preserve"> </w:t>
      </w:r>
      <w:r>
        <w:t>S</w:t>
      </w:r>
      <w:r>
        <w:rPr>
          <w:rFonts w:hint="eastAsia"/>
          <w:lang w:val="en-US" w:eastAsia="zh-CN"/>
        </w:rPr>
        <w:t>6</w:t>
      </w:r>
      <w:r>
        <w:t>.2. Calibration Worksheet: Virgin Ore Demand at η=35%</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6ECE63CC">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84" w:type="dxa"/>
            <w:tcBorders>
              <w:bottom w:val="single" w:color="auto" w:sz="6" w:space="0"/>
            </w:tcBorders>
            <w:vAlign w:val="center"/>
          </w:tcPr>
          <w:p w14:paraId="1B540301">
            <w:pPr>
              <w:jc w:val="center"/>
              <w:rPr>
                <w:rFonts w:hint="default" w:ascii="Calibri" w:hAnsi="Calibri" w:cs="Calibri"/>
                <w:sz w:val="21"/>
                <w:szCs w:val="21"/>
              </w:rPr>
            </w:pPr>
            <w:r>
              <w:rPr>
                <w:rFonts w:hint="default" w:ascii="Calibri" w:hAnsi="Calibri" w:cs="Calibri"/>
                <w:sz w:val="21"/>
                <w:szCs w:val="21"/>
              </w:rPr>
              <w:t>Enterprise</w:t>
            </w:r>
          </w:p>
        </w:tc>
        <w:tc>
          <w:tcPr>
            <w:tcW w:w="1384" w:type="dxa"/>
            <w:tcBorders>
              <w:bottom w:val="single" w:color="auto" w:sz="6" w:space="0"/>
            </w:tcBorders>
            <w:vAlign w:val="center"/>
          </w:tcPr>
          <w:p w14:paraId="3D09A708">
            <w:pPr>
              <w:jc w:val="center"/>
              <w:rPr>
                <w:rFonts w:hint="default" w:ascii="Calibri" w:hAnsi="Calibri" w:cs="Calibri"/>
                <w:sz w:val="21"/>
                <w:szCs w:val="21"/>
              </w:rPr>
            </w:pPr>
            <w:r>
              <w:rPr>
                <w:rFonts w:hint="default" w:ascii="Calibri" w:hAnsi="Calibri" w:cs="Calibri"/>
                <w:sz w:val="21"/>
                <w:szCs w:val="21"/>
              </w:rPr>
              <w:t>Current η</w:t>
            </w:r>
          </w:p>
        </w:tc>
        <w:tc>
          <w:tcPr>
            <w:tcW w:w="1384" w:type="dxa"/>
            <w:tcBorders>
              <w:bottom w:val="single" w:color="auto" w:sz="6" w:space="0"/>
            </w:tcBorders>
            <w:vAlign w:val="center"/>
          </w:tcPr>
          <w:p w14:paraId="25C323BB">
            <w:pPr>
              <w:jc w:val="center"/>
              <w:rPr>
                <w:rFonts w:hint="default" w:ascii="Calibri" w:hAnsi="Calibri" w:cs="Calibri"/>
                <w:sz w:val="21"/>
                <w:szCs w:val="21"/>
              </w:rPr>
            </w:pPr>
            <w:r>
              <w:rPr>
                <w:rFonts w:hint="default" w:ascii="Calibri" w:hAnsi="Calibri" w:cs="Calibri"/>
                <w:sz w:val="21"/>
                <w:szCs w:val="21"/>
              </w:rPr>
              <w:t>Current Ore Demand</w:t>
            </w:r>
          </w:p>
        </w:tc>
        <w:tc>
          <w:tcPr>
            <w:tcW w:w="1384" w:type="dxa"/>
            <w:tcBorders>
              <w:bottom w:val="single" w:color="auto" w:sz="6" w:space="0"/>
            </w:tcBorders>
            <w:vAlign w:val="center"/>
          </w:tcPr>
          <w:p w14:paraId="675CDE59">
            <w:pPr>
              <w:jc w:val="center"/>
              <w:rPr>
                <w:rFonts w:hint="default" w:ascii="Calibri" w:hAnsi="Calibri" w:cs="Calibri"/>
                <w:sz w:val="21"/>
                <w:szCs w:val="21"/>
              </w:rPr>
            </w:pPr>
            <w:r>
              <w:rPr>
                <w:rFonts w:hint="default" w:ascii="Calibri" w:hAnsi="Calibri" w:cs="Calibri"/>
                <w:sz w:val="21"/>
                <w:szCs w:val="21"/>
              </w:rPr>
              <w:t>Adjusted Reduction Coefficient</w:t>
            </w:r>
          </w:p>
        </w:tc>
        <w:tc>
          <w:tcPr>
            <w:tcW w:w="1384" w:type="dxa"/>
            <w:tcBorders>
              <w:bottom w:val="single" w:color="auto" w:sz="6" w:space="0"/>
            </w:tcBorders>
            <w:vAlign w:val="center"/>
          </w:tcPr>
          <w:p w14:paraId="03306A91">
            <w:pPr>
              <w:jc w:val="center"/>
              <w:rPr>
                <w:rFonts w:hint="default" w:ascii="Calibri" w:hAnsi="Calibri" w:cs="Calibri"/>
                <w:sz w:val="21"/>
                <w:szCs w:val="21"/>
              </w:rPr>
            </w:pPr>
            <w:r>
              <w:rPr>
                <w:rFonts w:hint="default" w:ascii="Calibri" w:hAnsi="Calibri" w:cs="Calibri"/>
                <w:sz w:val="21"/>
                <w:szCs w:val="21"/>
              </w:rPr>
              <w:t>Projected Demand at η=35%</w:t>
            </w:r>
          </w:p>
        </w:tc>
        <w:tc>
          <w:tcPr>
            <w:tcW w:w="1384" w:type="dxa"/>
            <w:tcBorders>
              <w:bottom w:val="single" w:color="auto" w:sz="6" w:space="0"/>
            </w:tcBorders>
            <w:vAlign w:val="center"/>
          </w:tcPr>
          <w:p w14:paraId="7FDA85AF">
            <w:pPr>
              <w:jc w:val="center"/>
              <w:rPr>
                <w:rFonts w:hint="default" w:ascii="Calibri" w:hAnsi="Calibri" w:cs="Calibri"/>
                <w:sz w:val="21"/>
                <w:szCs w:val="21"/>
              </w:rPr>
            </w:pPr>
            <w:r>
              <w:rPr>
                <w:rFonts w:hint="default" w:ascii="Calibri" w:hAnsi="Calibri" w:cs="Calibri"/>
                <w:sz w:val="21"/>
                <w:szCs w:val="21"/>
              </w:rPr>
              <w:t>Demand Reduction</w:t>
            </w:r>
          </w:p>
        </w:tc>
      </w:tr>
      <w:tr w14:paraId="42A666A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84" w:type="dxa"/>
            <w:tcBorders>
              <w:top w:val="single" w:color="auto" w:sz="6" w:space="0"/>
            </w:tcBorders>
            <w:vAlign w:val="center"/>
          </w:tcPr>
          <w:p w14:paraId="71759766">
            <w:pPr>
              <w:jc w:val="center"/>
              <w:rPr>
                <w:rFonts w:hint="default" w:ascii="Calibri" w:hAnsi="Calibri" w:cs="Calibri"/>
                <w:sz w:val="21"/>
                <w:szCs w:val="21"/>
              </w:rPr>
            </w:pPr>
            <w:r>
              <w:rPr>
                <w:rFonts w:hint="default" w:ascii="Calibri" w:hAnsi="Calibri" w:cs="Calibri"/>
                <w:sz w:val="21"/>
                <w:szCs w:val="21"/>
              </w:rPr>
              <w:t>Baosteel</w:t>
            </w:r>
          </w:p>
        </w:tc>
        <w:tc>
          <w:tcPr>
            <w:tcW w:w="1384" w:type="dxa"/>
            <w:tcBorders>
              <w:top w:val="single" w:color="auto" w:sz="6" w:space="0"/>
            </w:tcBorders>
            <w:vAlign w:val="center"/>
          </w:tcPr>
          <w:p w14:paraId="76FEB2CD">
            <w:pPr>
              <w:jc w:val="center"/>
              <w:rPr>
                <w:rFonts w:hint="default" w:ascii="Calibri" w:hAnsi="Calibri" w:cs="Calibri"/>
                <w:sz w:val="21"/>
                <w:szCs w:val="21"/>
              </w:rPr>
            </w:pPr>
            <w:r>
              <w:rPr>
                <w:rFonts w:hint="default" w:ascii="Calibri" w:hAnsi="Calibri" w:cs="Calibri"/>
                <w:sz w:val="21"/>
                <w:szCs w:val="21"/>
              </w:rPr>
              <w:t>28.3</w:t>
            </w:r>
          </w:p>
        </w:tc>
        <w:tc>
          <w:tcPr>
            <w:tcW w:w="1384" w:type="dxa"/>
            <w:tcBorders>
              <w:top w:val="single" w:color="auto" w:sz="6" w:space="0"/>
            </w:tcBorders>
            <w:vAlign w:val="center"/>
          </w:tcPr>
          <w:p w14:paraId="02B645B9">
            <w:pPr>
              <w:jc w:val="center"/>
              <w:rPr>
                <w:rFonts w:hint="default" w:ascii="Calibri" w:hAnsi="Calibri" w:cs="Calibri"/>
                <w:sz w:val="21"/>
                <w:szCs w:val="21"/>
              </w:rPr>
            </w:pPr>
            <w:r>
              <w:rPr>
                <w:rFonts w:hint="default" w:ascii="Calibri" w:hAnsi="Calibri" w:cs="Calibri"/>
                <w:sz w:val="21"/>
                <w:szCs w:val="21"/>
              </w:rPr>
              <w:t>79.6</w:t>
            </w:r>
          </w:p>
        </w:tc>
        <w:tc>
          <w:tcPr>
            <w:tcW w:w="1384" w:type="dxa"/>
            <w:tcBorders>
              <w:top w:val="single" w:color="auto" w:sz="6" w:space="0"/>
            </w:tcBorders>
            <w:vAlign w:val="center"/>
          </w:tcPr>
          <w:p w14:paraId="18F900D4">
            <w:pPr>
              <w:jc w:val="center"/>
              <w:rPr>
                <w:rFonts w:hint="default" w:ascii="Calibri" w:hAnsi="Calibri" w:cs="Calibri"/>
                <w:sz w:val="21"/>
                <w:szCs w:val="21"/>
              </w:rPr>
            </w:pPr>
            <w:r>
              <w:rPr>
                <w:rFonts w:hint="default" w:ascii="Calibri" w:hAnsi="Calibri" w:cs="Calibri"/>
                <w:sz w:val="21"/>
                <w:szCs w:val="21"/>
              </w:rPr>
              <w:t>12.1</w:t>
            </w:r>
          </w:p>
        </w:tc>
        <w:tc>
          <w:tcPr>
            <w:tcW w:w="1384" w:type="dxa"/>
            <w:tcBorders>
              <w:top w:val="single" w:color="auto" w:sz="6" w:space="0"/>
            </w:tcBorders>
            <w:vAlign w:val="center"/>
          </w:tcPr>
          <w:p w14:paraId="018753C4">
            <w:pPr>
              <w:jc w:val="center"/>
              <w:rPr>
                <w:rFonts w:hint="default" w:ascii="Calibri" w:hAnsi="Calibri" w:cs="Calibri"/>
                <w:sz w:val="21"/>
                <w:szCs w:val="21"/>
              </w:rPr>
            </w:pPr>
            <w:r>
              <w:rPr>
                <w:rFonts w:hint="default" w:ascii="Calibri" w:hAnsi="Calibri" w:cs="Calibri"/>
                <w:sz w:val="21"/>
                <w:szCs w:val="21"/>
              </w:rPr>
              <w:t>70.0</w:t>
            </w:r>
          </w:p>
        </w:tc>
        <w:tc>
          <w:tcPr>
            <w:tcW w:w="1384" w:type="dxa"/>
            <w:tcBorders>
              <w:top w:val="single" w:color="auto" w:sz="6" w:space="0"/>
            </w:tcBorders>
            <w:vAlign w:val="center"/>
          </w:tcPr>
          <w:p w14:paraId="4AB39F88">
            <w:pPr>
              <w:jc w:val="center"/>
              <w:rPr>
                <w:rFonts w:hint="default" w:ascii="Calibri" w:hAnsi="Calibri" w:cs="Calibri"/>
                <w:sz w:val="21"/>
                <w:szCs w:val="21"/>
              </w:rPr>
            </w:pPr>
            <w:r>
              <w:rPr>
                <w:rFonts w:hint="default" w:ascii="Calibri" w:hAnsi="Calibri" w:cs="Calibri"/>
                <w:sz w:val="21"/>
                <w:szCs w:val="21"/>
              </w:rPr>
              <w:t>12.1</w:t>
            </w:r>
          </w:p>
        </w:tc>
      </w:tr>
      <w:tr w14:paraId="730240F0">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84" w:type="dxa"/>
            <w:vAlign w:val="center"/>
          </w:tcPr>
          <w:p w14:paraId="42A42634">
            <w:pPr>
              <w:jc w:val="center"/>
              <w:rPr>
                <w:rFonts w:hint="default" w:ascii="Calibri" w:hAnsi="Calibri" w:cs="Calibri"/>
                <w:sz w:val="21"/>
                <w:szCs w:val="21"/>
              </w:rPr>
            </w:pPr>
            <w:r>
              <w:rPr>
                <w:rFonts w:hint="default" w:ascii="Calibri" w:hAnsi="Calibri" w:cs="Calibri"/>
                <w:sz w:val="21"/>
                <w:szCs w:val="21"/>
              </w:rPr>
              <w:t>Ansteel</w:t>
            </w:r>
          </w:p>
        </w:tc>
        <w:tc>
          <w:tcPr>
            <w:tcW w:w="1384" w:type="dxa"/>
            <w:vAlign w:val="center"/>
          </w:tcPr>
          <w:p w14:paraId="6C9CD279">
            <w:pPr>
              <w:jc w:val="center"/>
              <w:rPr>
                <w:rFonts w:hint="default" w:ascii="Calibri" w:hAnsi="Calibri" w:cs="Calibri"/>
                <w:sz w:val="21"/>
                <w:szCs w:val="21"/>
              </w:rPr>
            </w:pPr>
            <w:r>
              <w:rPr>
                <w:rFonts w:hint="default" w:ascii="Calibri" w:hAnsi="Calibri" w:cs="Calibri"/>
                <w:sz w:val="21"/>
                <w:szCs w:val="21"/>
              </w:rPr>
              <w:t>22.7</w:t>
            </w:r>
          </w:p>
        </w:tc>
        <w:tc>
          <w:tcPr>
            <w:tcW w:w="1384" w:type="dxa"/>
            <w:vAlign w:val="center"/>
          </w:tcPr>
          <w:p w14:paraId="396294F0">
            <w:pPr>
              <w:jc w:val="center"/>
              <w:rPr>
                <w:rFonts w:hint="default" w:ascii="Calibri" w:hAnsi="Calibri" w:cs="Calibri"/>
                <w:sz w:val="21"/>
                <w:szCs w:val="21"/>
              </w:rPr>
            </w:pPr>
            <w:r>
              <w:rPr>
                <w:rFonts w:hint="default" w:ascii="Calibri" w:hAnsi="Calibri" w:cs="Calibri"/>
                <w:sz w:val="21"/>
                <w:szCs w:val="21"/>
              </w:rPr>
              <w:t>72.4</w:t>
            </w:r>
          </w:p>
        </w:tc>
        <w:tc>
          <w:tcPr>
            <w:tcW w:w="1384" w:type="dxa"/>
            <w:vAlign w:val="center"/>
          </w:tcPr>
          <w:p w14:paraId="3F72DC33">
            <w:pPr>
              <w:jc w:val="center"/>
              <w:rPr>
                <w:rFonts w:hint="default" w:ascii="Calibri" w:hAnsi="Calibri" w:cs="Calibri"/>
                <w:sz w:val="21"/>
                <w:szCs w:val="21"/>
              </w:rPr>
            </w:pPr>
            <w:r>
              <w:rPr>
                <w:rFonts w:hint="default" w:ascii="Calibri" w:hAnsi="Calibri" w:cs="Calibri"/>
                <w:sz w:val="21"/>
                <w:szCs w:val="21"/>
              </w:rPr>
              <w:t>16.8</w:t>
            </w:r>
          </w:p>
        </w:tc>
        <w:tc>
          <w:tcPr>
            <w:tcW w:w="1384" w:type="dxa"/>
            <w:vAlign w:val="center"/>
          </w:tcPr>
          <w:p w14:paraId="37256331">
            <w:pPr>
              <w:jc w:val="center"/>
              <w:rPr>
                <w:rFonts w:hint="default" w:ascii="Calibri" w:hAnsi="Calibri" w:cs="Calibri"/>
                <w:sz w:val="21"/>
                <w:szCs w:val="21"/>
              </w:rPr>
            </w:pPr>
            <w:r>
              <w:rPr>
                <w:rFonts w:hint="default" w:ascii="Calibri" w:hAnsi="Calibri" w:cs="Calibri"/>
                <w:sz w:val="21"/>
                <w:szCs w:val="21"/>
              </w:rPr>
              <w:t>60.2</w:t>
            </w:r>
          </w:p>
        </w:tc>
        <w:tc>
          <w:tcPr>
            <w:tcW w:w="1384" w:type="dxa"/>
            <w:vAlign w:val="center"/>
          </w:tcPr>
          <w:p w14:paraId="61787AEC">
            <w:pPr>
              <w:jc w:val="center"/>
              <w:rPr>
                <w:rFonts w:hint="default" w:ascii="Calibri" w:hAnsi="Calibri" w:cs="Calibri"/>
                <w:sz w:val="21"/>
                <w:szCs w:val="21"/>
              </w:rPr>
            </w:pPr>
            <w:r>
              <w:rPr>
                <w:rFonts w:hint="default" w:ascii="Calibri" w:hAnsi="Calibri" w:cs="Calibri"/>
                <w:sz w:val="21"/>
                <w:szCs w:val="21"/>
              </w:rPr>
              <w:t>16.8</w:t>
            </w:r>
          </w:p>
        </w:tc>
      </w:tr>
      <w:tr w14:paraId="54164F7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84" w:type="dxa"/>
            <w:vAlign w:val="center"/>
          </w:tcPr>
          <w:p w14:paraId="5EC2535E">
            <w:pPr>
              <w:jc w:val="center"/>
              <w:rPr>
                <w:rFonts w:hint="default" w:ascii="Calibri" w:hAnsi="Calibri" w:cs="Calibri"/>
                <w:sz w:val="21"/>
                <w:szCs w:val="21"/>
              </w:rPr>
            </w:pPr>
            <w:r>
              <w:rPr>
                <w:rFonts w:hint="default" w:ascii="Calibri" w:hAnsi="Calibri" w:cs="Calibri"/>
                <w:sz w:val="21"/>
                <w:szCs w:val="21"/>
              </w:rPr>
              <w:t>Shagang</w:t>
            </w:r>
          </w:p>
        </w:tc>
        <w:tc>
          <w:tcPr>
            <w:tcW w:w="1384" w:type="dxa"/>
            <w:vAlign w:val="center"/>
          </w:tcPr>
          <w:p w14:paraId="0DD1C31B">
            <w:pPr>
              <w:jc w:val="center"/>
              <w:rPr>
                <w:rFonts w:hint="default" w:ascii="Calibri" w:hAnsi="Calibri" w:cs="Calibri"/>
                <w:sz w:val="21"/>
                <w:szCs w:val="21"/>
              </w:rPr>
            </w:pPr>
            <w:r>
              <w:rPr>
                <w:rFonts w:hint="default" w:ascii="Calibri" w:hAnsi="Calibri" w:cs="Calibri"/>
                <w:sz w:val="21"/>
                <w:szCs w:val="21"/>
              </w:rPr>
              <w:t>24.5</w:t>
            </w:r>
          </w:p>
        </w:tc>
        <w:tc>
          <w:tcPr>
            <w:tcW w:w="1384" w:type="dxa"/>
            <w:vAlign w:val="center"/>
          </w:tcPr>
          <w:p w14:paraId="56995A57">
            <w:pPr>
              <w:jc w:val="center"/>
              <w:rPr>
                <w:rFonts w:hint="default" w:ascii="Calibri" w:hAnsi="Calibri" w:cs="Calibri"/>
                <w:sz w:val="21"/>
                <w:szCs w:val="21"/>
              </w:rPr>
            </w:pPr>
            <w:r>
              <w:rPr>
                <w:rFonts w:hint="default" w:ascii="Calibri" w:hAnsi="Calibri" w:cs="Calibri"/>
                <w:sz w:val="21"/>
                <w:szCs w:val="21"/>
              </w:rPr>
              <w:t>76.1</w:t>
            </w:r>
          </w:p>
        </w:tc>
        <w:tc>
          <w:tcPr>
            <w:tcW w:w="1384" w:type="dxa"/>
            <w:vAlign w:val="center"/>
          </w:tcPr>
          <w:p w14:paraId="2B7CECAA">
            <w:pPr>
              <w:jc w:val="center"/>
              <w:rPr>
                <w:rFonts w:hint="default" w:ascii="Calibri" w:hAnsi="Calibri" w:cs="Calibri"/>
                <w:sz w:val="21"/>
                <w:szCs w:val="21"/>
              </w:rPr>
            </w:pPr>
            <w:r>
              <w:rPr>
                <w:rFonts w:hint="default" w:ascii="Calibri" w:hAnsi="Calibri" w:cs="Calibri"/>
                <w:sz w:val="21"/>
                <w:szCs w:val="21"/>
              </w:rPr>
              <w:t>15.2</w:t>
            </w:r>
          </w:p>
        </w:tc>
        <w:tc>
          <w:tcPr>
            <w:tcW w:w="1384" w:type="dxa"/>
            <w:vAlign w:val="center"/>
          </w:tcPr>
          <w:p w14:paraId="3BE65287">
            <w:pPr>
              <w:jc w:val="center"/>
              <w:rPr>
                <w:rFonts w:hint="default" w:ascii="Calibri" w:hAnsi="Calibri" w:cs="Calibri"/>
                <w:sz w:val="21"/>
                <w:szCs w:val="21"/>
              </w:rPr>
            </w:pPr>
            <w:r>
              <w:rPr>
                <w:rFonts w:hint="default" w:ascii="Calibri" w:hAnsi="Calibri" w:cs="Calibri"/>
                <w:sz w:val="21"/>
                <w:szCs w:val="21"/>
              </w:rPr>
              <w:t>64.5</w:t>
            </w:r>
          </w:p>
        </w:tc>
        <w:tc>
          <w:tcPr>
            <w:tcW w:w="1384" w:type="dxa"/>
            <w:vAlign w:val="center"/>
          </w:tcPr>
          <w:p w14:paraId="0A1E78B1">
            <w:pPr>
              <w:jc w:val="center"/>
              <w:rPr>
                <w:rFonts w:hint="default" w:ascii="Calibri" w:hAnsi="Calibri" w:cs="Calibri"/>
                <w:sz w:val="21"/>
                <w:szCs w:val="21"/>
              </w:rPr>
            </w:pPr>
            <w:r>
              <w:rPr>
                <w:rFonts w:hint="default" w:ascii="Calibri" w:hAnsi="Calibri" w:cs="Calibri"/>
                <w:sz w:val="21"/>
                <w:szCs w:val="21"/>
              </w:rPr>
              <w:t>15.2</w:t>
            </w:r>
          </w:p>
        </w:tc>
      </w:tr>
      <w:tr w14:paraId="6512F2EA">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1384" w:type="dxa"/>
            <w:vAlign w:val="center"/>
          </w:tcPr>
          <w:p w14:paraId="10B6DD69">
            <w:pPr>
              <w:jc w:val="center"/>
              <w:rPr>
                <w:rFonts w:hint="default" w:ascii="Calibri" w:hAnsi="Calibri" w:cs="Calibri"/>
                <w:sz w:val="21"/>
                <w:szCs w:val="21"/>
              </w:rPr>
            </w:pPr>
            <w:r>
              <w:rPr>
                <w:rFonts w:hint="default" w:ascii="Calibri" w:hAnsi="Calibri" w:cs="Calibri"/>
                <w:sz w:val="21"/>
                <w:szCs w:val="21"/>
              </w:rPr>
              <w:t>Benchmark</w:t>
            </w:r>
          </w:p>
        </w:tc>
        <w:tc>
          <w:tcPr>
            <w:tcW w:w="1384" w:type="dxa"/>
            <w:vAlign w:val="center"/>
          </w:tcPr>
          <w:p w14:paraId="57052CB6">
            <w:pPr>
              <w:jc w:val="center"/>
              <w:rPr>
                <w:rFonts w:hint="default" w:ascii="Calibri" w:hAnsi="Calibri" w:cs="Calibri"/>
                <w:sz w:val="21"/>
                <w:szCs w:val="21"/>
              </w:rPr>
            </w:pPr>
            <w:r>
              <w:rPr>
                <w:rFonts w:hint="default" w:ascii="Calibri" w:hAnsi="Calibri" w:cs="Calibri"/>
                <w:sz w:val="21"/>
                <w:szCs w:val="21"/>
              </w:rPr>
              <w:t>15.0</w:t>
            </w:r>
          </w:p>
        </w:tc>
        <w:tc>
          <w:tcPr>
            <w:tcW w:w="1384" w:type="dxa"/>
            <w:vAlign w:val="center"/>
          </w:tcPr>
          <w:p w14:paraId="65D28525">
            <w:pPr>
              <w:jc w:val="center"/>
              <w:rPr>
                <w:rFonts w:hint="default" w:ascii="Calibri" w:hAnsi="Calibri" w:cs="Calibri"/>
                <w:sz w:val="21"/>
                <w:szCs w:val="21"/>
              </w:rPr>
            </w:pPr>
            <w:r>
              <w:rPr>
                <w:rFonts w:hint="default" w:ascii="Calibri" w:hAnsi="Calibri" w:cs="Calibri"/>
                <w:sz w:val="21"/>
                <w:szCs w:val="21"/>
              </w:rPr>
              <w:t>18.4</w:t>
            </w:r>
          </w:p>
        </w:tc>
        <w:tc>
          <w:tcPr>
            <w:tcW w:w="1384" w:type="dxa"/>
            <w:vAlign w:val="center"/>
          </w:tcPr>
          <w:p w14:paraId="23E5B344">
            <w:pPr>
              <w:jc w:val="center"/>
              <w:rPr>
                <w:rFonts w:hint="default" w:ascii="Calibri" w:hAnsi="Calibri" w:cs="Calibri"/>
                <w:sz w:val="21"/>
                <w:szCs w:val="21"/>
              </w:rPr>
            </w:pPr>
            <w:r>
              <w:rPr>
                <w:rFonts w:hint="default" w:ascii="Calibri" w:hAnsi="Calibri" w:cs="Calibri"/>
                <w:sz w:val="21"/>
                <w:szCs w:val="21"/>
              </w:rPr>
              <w:t>14.7</w:t>
            </w:r>
          </w:p>
        </w:tc>
        <w:tc>
          <w:tcPr>
            <w:tcW w:w="1384" w:type="dxa"/>
            <w:vAlign w:val="center"/>
          </w:tcPr>
          <w:p w14:paraId="5AF13659">
            <w:pPr>
              <w:jc w:val="center"/>
              <w:rPr>
                <w:rFonts w:hint="default" w:ascii="Calibri" w:hAnsi="Calibri" w:cs="Calibri"/>
                <w:sz w:val="21"/>
                <w:szCs w:val="21"/>
              </w:rPr>
            </w:pPr>
            <w:r>
              <w:rPr>
                <w:rFonts w:hint="default" w:ascii="Calibri" w:hAnsi="Calibri" w:cs="Calibri"/>
                <w:sz w:val="21"/>
                <w:szCs w:val="21"/>
              </w:rPr>
              <w:t>15.7</w:t>
            </w:r>
          </w:p>
        </w:tc>
        <w:tc>
          <w:tcPr>
            <w:tcW w:w="1384" w:type="dxa"/>
            <w:vAlign w:val="center"/>
          </w:tcPr>
          <w:p w14:paraId="5C08C1F2">
            <w:pPr>
              <w:jc w:val="center"/>
              <w:rPr>
                <w:rFonts w:hint="default" w:ascii="Calibri" w:hAnsi="Calibri" w:cs="Calibri"/>
                <w:sz w:val="21"/>
                <w:szCs w:val="21"/>
              </w:rPr>
            </w:pPr>
            <w:r>
              <w:rPr>
                <w:rFonts w:hint="default" w:ascii="Calibri" w:hAnsi="Calibri" w:cs="Calibri"/>
                <w:sz w:val="21"/>
                <w:szCs w:val="21"/>
              </w:rPr>
              <w:t>14.7</w:t>
            </w:r>
          </w:p>
        </w:tc>
      </w:tr>
    </w:tbl>
    <w:p w14:paraId="1EC2D472">
      <w:pPr>
        <w:rPr>
          <w:rFonts w:ascii="Calibri" w:hAnsi="Calibri" w:cs="Calibri"/>
        </w:rPr>
      </w:pPr>
    </w:p>
    <w:p w14:paraId="57DCFE1C">
      <w:pPr>
        <w:pStyle w:val="2"/>
      </w:pPr>
      <w:r>
        <w:rPr>
          <w:rFonts w:ascii="Calibri" w:hAnsi="Calibri" w:cs="Calibri"/>
        </w:rPr>
        <w:t xml:space="preserve">Table </w:t>
      </w:r>
      <w:r>
        <w:t>S</w:t>
      </w:r>
      <w:r>
        <w:rPr>
          <w:rFonts w:hint="eastAsia"/>
          <w:lang w:val="en-US" w:eastAsia="zh-CN"/>
        </w:rPr>
        <w:t>7</w:t>
      </w:r>
      <w:bookmarkStart w:id="0" w:name="_GoBack"/>
      <w:bookmarkEnd w:id="0"/>
      <w:r>
        <w:t>. Enterprise Steel Resource Carrying-Capacity Index (ESCCI): Calculation Details</w:t>
      </w:r>
    </w:p>
    <w:tbl>
      <w:tblPr>
        <w:tblStyle w:val="15"/>
        <w:tblW w:w="0" w:type="auto"/>
        <w:tblInd w:w="0" w:type="dxa"/>
        <w:tblBorders>
          <w:top w:val="single" w:color="auto" w:sz="6" w:space="0"/>
          <w:left w:val="none" w:color="auto" w:sz="4" w:space="0"/>
          <w:bottom w:val="singl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250"/>
        <w:gridCol w:w="1597"/>
        <w:gridCol w:w="1700"/>
        <w:gridCol w:w="1463"/>
        <w:gridCol w:w="1295"/>
      </w:tblGrid>
      <w:tr w14:paraId="174E47ED">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250" w:type="dxa"/>
            <w:tcBorders>
              <w:bottom w:val="single" w:color="auto" w:sz="6" w:space="0"/>
            </w:tcBorders>
            <w:vAlign w:val="center"/>
          </w:tcPr>
          <w:p w14:paraId="65CE54FE">
            <w:pPr>
              <w:jc w:val="center"/>
              <w:rPr>
                <w:rFonts w:hint="default" w:ascii="Calibri" w:hAnsi="Calibri" w:cs="Calibri"/>
                <w:sz w:val="21"/>
                <w:szCs w:val="21"/>
              </w:rPr>
            </w:pPr>
            <w:r>
              <w:rPr>
                <w:rFonts w:hint="default" w:ascii="Calibri" w:hAnsi="Calibri" w:cs="Calibri"/>
                <w:sz w:val="21"/>
                <w:szCs w:val="21"/>
              </w:rPr>
              <w:t>Enterprise</w:t>
            </w:r>
          </w:p>
        </w:tc>
        <w:tc>
          <w:tcPr>
            <w:tcW w:w="1597" w:type="dxa"/>
            <w:tcBorders>
              <w:bottom w:val="single" w:color="auto" w:sz="6" w:space="0"/>
            </w:tcBorders>
            <w:vAlign w:val="center"/>
          </w:tcPr>
          <w:p w14:paraId="337C4C83">
            <w:pPr>
              <w:jc w:val="center"/>
              <w:rPr>
                <w:rFonts w:hint="default" w:ascii="Calibri" w:hAnsi="Calibri" w:cs="Calibri"/>
                <w:sz w:val="21"/>
                <w:szCs w:val="21"/>
              </w:rPr>
            </w:pPr>
            <w:r>
              <w:rPr>
                <w:rFonts w:hint="default" w:ascii="Calibri" w:hAnsi="Calibri" w:cs="Calibri"/>
                <w:sz w:val="21"/>
                <w:szCs w:val="21"/>
              </w:rPr>
              <w:t>Front-end Loss Control</w:t>
            </w:r>
          </w:p>
        </w:tc>
        <w:tc>
          <w:tcPr>
            <w:tcW w:w="1700" w:type="dxa"/>
            <w:tcBorders>
              <w:bottom w:val="single" w:color="auto" w:sz="6" w:space="0"/>
            </w:tcBorders>
            <w:vAlign w:val="center"/>
          </w:tcPr>
          <w:p w14:paraId="5FC24823">
            <w:pPr>
              <w:jc w:val="center"/>
              <w:rPr>
                <w:rFonts w:hint="default" w:ascii="Calibri" w:hAnsi="Calibri" w:cs="Calibri"/>
                <w:sz w:val="21"/>
                <w:szCs w:val="21"/>
              </w:rPr>
            </w:pPr>
            <w:r>
              <w:rPr>
                <w:rFonts w:hint="default" w:ascii="Calibri" w:hAnsi="Calibri" w:cs="Calibri"/>
                <w:sz w:val="21"/>
                <w:szCs w:val="21"/>
              </w:rPr>
              <w:t>Scrap Recycling Rate (η, normalized)</w:t>
            </w:r>
          </w:p>
        </w:tc>
        <w:tc>
          <w:tcPr>
            <w:tcW w:w="1463" w:type="dxa"/>
            <w:tcBorders>
              <w:bottom w:val="single" w:color="auto" w:sz="6" w:space="0"/>
            </w:tcBorders>
            <w:vAlign w:val="center"/>
          </w:tcPr>
          <w:p w14:paraId="5FAD7AFF">
            <w:pPr>
              <w:jc w:val="center"/>
              <w:rPr>
                <w:rFonts w:hint="default" w:ascii="Calibri" w:hAnsi="Calibri" w:cs="Calibri"/>
                <w:sz w:val="21"/>
                <w:szCs w:val="21"/>
              </w:rPr>
            </w:pPr>
            <w:r>
              <w:rPr>
                <w:rFonts w:hint="default" w:ascii="Calibri" w:hAnsi="Calibri" w:cs="Calibri"/>
                <w:sz w:val="21"/>
                <w:szCs w:val="21"/>
              </w:rPr>
              <w:t>Normalized Duration</w:t>
            </w:r>
          </w:p>
        </w:tc>
        <w:tc>
          <w:tcPr>
            <w:tcW w:w="1295" w:type="dxa"/>
            <w:tcBorders>
              <w:bottom w:val="single" w:color="auto" w:sz="6" w:space="0"/>
            </w:tcBorders>
            <w:vAlign w:val="center"/>
          </w:tcPr>
          <w:p w14:paraId="692D58F3">
            <w:pPr>
              <w:jc w:val="center"/>
              <w:rPr>
                <w:rFonts w:hint="default" w:ascii="Calibri" w:hAnsi="Calibri" w:cs="Calibri"/>
                <w:sz w:val="21"/>
                <w:szCs w:val="21"/>
              </w:rPr>
            </w:pPr>
            <w:r>
              <w:rPr>
                <w:rFonts w:hint="default" w:ascii="Calibri" w:hAnsi="Calibri" w:cs="Calibri"/>
                <w:sz w:val="21"/>
                <w:szCs w:val="21"/>
              </w:rPr>
              <w:t>ESCCI Score</w:t>
            </w:r>
          </w:p>
        </w:tc>
      </w:tr>
      <w:tr w14:paraId="3483F83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250" w:type="dxa"/>
            <w:tcBorders>
              <w:top w:val="single" w:color="auto" w:sz="6" w:space="0"/>
            </w:tcBorders>
            <w:vAlign w:val="center"/>
          </w:tcPr>
          <w:p w14:paraId="37A9718C">
            <w:pPr>
              <w:jc w:val="center"/>
              <w:rPr>
                <w:rFonts w:hint="default" w:ascii="Calibri" w:hAnsi="Calibri" w:cs="Calibri"/>
                <w:sz w:val="21"/>
                <w:szCs w:val="21"/>
              </w:rPr>
            </w:pPr>
            <w:r>
              <w:rPr>
                <w:rFonts w:hint="default" w:ascii="Calibri" w:hAnsi="Calibri" w:cs="Calibri"/>
                <w:sz w:val="21"/>
                <w:szCs w:val="21"/>
              </w:rPr>
              <w:t>Baosteel</w:t>
            </w:r>
          </w:p>
        </w:tc>
        <w:tc>
          <w:tcPr>
            <w:tcW w:w="1597" w:type="dxa"/>
            <w:tcBorders>
              <w:top w:val="single" w:color="auto" w:sz="6" w:space="0"/>
            </w:tcBorders>
            <w:vAlign w:val="center"/>
          </w:tcPr>
          <w:p w14:paraId="1CBA605E">
            <w:pPr>
              <w:jc w:val="center"/>
              <w:rPr>
                <w:rFonts w:hint="default" w:ascii="Calibri" w:hAnsi="Calibri" w:cs="Calibri"/>
                <w:sz w:val="21"/>
                <w:szCs w:val="21"/>
              </w:rPr>
            </w:pPr>
            <w:r>
              <w:rPr>
                <w:rFonts w:hint="default" w:ascii="Calibri" w:hAnsi="Calibri" w:cs="Calibri"/>
                <w:sz w:val="21"/>
                <w:szCs w:val="21"/>
              </w:rPr>
              <w:t>0.78</w:t>
            </w:r>
          </w:p>
        </w:tc>
        <w:tc>
          <w:tcPr>
            <w:tcW w:w="1700" w:type="dxa"/>
            <w:tcBorders>
              <w:top w:val="single" w:color="auto" w:sz="6" w:space="0"/>
            </w:tcBorders>
            <w:vAlign w:val="center"/>
          </w:tcPr>
          <w:p w14:paraId="7457622C">
            <w:pPr>
              <w:jc w:val="center"/>
              <w:rPr>
                <w:rFonts w:hint="default" w:ascii="Calibri" w:hAnsi="Calibri" w:cs="Calibri"/>
                <w:sz w:val="21"/>
                <w:szCs w:val="21"/>
              </w:rPr>
            </w:pPr>
            <w:r>
              <w:rPr>
                <w:rFonts w:hint="default" w:ascii="Calibri" w:hAnsi="Calibri" w:cs="Calibri"/>
                <w:sz w:val="21"/>
                <w:szCs w:val="21"/>
              </w:rPr>
              <w:t>0.81</w:t>
            </w:r>
          </w:p>
        </w:tc>
        <w:tc>
          <w:tcPr>
            <w:tcW w:w="1463" w:type="dxa"/>
            <w:tcBorders>
              <w:top w:val="single" w:color="auto" w:sz="6" w:space="0"/>
            </w:tcBorders>
            <w:vAlign w:val="center"/>
          </w:tcPr>
          <w:p w14:paraId="4DFB3D6B">
            <w:pPr>
              <w:jc w:val="center"/>
              <w:rPr>
                <w:rFonts w:hint="default" w:ascii="Calibri" w:hAnsi="Calibri" w:cs="Calibri"/>
                <w:sz w:val="21"/>
                <w:szCs w:val="21"/>
              </w:rPr>
            </w:pPr>
            <w:r>
              <w:rPr>
                <w:rFonts w:hint="default" w:ascii="Calibri" w:hAnsi="Calibri" w:cs="Calibri"/>
                <w:sz w:val="21"/>
                <w:szCs w:val="21"/>
              </w:rPr>
              <w:t>0.72</w:t>
            </w:r>
          </w:p>
        </w:tc>
        <w:tc>
          <w:tcPr>
            <w:tcW w:w="1295" w:type="dxa"/>
            <w:tcBorders>
              <w:top w:val="single" w:color="auto" w:sz="6" w:space="0"/>
            </w:tcBorders>
            <w:vAlign w:val="center"/>
          </w:tcPr>
          <w:p w14:paraId="68449134">
            <w:pPr>
              <w:jc w:val="center"/>
              <w:rPr>
                <w:rFonts w:hint="default" w:ascii="Calibri" w:hAnsi="Calibri" w:cs="Calibri"/>
                <w:sz w:val="21"/>
                <w:szCs w:val="21"/>
              </w:rPr>
            </w:pPr>
            <w:r>
              <w:rPr>
                <w:rFonts w:hint="default" w:ascii="Calibri" w:hAnsi="Calibri" w:cs="Calibri"/>
                <w:sz w:val="21"/>
                <w:szCs w:val="21"/>
              </w:rPr>
              <w:t>0.68</w:t>
            </w:r>
          </w:p>
        </w:tc>
      </w:tr>
      <w:tr w14:paraId="5A9210C1">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250" w:type="dxa"/>
            <w:vAlign w:val="center"/>
          </w:tcPr>
          <w:p w14:paraId="2BB9C9DD">
            <w:pPr>
              <w:jc w:val="center"/>
              <w:rPr>
                <w:rFonts w:hint="default" w:ascii="Calibri" w:hAnsi="Calibri" w:cs="Calibri"/>
                <w:sz w:val="21"/>
                <w:szCs w:val="21"/>
              </w:rPr>
            </w:pPr>
            <w:r>
              <w:rPr>
                <w:rFonts w:hint="default" w:ascii="Calibri" w:hAnsi="Calibri" w:cs="Calibri"/>
                <w:sz w:val="21"/>
                <w:szCs w:val="21"/>
              </w:rPr>
              <w:t>Ansteel</w:t>
            </w:r>
          </w:p>
        </w:tc>
        <w:tc>
          <w:tcPr>
            <w:tcW w:w="1597" w:type="dxa"/>
            <w:vAlign w:val="center"/>
          </w:tcPr>
          <w:p w14:paraId="09F9F8BA">
            <w:pPr>
              <w:jc w:val="center"/>
              <w:rPr>
                <w:rFonts w:hint="default" w:ascii="Calibri" w:hAnsi="Calibri" w:cs="Calibri"/>
                <w:sz w:val="21"/>
                <w:szCs w:val="21"/>
              </w:rPr>
            </w:pPr>
            <w:r>
              <w:rPr>
                <w:rFonts w:hint="default" w:ascii="Calibri" w:hAnsi="Calibri" w:cs="Calibri"/>
                <w:sz w:val="21"/>
                <w:szCs w:val="21"/>
              </w:rPr>
              <w:t>0.65</w:t>
            </w:r>
          </w:p>
        </w:tc>
        <w:tc>
          <w:tcPr>
            <w:tcW w:w="1700" w:type="dxa"/>
            <w:vAlign w:val="center"/>
          </w:tcPr>
          <w:p w14:paraId="7F2BB1C7">
            <w:pPr>
              <w:jc w:val="center"/>
              <w:rPr>
                <w:rFonts w:hint="default" w:ascii="Calibri" w:hAnsi="Calibri" w:cs="Calibri"/>
                <w:sz w:val="21"/>
                <w:szCs w:val="21"/>
              </w:rPr>
            </w:pPr>
            <w:r>
              <w:rPr>
                <w:rFonts w:hint="default" w:ascii="Calibri" w:hAnsi="Calibri" w:cs="Calibri"/>
                <w:sz w:val="21"/>
                <w:szCs w:val="21"/>
              </w:rPr>
              <w:t>0.65</w:t>
            </w:r>
          </w:p>
        </w:tc>
        <w:tc>
          <w:tcPr>
            <w:tcW w:w="1463" w:type="dxa"/>
            <w:vAlign w:val="center"/>
          </w:tcPr>
          <w:p w14:paraId="54637D31">
            <w:pPr>
              <w:jc w:val="center"/>
              <w:rPr>
                <w:rFonts w:hint="default" w:ascii="Calibri" w:hAnsi="Calibri" w:cs="Calibri"/>
                <w:sz w:val="21"/>
                <w:szCs w:val="21"/>
              </w:rPr>
            </w:pPr>
            <w:r>
              <w:rPr>
                <w:rFonts w:hint="default" w:ascii="Calibri" w:hAnsi="Calibri" w:cs="Calibri"/>
                <w:sz w:val="21"/>
                <w:szCs w:val="21"/>
              </w:rPr>
              <w:t>0.58</w:t>
            </w:r>
          </w:p>
        </w:tc>
        <w:tc>
          <w:tcPr>
            <w:tcW w:w="1295" w:type="dxa"/>
            <w:vAlign w:val="center"/>
          </w:tcPr>
          <w:p w14:paraId="755F00B3">
            <w:pPr>
              <w:jc w:val="center"/>
              <w:rPr>
                <w:rFonts w:hint="default" w:ascii="Calibri" w:hAnsi="Calibri" w:cs="Calibri"/>
                <w:sz w:val="21"/>
                <w:szCs w:val="21"/>
              </w:rPr>
            </w:pPr>
            <w:r>
              <w:rPr>
                <w:rFonts w:hint="default" w:ascii="Calibri" w:hAnsi="Calibri" w:cs="Calibri"/>
                <w:sz w:val="21"/>
                <w:szCs w:val="21"/>
              </w:rPr>
              <w:t>0.59</w:t>
            </w:r>
          </w:p>
        </w:tc>
      </w:tr>
      <w:tr w14:paraId="7B8072CB">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250" w:type="dxa"/>
            <w:vAlign w:val="center"/>
          </w:tcPr>
          <w:p w14:paraId="6EC10A8D">
            <w:pPr>
              <w:jc w:val="center"/>
              <w:rPr>
                <w:rFonts w:hint="default" w:ascii="Calibri" w:hAnsi="Calibri" w:cs="Calibri"/>
                <w:sz w:val="21"/>
                <w:szCs w:val="21"/>
              </w:rPr>
            </w:pPr>
            <w:r>
              <w:rPr>
                <w:rFonts w:hint="default" w:ascii="Calibri" w:hAnsi="Calibri" w:cs="Calibri"/>
                <w:sz w:val="21"/>
                <w:szCs w:val="21"/>
              </w:rPr>
              <w:t>Shagang</w:t>
            </w:r>
          </w:p>
        </w:tc>
        <w:tc>
          <w:tcPr>
            <w:tcW w:w="1597" w:type="dxa"/>
            <w:vAlign w:val="center"/>
          </w:tcPr>
          <w:p w14:paraId="030A64BF">
            <w:pPr>
              <w:jc w:val="center"/>
              <w:rPr>
                <w:rFonts w:hint="default" w:ascii="Calibri" w:hAnsi="Calibri" w:cs="Calibri"/>
                <w:sz w:val="21"/>
                <w:szCs w:val="21"/>
              </w:rPr>
            </w:pPr>
            <w:r>
              <w:rPr>
                <w:rFonts w:hint="default" w:ascii="Calibri" w:hAnsi="Calibri" w:cs="Calibri"/>
                <w:sz w:val="21"/>
                <w:szCs w:val="21"/>
              </w:rPr>
              <w:t>0.71</w:t>
            </w:r>
          </w:p>
        </w:tc>
        <w:tc>
          <w:tcPr>
            <w:tcW w:w="1700" w:type="dxa"/>
            <w:vAlign w:val="center"/>
          </w:tcPr>
          <w:p w14:paraId="2492A00C">
            <w:pPr>
              <w:jc w:val="center"/>
              <w:rPr>
                <w:rFonts w:hint="default" w:ascii="Calibri" w:hAnsi="Calibri" w:cs="Calibri"/>
                <w:sz w:val="21"/>
                <w:szCs w:val="21"/>
              </w:rPr>
            </w:pPr>
            <w:r>
              <w:rPr>
                <w:rFonts w:hint="default" w:ascii="Calibri" w:hAnsi="Calibri" w:cs="Calibri"/>
                <w:sz w:val="21"/>
                <w:szCs w:val="21"/>
              </w:rPr>
              <w:t>0.70</w:t>
            </w:r>
          </w:p>
        </w:tc>
        <w:tc>
          <w:tcPr>
            <w:tcW w:w="1463" w:type="dxa"/>
            <w:vAlign w:val="center"/>
          </w:tcPr>
          <w:p w14:paraId="0B36E68C">
            <w:pPr>
              <w:jc w:val="center"/>
              <w:rPr>
                <w:rFonts w:hint="default" w:ascii="Calibri" w:hAnsi="Calibri" w:cs="Calibri"/>
                <w:sz w:val="21"/>
                <w:szCs w:val="21"/>
              </w:rPr>
            </w:pPr>
            <w:r>
              <w:rPr>
                <w:rFonts w:hint="default" w:ascii="Calibri" w:hAnsi="Calibri" w:cs="Calibri"/>
                <w:sz w:val="21"/>
                <w:szCs w:val="21"/>
              </w:rPr>
              <w:t>0.62</w:t>
            </w:r>
          </w:p>
        </w:tc>
        <w:tc>
          <w:tcPr>
            <w:tcW w:w="1295" w:type="dxa"/>
            <w:vAlign w:val="center"/>
          </w:tcPr>
          <w:p w14:paraId="5A204710">
            <w:pPr>
              <w:jc w:val="center"/>
              <w:rPr>
                <w:rFonts w:hint="default" w:ascii="Calibri" w:hAnsi="Calibri" w:cs="Calibri"/>
                <w:sz w:val="21"/>
                <w:szCs w:val="21"/>
              </w:rPr>
            </w:pPr>
            <w:r>
              <w:rPr>
                <w:rFonts w:hint="default" w:ascii="Calibri" w:hAnsi="Calibri" w:cs="Calibri"/>
                <w:sz w:val="21"/>
                <w:szCs w:val="21"/>
              </w:rPr>
              <w:t>0.61</w:t>
            </w:r>
          </w:p>
        </w:tc>
      </w:tr>
      <w:tr w14:paraId="23EB4DBF">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250" w:type="dxa"/>
            <w:vAlign w:val="center"/>
          </w:tcPr>
          <w:p w14:paraId="44BB8B5B">
            <w:pPr>
              <w:jc w:val="center"/>
              <w:rPr>
                <w:rFonts w:hint="default" w:ascii="Calibri" w:hAnsi="Calibri" w:cs="Calibri"/>
                <w:sz w:val="21"/>
                <w:szCs w:val="21"/>
              </w:rPr>
            </w:pPr>
            <w:r>
              <w:rPr>
                <w:rFonts w:hint="default" w:ascii="Calibri" w:hAnsi="Calibri" w:cs="Calibri"/>
                <w:sz w:val="21"/>
                <w:szCs w:val="21"/>
              </w:rPr>
              <w:t>Benchmark (10 Mt)</w:t>
            </w:r>
          </w:p>
        </w:tc>
        <w:tc>
          <w:tcPr>
            <w:tcW w:w="1597" w:type="dxa"/>
            <w:vAlign w:val="center"/>
          </w:tcPr>
          <w:p w14:paraId="7D7406B8">
            <w:pPr>
              <w:jc w:val="center"/>
              <w:rPr>
                <w:rFonts w:hint="default" w:ascii="Calibri" w:hAnsi="Calibri" w:cs="Calibri"/>
                <w:sz w:val="21"/>
                <w:szCs w:val="21"/>
              </w:rPr>
            </w:pPr>
            <w:r>
              <w:rPr>
                <w:rFonts w:hint="default" w:ascii="Calibri" w:hAnsi="Calibri" w:cs="Calibri"/>
                <w:sz w:val="21"/>
                <w:szCs w:val="21"/>
              </w:rPr>
              <w:t>0.55</w:t>
            </w:r>
          </w:p>
        </w:tc>
        <w:tc>
          <w:tcPr>
            <w:tcW w:w="1700" w:type="dxa"/>
            <w:vAlign w:val="center"/>
          </w:tcPr>
          <w:p w14:paraId="089DD780">
            <w:pPr>
              <w:jc w:val="center"/>
              <w:rPr>
                <w:rFonts w:hint="default" w:ascii="Calibri" w:hAnsi="Calibri" w:cs="Calibri"/>
                <w:sz w:val="21"/>
                <w:szCs w:val="21"/>
              </w:rPr>
            </w:pPr>
            <w:r>
              <w:rPr>
                <w:rFonts w:hint="default" w:ascii="Calibri" w:hAnsi="Calibri" w:cs="Calibri"/>
                <w:sz w:val="21"/>
                <w:szCs w:val="21"/>
              </w:rPr>
              <w:t>0.43</w:t>
            </w:r>
          </w:p>
        </w:tc>
        <w:tc>
          <w:tcPr>
            <w:tcW w:w="1463" w:type="dxa"/>
            <w:vAlign w:val="center"/>
          </w:tcPr>
          <w:p w14:paraId="715B1826">
            <w:pPr>
              <w:jc w:val="center"/>
              <w:rPr>
                <w:rFonts w:hint="default" w:ascii="Calibri" w:hAnsi="Calibri" w:cs="Calibri"/>
                <w:sz w:val="21"/>
                <w:szCs w:val="21"/>
              </w:rPr>
            </w:pPr>
            <w:r>
              <w:rPr>
                <w:rFonts w:hint="default" w:ascii="Calibri" w:hAnsi="Calibri" w:cs="Calibri"/>
                <w:sz w:val="21"/>
                <w:szCs w:val="21"/>
              </w:rPr>
              <w:t>0.35</w:t>
            </w:r>
          </w:p>
        </w:tc>
        <w:tc>
          <w:tcPr>
            <w:tcW w:w="1295" w:type="dxa"/>
            <w:vAlign w:val="center"/>
          </w:tcPr>
          <w:p w14:paraId="57C7F47C">
            <w:pPr>
              <w:jc w:val="center"/>
              <w:rPr>
                <w:rFonts w:hint="default" w:ascii="Calibri" w:hAnsi="Calibri" w:cs="Calibri"/>
                <w:sz w:val="21"/>
                <w:szCs w:val="21"/>
              </w:rPr>
            </w:pPr>
            <w:r>
              <w:rPr>
                <w:rFonts w:hint="default" w:ascii="Calibri" w:hAnsi="Calibri" w:cs="Calibri"/>
                <w:sz w:val="21"/>
                <w:szCs w:val="21"/>
              </w:rPr>
              <w:t>0.42</w:t>
            </w:r>
          </w:p>
        </w:tc>
      </w:tr>
      <w:tr w14:paraId="79D904C2">
        <w:tblPrEx>
          <w:tblBorders>
            <w:top w:val="single" w:color="auto" w:sz="6" w:space="0"/>
            <w:left w:val="none" w:color="auto" w:sz="4" w:space="0"/>
            <w:bottom w:val="single" w:color="auto" w:sz="6" w:space="0"/>
            <w:right w:val="none" w:color="auto" w:sz="4" w:space="0"/>
            <w:insideH w:val="none" w:color="auto" w:sz="4" w:space="0"/>
            <w:insideV w:val="none" w:color="auto" w:sz="4" w:space="0"/>
          </w:tblBorders>
          <w:tblCellMar>
            <w:top w:w="0" w:type="dxa"/>
            <w:left w:w="108" w:type="dxa"/>
            <w:bottom w:w="0" w:type="dxa"/>
            <w:right w:w="108" w:type="dxa"/>
          </w:tblCellMar>
        </w:tblPrEx>
        <w:tc>
          <w:tcPr>
            <w:tcW w:w="2250" w:type="dxa"/>
            <w:vAlign w:val="center"/>
          </w:tcPr>
          <w:p w14:paraId="341B010B">
            <w:pPr>
              <w:jc w:val="center"/>
              <w:rPr>
                <w:rFonts w:hint="default" w:ascii="Calibri" w:hAnsi="Calibri" w:cs="Calibri"/>
                <w:sz w:val="21"/>
                <w:szCs w:val="21"/>
              </w:rPr>
            </w:pPr>
            <w:r>
              <w:rPr>
                <w:rFonts w:hint="default" w:ascii="Calibri" w:hAnsi="Calibri" w:cs="Calibri"/>
                <w:sz w:val="21"/>
                <w:szCs w:val="21"/>
              </w:rPr>
              <w:t>Entropy weight (w)</w:t>
            </w:r>
          </w:p>
        </w:tc>
        <w:tc>
          <w:tcPr>
            <w:tcW w:w="1597" w:type="dxa"/>
            <w:vAlign w:val="center"/>
          </w:tcPr>
          <w:p w14:paraId="6475B5EA">
            <w:pPr>
              <w:jc w:val="center"/>
              <w:rPr>
                <w:rFonts w:hint="default" w:ascii="Calibri" w:hAnsi="Calibri" w:cs="Calibri"/>
                <w:sz w:val="21"/>
                <w:szCs w:val="21"/>
              </w:rPr>
            </w:pPr>
            <w:r>
              <w:rPr>
                <w:rFonts w:hint="default" w:ascii="Calibri" w:hAnsi="Calibri" w:cs="Calibri"/>
                <w:sz w:val="21"/>
                <w:szCs w:val="21"/>
              </w:rPr>
              <w:t>0.32</w:t>
            </w:r>
          </w:p>
        </w:tc>
        <w:tc>
          <w:tcPr>
            <w:tcW w:w="1700" w:type="dxa"/>
            <w:vAlign w:val="center"/>
          </w:tcPr>
          <w:p w14:paraId="250DCB68">
            <w:pPr>
              <w:jc w:val="center"/>
              <w:rPr>
                <w:rFonts w:hint="default" w:ascii="Calibri" w:hAnsi="Calibri" w:cs="Calibri"/>
                <w:sz w:val="21"/>
                <w:szCs w:val="21"/>
              </w:rPr>
            </w:pPr>
            <w:r>
              <w:rPr>
                <w:rFonts w:hint="default" w:ascii="Calibri" w:hAnsi="Calibri" w:cs="Calibri"/>
                <w:sz w:val="21"/>
                <w:szCs w:val="21"/>
              </w:rPr>
              <w:t>0.45</w:t>
            </w:r>
          </w:p>
        </w:tc>
        <w:tc>
          <w:tcPr>
            <w:tcW w:w="1463" w:type="dxa"/>
            <w:vAlign w:val="center"/>
          </w:tcPr>
          <w:p w14:paraId="274BE05B">
            <w:pPr>
              <w:jc w:val="center"/>
              <w:rPr>
                <w:rFonts w:hint="default" w:ascii="Calibri" w:hAnsi="Calibri" w:cs="Calibri"/>
                <w:sz w:val="21"/>
                <w:szCs w:val="21"/>
              </w:rPr>
            </w:pPr>
            <w:r>
              <w:rPr>
                <w:rFonts w:hint="default" w:ascii="Calibri" w:hAnsi="Calibri" w:cs="Calibri"/>
                <w:sz w:val="21"/>
                <w:szCs w:val="21"/>
              </w:rPr>
              <w:t>0.23</w:t>
            </w:r>
          </w:p>
        </w:tc>
        <w:tc>
          <w:tcPr>
            <w:tcW w:w="1295" w:type="dxa"/>
            <w:vAlign w:val="center"/>
          </w:tcPr>
          <w:p w14:paraId="1083F851">
            <w:pPr>
              <w:jc w:val="center"/>
              <w:rPr>
                <w:rFonts w:hint="default" w:ascii="Calibri" w:hAnsi="Calibri" w:cs="Calibri"/>
                <w:sz w:val="21"/>
                <w:szCs w:val="21"/>
              </w:rPr>
            </w:pPr>
            <w:r>
              <w:rPr>
                <w:rFonts w:hint="default" w:ascii="Calibri" w:hAnsi="Calibri" w:cs="Calibri"/>
                <w:sz w:val="21"/>
                <w:szCs w:val="21"/>
              </w:rPr>
              <w:t>—</w:t>
            </w:r>
          </w:p>
        </w:tc>
      </w:tr>
    </w:tbl>
    <w:p w14:paraId="3F401BD2">
      <w:pPr>
        <w:rPr>
          <w:rFonts w:ascii="Calibri" w:hAnsi="Calibri" w:cs="Calibri"/>
        </w:rPr>
      </w:pPr>
    </w:p>
    <w:p w14:paraId="4B15CF7E">
      <w:pPr>
        <w:pStyle w:val="2"/>
        <w:rPr>
          <w:rFonts w:ascii="Calibri" w:hAnsi="Calibri" w:cs="Calibri"/>
        </w:rPr>
      </w:pPr>
      <w:r>
        <w:rPr>
          <w:rFonts w:ascii="Calibri" w:hAnsi="Calibri" w:cs="Calibri"/>
        </w:rPr>
        <w:t xml:space="preserve">Formulas in the Text </w:t>
      </w:r>
    </w:p>
    <w:p w14:paraId="1E239AF3">
      <w:pPr>
        <w:ind w:firstLine="480"/>
        <w:rPr>
          <w:rFonts w:ascii="Calibri" w:hAnsi="Calibri" w:cs="Calibri"/>
        </w:rPr>
      </w:pPr>
      <w:r>
        <w:rPr>
          <w:rFonts w:hint="eastAsia" w:ascii="Calibri" w:hAnsi="Calibri" w:cs="Calibri"/>
        </w:rPr>
        <w:t>The SFA is built on the fundamental mass balance principle. For each process node i within the system boundary, the iron element balance is:</w:t>
      </w:r>
    </w:p>
    <w:p w14:paraId="5E464F19">
      <w:pPr>
        <w:keepNext w:val="0"/>
        <w:keepLines w:val="0"/>
        <w:pageBreakBefore w:val="0"/>
        <w:widowControl w:val="0"/>
        <w:tabs>
          <w:tab w:val="center" w:pos="4200"/>
          <w:tab w:val="right" w:pos="8400"/>
        </w:tabs>
        <w:kinsoku/>
        <w:wordWrap/>
        <w:overflowPunct/>
        <w:topLinePunct w:val="0"/>
        <w:autoSpaceDE/>
        <w:autoSpaceDN/>
        <w:bidi w:val="0"/>
        <w:adjustRightInd/>
        <w:snapToGrid/>
        <w:jc w:val="center"/>
        <w:textAlignment w:val="auto"/>
        <w:rPr>
          <w:rFonts w:hint="eastAsia" w:eastAsiaTheme="minorEastAsia"/>
          <w:i w:val="0"/>
          <w:lang w:val="en-US" w:eastAsia="zh-CN"/>
        </w:rPr>
      </w:pPr>
      <w:r>
        <w:rPr>
          <w:rFonts w:hint="eastAsia"/>
          <w:i w:val="0"/>
          <w:lang w:val="en-US" w:eastAsia="zh-CN"/>
        </w:rPr>
        <w:tab/>
      </w:r>
      <m:oMath>
        <m:sSub>
          <m:sSubPr>
            <m:ctrlPr>
              <w:rPr>
                <w:rFonts w:hint="default" w:ascii="Cambria Math"/>
              </w:rPr>
            </m:ctrlPr>
          </m:sSubPr>
          <m:e>
            <m:r>
              <m:rPr/>
              <w:rPr>
                <w:rFonts w:hint="default" w:ascii="Cambria Math"/>
              </w:rPr>
              <m:t>I</m:t>
            </m:r>
            <m:ctrlPr>
              <w:rPr>
                <w:rFonts w:hint="default" w:ascii="Cambria Math"/>
              </w:rPr>
            </m:ctrlPr>
          </m:e>
          <m:sub>
            <m:r>
              <m:rPr/>
              <w:rPr>
                <w:rFonts w:hint="default" w:ascii="Cambria Math"/>
              </w:rPr>
              <m:t>i</m:t>
            </m:r>
            <m:ctrlPr>
              <w:rPr>
                <w:rFonts w:hint="default" w:ascii="Cambria Math"/>
              </w:rPr>
            </m:ctrlPr>
          </m:sub>
        </m:sSub>
        <m:r>
          <m:rPr/>
          <w:rPr>
            <w:rFonts w:hint="default" w:ascii="Cambria Math"/>
          </w:rPr>
          <m:t>+</m:t>
        </m:r>
        <m:sSub>
          <m:sSubPr>
            <m:ctrlPr>
              <w:rPr>
                <w:rFonts w:hint="default" w:ascii="Cambria Math"/>
              </w:rPr>
            </m:ctrlPr>
          </m:sSubPr>
          <m:e>
            <m:r>
              <m:rPr/>
              <w:rPr>
                <w:rFonts w:hint="default" w:ascii="Cambria Math"/>
              </w:rPr>
              <m:t>R</m:t>
            </m:r>
            <m:ctrlPr>
              <w:rPr>
                <w:rFonts w:hint="default" w:ascii="Cambria Math"/>
              </w:rPr>
            </m:ctrlPr>
          </m:e>
          <m:sub>
            <m:r>
              <m:rPr/>
              <w:rPr>
                <w:rFonts w:hint="default" w:ascii="Cambria Math"/>
              </w:rPr>
              <m:t>i</m:t>
            </m:r>
            <m:ctrlPr>
              <w:rPr>
                <w:rFonts w:hint="default" w:ascii="Cambria Math"/>
              </w:rPr>
            </m:ctrlPr>
          </m:sub>
        </m:sSub>
        <m:r>
          <m:rPr/>
          <w:rPr>
            <w:rFonts w:hint="default" w:ascii="Cambria Math"/>
          </w:rPr>
          <m:t>=</m:t>
        </m:r>
        <m:sSub>
          <m:sSubPr>
            <m:ctrlPr>
              <w:rPr>
                <w:rFonts w:hint="default" w:ascii="Cambria Math"/>
              </w:rPr>
            </m:ctrlPr>
          </m:sSubPr>
          <m:e>
            <m:r>
              <m:rPr/>
              <w:rPr>
                <w:rFonts w:hint="default" w:ascii="Cambria Math"/>
              </w:rPr>
              <m:t>O</m:t>
            </m:r>
            <m:ctrlPr>
              <w:rPr>
                <w:rFonts w:hint="default" w:ascii="Cambria Math"/>
              </w:rPr>
            </m:ctrlPr>
          </m:e>
          <m:sub>
            <m:r>
              <m:rPr/>
              <w:rPr>
                <w:rFonts w:hint="default" w:ascii="Cambria Math"/>
              </w:rPr>
              <m:t>i</m:t>
            </m:r>
            <m:ctrlPr>
              <w:rPr>
                <w:rFonts w:hint="default" w:ascii="Cambria Math"/>
              </w:rPr>
            </m:ctrlPr>
          </m:sub>
        </m:sSub>
        <m:r>
          <m:rPr/>
          <w:rPr>
            <w:rFonts w:hint="default" w:ascii="Cambria Math"/>
          </w:rPr>
          <m:t>+</m:t>
        </m:r>
        <m:sSub>
          <m:sSubPr>
            <m:ctrlPr>
              <w:rPr>
                <w:rFonts w:hint="default" w:ascii="Cambria Math"/>
              </w:rPr>
            </m:ctrlPr>
          </m:sSubPr>
          <m:e>
            <m:r>
              <m:rPr/>
              <w:rPr>
                <w:rFonts w:hint="default" w:ascii="Cambria Math"/>
              </w:rPr>
              <m:t>L</m:t>
            </m:r>
            <m:ctrlPr>
              <w:rPr>
                <w:rFonts w:hint="default" w:ascii="Cambria Math"/>
              </w:rPr>
            </m:ctrlPr>
          </m:e>
          <m:sub>
            <m:r>
              <m:rPr/>
              <w:rPr>
                <w:rFonts w:hint="default" w:ascii="Cambria Math"/>
              </w:rPr>
              <m:t>i</m:t>
            </m:r>
            <m:ctrlPr>
              <w:rPr>
                <w:rFonts w:hint="default" w:ascii="Cambria Math"/>
              </w:rPr>
            </m:ctrlPr>
          </m:sub>
        </m:sSub>
        <m:r>
          <m:rPr/>
          <w:rPr>
            <w:rFonts w:hint="default" w:ascii="Cambria Math"/>
          </w:rPr>
          <m:t>+Δ</m:t>
        </m:r>
        <m:sSub>
          <m:sSubPr>
            <m:ctrlPr>
              <w:rPr>
                <w:rFonts w:hint="default" w:ascii="Cambria Math"/>
              </w:rPr>
            </m:ctrlPr>
          </m:sSubPr>
          <m:e>
            <m:r>
              <m:rPr/>
              <w:rPr>
                <w:rFonts w:hint="default" w:ascii="Cambria Math"/>
              </w:rPr>
              <m:t>S</m:t>
            </m:r>
            <m:ctrlPr>
              <w:rPr>
                <w:rFonts w:hint="default" w:ascii="Cambria Math"/>
              </w:rPr>
            </m:ctrlPr>
          </m:e>
          <m:sub>
            <m:r>
              <m:rPr/>
              <w:rPr>
                <w:rFonts w:hint="default" w:ascii="Cambria Math"/>
              </w:rPr>
              <m:t>i</m:t>
            </m:r>
            <m:ctrlPr>
              <w:rPr>
                <w:rFonts w:hint="default" w:ascii="Cambria Math"/>
              </w:rPr>
            </m:ctrlPr>
          </m:sub>
        </m:sSub>
      </m:oMath>
      <w:r>
        <w:rPr>
          <w:rFonts w:hint="eastAsia"/>
          <w:i w:val="0"/>
          <w:lang w:val="en-US" w:eastAsia="zh-CN"/>
        </w:rPr>
        <w:tab/>
      </w:r>
      <m:oMath>
        <m:r>
          <m:rPr/>
          <w:rPr>
            <w:rFonts w:hint="default" w:ascii="Cambria Math"/>
          </w:rPr>
          <m:t>(</m:t>
        </m:r>
        <m:r>
          <m:rPr/>
          <w:rPr>
            <w:rFonts w:hint="default" w:ascii="Cambria Math"/>
            <w:lang w:val="en-US" w:eastAsia="zh-CN"/>
          </w:rPr>
          <m:t>S1</m:t>
        </m:r>
        <m:r>
          <m:rPr/>
          <w:rPr>
            <w:rFonts w:hint="default" w:ascii="Cambria Math"/>
          </w:rPr>
          <m:t>)</m:t>
        </m:r>
      </m:oMath>
    </w:p>
    <w:p w14:paraId="160647CB">
      <w:pPr>
        <w:ind w:firstLine="480"/>
        <w:rPr>
          <w:rFonts w:hint="eastAsia" w:ascii="Calibri" w:hAnsi="Calibri" w:cs="Calibri"/>
        </w:rPr>
      </w:pPr>
      <w:r>
        <w:rPr>
          <w:rFonts w:hint="eastAsia" w:ascii="Calibri" w:hAnsi="Calibri" w:cs="Calibri"/>
        </w:rPr>
        <w:t xml:space="preserve">where </w:t>
      </w:r>
      <m:oMath>
        <m:sSub>
          <m:sSubPr>
            <m:ctrlPr>
              <w:rPr>
                <w:rFonts w:hint="default" w:ascii="Cambria Math"/>
              </w:rPr>
            </m:ctrlPr>
          </m:sSubPr>
          <m:e>
            <m:r>
              <m:rPr/>
              <w:rPr>
                <w:rFonts w:hint="default" w:ascii="Cambria Math"/>
              </w:rPr>
              <m:t>I</m:t>
            </m:r>
            <m:ctrlPr>
              <w:rPr>
                <w:rFonts w:hint="default" w:ascii="Cambria Math"/>
              </w:rPr>
            </m:ctrlPr>
          </m:e>
          <m:sub>
            <m:r>
              <m:rPr/>
              <w:rPr>
                <w:rFonts w:hint="default" w:ascii="Cambria Math"/>
              </w:rPr>
              <m:t>i</m:t>
            </m:r>
            <m:ctrlPr>
              <w:rPr>
                <w:rFonts w:hint="default" w:ascii="Cambria Math"/>
              </w:rPr>
            </m:ctrlPr>
          </m:sub>
        </m:sSub>
      </m:oMath>
      <w:r>
        <w:rPr>
          <w:rFonts w:hint="eastAsia" w:ascii="Calibri" w:hAnsi="Calibri" w:cs="Calibri"/>
        </w:rPr>
        <w:t xml:space="preserve"> = primary resource input at node i (Mt/yr Fe), including domestic iron ore and imports; </w:t>
      </w:r>
      <m:oMath>
        <m:sSub>
          <m:sSubPr>
            <m:ctrlPr>
              <w:rPr>
                <w:rFonts w:hint="default" w:ascii="Cambria Math"/>
              </w:rPr>
            </m:ctrlPr>
          </m:sSubPr>
          <m:e>
            <m:r>
              <m:rPr/>
              <w:rPr>
                <w:rFonts w:hint="default" w:ascii="Cambria Math"/>
              </w:rPr>
              <m:t>R</m:t>
            </m:r>
            <m:ctrlPr>
              <w:rPr>
                <w:rFonts w:hint="default" w:ascii="Cambria Math"/>
              </w:rPr>
            </m:ctrlPr>
          </m:e>
          <m:sub>
            <m:r>
              <m:rPr/>
              <w:rPr>
                <w:rFonts w:hint="default" w:ascii="Cambria Math"/>
              </w:rPr>
              <m:t>i</m:t>
            </m:r>
            <m:ctrlPr>
              <w:rPr>
                <w:rFonts w:hint="default" w:ascii="Cambria Math"/>
              </w:rPr>
            </m:ctrlPr>
          </m:sub>
        </m:sSub>
      </m:oMath>
      <w:r>
        <w:rPr>
          <w:rFonts w:hint="eastAsia" w:ascii="Calibri" w:hAnsi="Calibri" w:cs="Calibri"/>
        </w:rPr>
        <w:t xml:space="preserve"> = recycled secondary resource return at node i (Mt/yr Fe), including in-house production scrap, fabrication (new) scrap, and obsolete (old) scrap reintroduced to production; </w:t>
      </w:r>
      <m:oMath>
        <m:sSub>
          <m:sSubPr>
            <m:ctrlPr>
              <w:rPr>
                <w:rFonts w:hint="default" w:ascii="Cambria Math"/>
              </w:rPr>
            </m:ctrlPr>
          </m:sSubPr>
          <m:e>
            <m:r>
              <m:rPr/>
              <w:rPr>
                <w:rFonts w:hint="default" w:ascii="Cambria Math"/>
              </w:rPr>
              <m:t>O</m:t>
            </m:r>
            <m:ctrlPr>
              <w:rPr>
                <w:rFonts w:hint="default" w:ascii="Cambria Math"/>
              </w:rPr>
            </m:ctrlPr>
          </m:e>
          <m:sub>
            <m:r>
              <m:rPr/>
              <w:rPr>
                <w:rFonts w:hint="default" w:ascii="Cambria Math"/>
              </w:rPr>
              <m:t>i</m:t>
            </m:r>
            <m:ctrlPr>
              <w:rPr>
                <w:rFonts w:hint="default" w:ascii="Cambria Math"/>
              </w:rPr>
            </m:ctrlPr>
          </m:sub>
        </m:sSub>
      </m:oMath>
      <w:r>
        <w:rPr>
          <w:rFonts w:hint="eastAsia" w:ascii="Calibri" w:hAnsi="Calibri" w:cs="Calibri"/>
        </w:rPr>
        <w:t xml:space="preserve"> = effective output at node i (Mt/yr Fe), i.e., iron element transferred to the next process node; </w:t>
      </w:r>
      <m:oMath>
        <m:sSub>
          <m:sSubPr>
            <m:ctrlPr>
              <w:rPr>
                <w:rFonts w:hint="default" w:ascii="Cambria Math"/>
              </w:rPr>
            </m:ctrlPr>
          </m:sSubPr>
          <m:e>
            <m:r>
              <m:rPr/>
              <w:rPr>
                <w:rFonts w:hint="default" w:ascii="Cambria Math"/>
              </w:rPr>
              <m:t>L</m:t>
            </m:r>
            <m:ctrlPr>
              <w:rPr>
                <w:rFonts w:hint="default" w:ascii="Cambria Math"/>
              </w:rPr>
            </m:ctrlPr>
          </m:e>
          <m:sub>
            <m:r>
              <m:rPr/>
              <w:rPr>
                <w:rFonts w:hint="default" w:ascii="Cambria Math"/>
              </w:rPr>
              <m:t>i</m:t>
            </m:r>
            <m:ctrlPr>
              <w:rPr>
                <w:rFonts w:hint="default" w:ascii="Cambria Math"/>
              </w:rPr>
            </m:ctrlPr>
          </m:sub>
        </m:sSub>
      </m:oMath>
      <w:r>
        <w:rPr>
          <w:rFonts w:hint="eastAsia" w:ascii="Calibri" w:hAnsi="Calibri" w:cs="Calibri"/>
        </w:rPr>
        <w:t xml:space="preserve"> = irreversible process loss at node i (Mt/yr Fe), including tailings, slag, dust, and dissipative losses; </w:t>
      </w:r>
      <m:oMath>
        <m:r>
          <m:rPr/>
          <w:rPr>
            <w:rFonts w:hint="default" w:ascii="Cambria Math"/>
          </w:rPr>
          <m:t>Δ</m:t>
        </m:r>
        <m:sSub>
          <m:sSubPr>
            <m:ctrlPr>
              <w:rPr>
                <w:rFonts w:hint="default" w:ascii="Cambria Math"/>
              </w:rPr>
            </m:ctrlPr>
          </m:sSubPr>
          <m:e>
            <m:r>
              <m:rPr/>
              <w:rPr>
                <w:rFonts w:hint="default" w:ascii="Cambria Math"/>
              </w:rPr>
              <m:t>S</m:t>
            </m:r>
            <m:ctrlPr>
              <w:rPr>
                <w:rFonts w:hint="default" w:ascii="Cambria Math"/>
              </w:rPr>
            </m:ctrlPr>
          </m:e>
          <m:sub>
            <m:r>
              <m:rPr/>
              <w:rPr>
                <w:rFonts w:hint="default" w:ascii="Cambria Math"/>
              </w:rPr>
              <m:t>i</m:t>
            </m:r>
            <m:ctrlPr>
              <w:rPr>
                <w:rFonts w:hint="default" w:ascii="Cambria Math"/>
              </w:rPr>
            </m:ctrlPr>
          </m:sub>
        </m:sSub>
      </m:oMath>
      <w:r>
        <w:rPr>
          <w:rFonts w:hint="eastAsia" w:ascii="Calibri" w:hAnsi="Calibri" w:cs="Calibri"/>
        </w:rPr>
        <w:t xml:space="preserve"> = net change in in-process stock at node i (Mt/yr Fe), assumed zero at annual steady state for industry-level accounting. Iron content conversion coefficients: iron ore (62% Fe for imports, 30% Fe for domestic), pig iron (94% Fe), crude steel (98% Fe), finished steel (99% Fe), scrap (95% Fe average).</w:t>
      </w:r>
    </w:p>
    <w:p w14:paraId="5FA7EE64">
      <w:pPr>
        <w:ind w:firstLine="480"/>
        <w:rPr>
          <w:rFonts w:ascii="Calibri" w:hAnsi="Calibri" w:cs="Calibri"/>
        </w:rPr>
      </w:pPr>
      <w:r>
        <w:rPr>
          <w:rFonts w:hint="eastAsia" w:ascii="Calibri" w:hAnsi="Calibri" w:cs="Calibri"/>
        </w:rPr>
        <w:t>From the mass balance, the node carrying-capacity depreciation coefficient (CDC) is defined as:</w:t>
      </w:r>
    </w:p>
    <w:p w14:paraId="0A913437">
      <w:pPr>
        <w:keepNext w:val="0"/>
        <w:keepLines w:val="0"/>
        <w:pageBreakBefore w:val="0"/>
        <w:widowControl w:val="0"/>
        <w:tabs>
          <w:tab w:val="center" w:pos="4200"/>
          <w:tab w:val="right" w:pos="8400"/>
        </w:tabs>
        <w:kinsoku/>
        <w:wordWrap/>
        <w:overflowPunct/>
        <w:topLinePunct w:val="0"/>
        <w:autoSpaceDE/>
        <w:autoSpaceDN/>
        <w:bidi w:val="0"/>
        <w:adjustRightInd/>
        <w:snapToGrid/>
        <w:jc w:val="center"/>
        <w:textAlignment w:val="auto"/>
        <w:rPr>
          <w:rFonts w:hint="default"/>
          <w:i w:val="0"/>
          <w:lang w:val="en-US" w:eastAsia="zh-CN"/>
        </w:rPr>
      </w:pPr>
      <w:r>
        <w:rPr>
          <w:rFonts w:hint="eastAsia" w:hAnsi="Times New Roman"/>
          <w:i w:val="0"/>
          <w:lang w:val="en-US" w:eastAsia="zh-CN"/>
        </w:rPr>
        <w:tab/>
      </w:r>
      <m:oMath>
        <m:r>
          <m:rPr>
            <m:sty m:val="p"/>
          </m:rPr>
          <w:rPr>
            <w:rFonts w:hint="default" w:ascii="Times New Roman" w:hAnsi="Times New Roman"/>
            <w:lang w:val="en-US" w:eastAsia="zh-CN"/>
          </w:rPr>
          <m:t>CD</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C</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r>
          <m:rPr>
            <m:sty m:val="p"/>
          </m:rPr>
          <w:rPr>
            <w:rFonts w:hint="default" w:ascii="Times New Roman" w:hAnsi="Times New Roman"/>
            <w:lang w:val="en-US" w:eastAsia="zh-CN"/>
          </w:rPr>
          <m:t>=</m:t>
        </m:r>
        <m:f>
          <m:fPr>
            <m:ctrlPr>
              <w:rPr>
                <w:rFonts w:hint="default" w:ascii="Cambria Math" w:hAnsi="Cambria Math"/>
                <w:i w:val="0"/>
                <w:lang w:val="en-US" w:eastAsia="zh-CN"/>
              </w:rPr>
            </m:ctrlPr>
          </m:fPr>
          <m:num>
            <m:sSub>
              <m:sSubPr>
                <m:ctrlPr>
                  <w:rPr>
                    <w:rFonts w:hint="default" w:ascii="Cambria Math" w:hAnsi="Cambria Math"/>
                    <w:i w:val="0"/>
                    <w:lang w:val="en-US" w:eastAsia="zh-CN"/>
                  </w:rPr>
                </m:ctrlPr>
              </m:sSubPr>
              <m:e>
                <m:r>
                  <m:rPr>
                    <m:sty m:val="p"/>
                  </m:rPr>
                  <w:rPr>
                    <w:rFonts w:hint="default" w:ascii="Times New Roman" w:hAnsi="Times New Roman"/>
                    <w:lang w:val="en-US" w:eastAsia="zh-CN"/>
                  </w:rPr>
                  <m:t>L</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ctrlPr>
              <w:rPr>
                <w:rFonts w:hint="default" w:ascii="Cambria Math" w:hAnsi="Cambria Math"/>
                <w:i w:val="0"/>
                <w:lang w:val="en-US" w:eastAsia="zh-CN"/>
              </w:rPr>
            </m:ctrlPr>
          </m:num>
          <m:den>
            <m:r>
              <m:rPr>
                <m:sty m:val="p"/>
              </m:rPr>
              <w:rPr>
                <w:rFonts w:hint="default" w:ascii="Times New Roman" w:hAnsi="Times New Roman"/>
                <w:lang w:val="en-US" w:eastAsia="zh-CN"/>
              </w:rPr>
              <m:t>(</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I</m:t>
                </m:r>
                <m:ctrlPr>
                  <w:rPr>
                    <w:rFonts w:hint="default" w:ascii="Cambria Math" w:hAnsi="Cambria Math"/>
                    <w:i w:val="0"/>
                    <w:lang w:val="en-US" w:eastAsia="zh-CN"/>
                  </w:rPr>
                </m:ctrlPr>
              </m:e>
              <m:sub>
                <m:r>
                  <m:rPr>
                    <m:sty m:val="p"/>
                  </m:rPr>
                  <w:rPr>
                    <w:rFonts w:hint="default" w:ascii="Times New Roman" w:hAnsi="Times New Roman"/>
                    <w:lang w:val="en-US" w:eastAsia="zh-CN"/>
                  </w:rPr>
                  <m:t>i</m:t>
                </m:r>
                <m:ctrlPr>
                  <w:rPr>
                    <w:rFonts w:hint="default" w:ascii="Cambria Math" w:hAnsi="Cambria Math"/>
                    <w:i w:val="0"/>
                    <w:lang w:val="en-US" w:eastAsia="zh-CN"/>
                  </w:rPr>
                </m:ctrlPr>
              </m:sub>
            </m:sSub>
            <m:r>
              <m:rPr>
                <m:sty m:val="p"/>
              </m:rPr>
              <w:rPr>
                <w:rFonts w:hint="default" w:ascii="Times New Roman" w:hAnsi="Times New Roman"/>
                <w:lang w:val="en-US" w:eastAsia="zh-CN"/>
              </w:rPr>
              <m:t>+</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R</m:t>
                </m:r>
                <m:ctrlPr>
                  <w:rPr>
                    <w:rFonts w:hint="default" w:ascii="Cambria Math" w:hAnsi="Cambria Math"/>
                    <w:i w:val="0"/>
                    <w:lang w:val="en-US" w:eastAsia="zh-CN"/>
                  </w:rPr>
                </m:ctrlPr>
              </m:e>
              <m:sub>
                <m:r>
                  <m:rPr>
                    <m:sty m:val="p"/>
                  </m:rPr>
                  <w:rPr>
                    <w:rFonts w:hint="default" w:ascii="Times New Roman" w:hAnsi="Times New Roman"/>
                    <w:lang w:val="en-US" w:eastAsia="zh-CN"/>
                  </w:rPr>
                  <m:t>i</m:t>
                </m:r>
                <m:ctrlPr>
                  <w:rPr>
                    <w:rFonts w:hint="default" w:ascii="Cambria Math" w:hAnsi="Cambria Math"/>
                    <w:i w:val="0"/>
                    <w:lang w:val="en-US" w:eastAsia="zh-CN"/>
                  </w:rPr>
                </m:ctrlPr>
              </m:sub>
            </m:sSub>
            <m:r>
              <m:rPr>
                <m:sty m:val="p"/>
              </m:rPr>
              <w:rPr>
                <w:rFonts w:hint="default" w:ascii="Times New Roman" w:hAnsi="Times New Roman"/>
                <w:lang w:val="en-US" w:eastAsia="zh-CN"/>
              </w:rPr>
              <m:t>)</m:t>
            </m:r>
            <m:ctrlPr>
              <w:rPr>
                <w:rFonts w:hint="default" w:ascii="Cambria Math" w:hAnsi="Cambria Math"/>
                <w:i w:val="0"/>
                <w:lang w:val="en-US" w:eastAsia="zh-CN"/>
              </w:rPr>
            </m:ctrlPr>
          </m:den>
        </m:f>
        <m:r>
          <m:rPr>
            <m:sty m:val="p"/>
          </m:rPr>
          <w:rPr>
            <w:rFonts w:hint="default" w:ascii="Times New Roman" w:hAnsi="Times New Roman"/>
            <w:lang w:val="en-US" w:eastAsia="zh-CN"/>
          </w:rPr>
          <m:t>×100</m:t>
        </m:r>
      </m:oMath>
      <w:r>
        <w:rPr>
          <w:rFonts w:hint="eastAsia" w:hAnsi="Times New Roman"/>
          <w:i w:val="0"/>
          <w:lang w:val="en-US" w:eastAsia="zh-CN"/>
        </w:rPr>
        <w:tab/>
      </w:r>
      <m:oMath>
        <m:r>
          <m:rPr/>
          <w:rPr>
            <w:rFonts w:hint="default" w:ascii="Cambria Math"/>
          </w:rPr>
          <m:t>(</m:t>
        </m:r>
        <m:r>
          <m:rPr/>
          <w:rPr>
            <w:rFonts w:hint="default" w:ascii="Cambria Math"/>
            <w:lang w:val="en-US" w:eastAsia="zh-CN"/>
          </w:rPr>
          <m:t>S2</m:t>
        </m:r>
        <m:r>
          <m:rPr/>
          <w:rPr>
            <w:rFonts w:hint="default" w:ascii="Cambria Math"/>
          </w:rPr>
          <m:t>)</m:t>
        </m:r>
      </m:oMath>
    </w:p>
    <w:p w14:paraId="3EAB1F29">
      <w:pPr>
        <w:ind w:firstLine="480"/>
        <w:rPr>
          <w:rFonts w:hint="eastAsia" w:ascii="Calibri" w:hAnsi="Calibri" w:cs="Calibri"/>
        </w:rPr>
      </w:pPr>
      <w:r>
        <w:rPr>
          <w:rFonts w:hint="eastAsia" w:ascii="Calibri" w:hAnsi="Calibri" w:cs="Calibri"/>
        </w:rPr>
        <w:t xml:space="preserve">where </w:t>
      </w:r>
      <m:oMath>
        <m:r>
          <m:rPr>
            <m:sty m:val="p"/>
          </m:rPr>
          <w:rPr>
            <w:rFonts w:hint="default" w:ascii="Cambria Math" w:hAnsi="Cambria Math" w:cs="Calibri"/>
            <w:lang w:val="en-US" w:eastAsia="zh-CN"/>
          </w:rPr>
          <m:t>CD</m:t>
        </m:r>
        <m:sSub>
          <m:sSubPr>
            <m:ctrlPr>
              <w:rPr>
                <w:rFonts w:hint="default" w:ascii="Cambria Math" w:hAnsi="Cambria Math" w:cs="Calibri"/>
                <w:lang w:val="en-US" w:eastAsia="zh-CN"/>
              </w:rPr>
            </m:ctrlPr>
          </m:sSubPr>
          <m:e>
            <m:r>
              <m:rPr>
                <m:sty m:val="p"/>
              </m:rPr>
              <w:rPr>
                <w:rFonts w:hint="default" w:ascii="Cambria Math" w:hAnsi="Cambria Math" w:cs="Calibri"/>
                <w:lang w:val="en-US" w:eastAsia="zh-CN"/>
              </w:rPr>
              <m:t>C</m:t>
            </m:r>
            <m:ctrlPr>
              <w:rPr>
                <w:rFonts w:hint="eastAsia" w:ascii="Cambria Math" w:hAnsi="Cambria Math" w:cs="Calibri"/>
                <w:lang w:val="en-US" w:eastAsia="zh-CN"/>
              </w:rPr>
            </m:ctrlPr>
          </m:e>
          <m:sub>
            <m:r>
              <m:rPr>
                <m:sty m:val="p"/>
              </m:rPr>
              <w:rPr>
                <w:rFonts w:hint="default" w:ascii="Cambria Math" w:hAnsi="Cambria Math" w:cs="Calibri"/>
                <w:lang w:val="en-US" w:eastAsia="zh-CN"/>
              </w:rPr>
              <m:t>i</m:t>
            </m:r>
            <m:ctrlPr>
              <w:rPr>
                <w:rFonts w:hint="eastAsia" w:ascii="Cambria Math" w:hAnsi="Cambria Math" w:cs="Calibri"/>
                <w:lang w:val="en-US" w:eastAsia="zh-CN"/>
              </w:rPr>
            </m:ctrlPr>
          </m:sub>
        </m:sSub>
      </m:oMath>
      <w:r>
        <w:rPr>
          <w:rFonts w:hint="eastAsia" w:ascii="Calibri" w:hAnsi="Calibri" w:cs="Calibri"/>
        </w:rPr>
        <w:t xml:space="preserve"> = carrying-capacity depreciation coefficient at node i (%), </w:t>
      </w:r>
      <m:oMath>
        <m:sSub>
          <m:sSubPr>
            <m:ctrlPr>
              <w:rPr>
                <w:rFonts w:hint="default" w:ascii="Cambria Math" w:hAnsi="Cambria Math" w:cs="Calibri"/>
                <w:lang w:val="en-US" w:eastAsia="zh-CN"/>
              </w:rPr>
            </m:ctrlPr>
          </m:sSubPr>
          <m:e>
            <m:r>
              <m:rPr>
                <m:sty m:val="p"/>
              </m:rPr>
              <w:rPr>
                <w:rFonts w:hint="default" w:ascii="Cambria Math" w:hAnsi="Cambria Math" w:cs="Calibri"/>
                <w:lang w:val="en-US" w:eastAsia="zh-CN"/>
              </w:rPr>
              <m:t>L</m:t>
            </m:r>
            <m:ctrlPr>
              <w:rPr>
                <w:rFonts w:hint="eastAsia" w:ascii="Cambria Math" w:hAnsi="Cambria Math" w:cs="Calibri"/>
                <w:lang w:val="en-US" w:eastAsia="zh-CN"/>
              </w:rPr>
            </m:ctrlPr>
          </m:e>
          <m:sub>
            <m:r>
              <m:rPr>
                <m:sty m:val="p"/>
              </m:rPr>
              <w:rPr>
                <w:rFonts w:hint="default" w:ascii="Cambria Math" w:hAnsi="Cambria Math" w:cs="Calibri"/>
                <w:lang w:val="en-US" w:eastAsia="zh-CN"/>
              </w:rPr>
              <m:t>i</m:t>
            </m:r>
            <m:ctrlPr>
              <w:rPr>
                <w:rFonts w:hint="eastAsia" w:ascii="Cambria Math" w:hAnsi="Cambria Math" w:cs="Calibri"/>
                <w:lang w:val="en-US" w:eastAsia="zh-CN"/>
              </w:rPr>
            </m:ctrlPr>
          </m:sub>
        </m:sSub>
      </m:oMath>
      <w:r>
        <w:rPr>
          <w:rFonts w:hint="eastAsia" w:ascii="Calibri" w:hAnsi="Calibri" w:cs="Calibri"/>
        </w:rPr>
        <w:t xml:space="preserve"> = irreversible process loss (Mt/yr Fe), </w:t>
      </w:r>
      <m:oMath>
        <m:sSub>
          <m:sSubPr>
            <m:ctrlPr>
              <w:rPr>
                <w:rFonts w:hint="default" w:ascii="Cambria Math" w:hAnsi="Cambria Math" w:cs="Calibri"/>
                <w:lang w:val="en-US" w:eastAsia="zh-CN"/>
              </w:rPr>
            </m:ctrlPr>
          </m:sSubPr>
          <m:e>
            <m:r>
              <m:rPr>
                <m:sty m:val="p"/>
              </m:rPr>
              <w:rPr>
                <w:rFonts w:hint="default" w:ascii="Cambria Math" w:hAnsi="Cambria Math" w:cs="Calibri"/>
                <w:lang w:val="en-US" w:eastAsia="zh-CN"/>
              </w:rPr>
              <m:t>I</m:t>
            </m:r>
            <m:ctrlPr>
              <w:rPr>
                <w:rFonts w:hint="default" w:ascii="Cambria Math" w:hAnsi="Cambria Math" w:cs="Calibri"/>
                <w:lang w:val="en-US" w:eastAsia="zh-CN"/>
              </w:rPr>
            </m:ctrlPr>
          </m:e>
          <m:sub>
            <m:r>
              <m:rPr>
                <m:sty m:val="p"/>
              </m:rPr>
              <w:rPr>
                <w:rFonts w:hint="default" w:ascii="Cambria Math" w:hAnsi="Cambria Math" w:cs="Calibri"/>
                <w:lang w:val="en-US" w:eastAsia="zh-CN"/>
              </w:rPr>
              <m:t>i</m:t>
            </m:r>
            <m:ctrlPr>
              <w:rPr>
                <w:rFonts w:hint="default" w:ascii="Cambria Math" w:hAnsi="Cambria Math" w:cs="Calibri"/>
                <w:lang w:val="en-US" w:eastAsia="zh-CN"/>
              </w:rPr>
            </m:ctrlPr>
          </m:sub>
        </m:sSub>
        <m:r>
          <m:rPr>
            <m:sty m:val="p"/>
          </m:rPr>
          <w:rPr>
            <w:rFonts w:hint="default" w:ascii="Cambria Math" w:hAnsi="Cambria Math" w:cs="Calibri"/>
            <w:lang w:val="en-US" w:eastAsia="zh-CN"/>
          </w:rPr>
          <m:t>+</m:t>
        </m:r>
        <m:sSub>
          <m:sSubPr>
            <m:ctrlPr>
              <w:rPr>
                <w:rFonts w:hint="default" w:ascii="Cambria Math" w:hAnsi="Cambria Math" w:cs="Calibri"/>
                <w:lang w:val="en-US" w:eastAsia="zh-CN"/>
              </w:rPr>
            </m:ctrlPr>
          </m:sSubPr>
          <m:e>
            <m:r>
              <m:rPr>
                <m:sty m:val="p"/>
              </m:rPr>
              <w:rPr>
                <w:rFonts w:hint="default" w:ascii="Cambria Math" w:hAnsi="Cambria Math" w:cs="Calibri"/>
                <w:lang w:val="en-US" w:eastAsia="zh-CN"/>
              </w:rPr>
              <m:t>R</m:t>
            </m:r>
            <m:ctrlPr>
              <w:rPr>
                <w:rFonts w:hint="default" w:ascii="Cambria Math" w:hAnsi="Cambria Math" w:cs="Calibri"/>
                <w:lang w:val="en-US" w:eastAsia="zh-CN"/>
              </w:rPr>
            </m:ctrlPr>
          </m:e>
          <m:sub>
            <m:r>
              <m:rPr>
                <m:sty m:val="p"/>
              </m:rPr>
              <w:rPr>
                <w:rFonts w:hint="default" w:ascii="Cambria Math" w:hAnsi="Cambria Math" w:cs="Calibri"/>
                <w:lang w:val="en-US" w:eastAsia="zh-CN"/>
              </w:rPr>
              <m:t>i</m:t>
            </m:r>
            <m:ctrlPr>
              <w:rPr>
                <w:rFonts w:hint="default" w:ascii="Cambria Math" w:hAnsi="Cambria Math" w:cs="Calibri"/>
                <w:lang w:val="en-US" w:eastAsia="zh-CN"/>
              </w:rPr>
            </m:ctrlPr>
          </m:sub>
        </m:sSub>
      </m:oMath>
      <w:r>
        <w:rPr>
          <w:rFonts w:hint="eastAsia" w:ascii="Calibri" w:hAnsi="Calibri" w:cs="Calibri"/>
        </w:rPr>
        <w:t xml:space="preserve"> = total resource input (Mt/yr Fe). </w:t>
      </w:r>
      <m:oMath>
        <m:r>
          <m:rPr>
            <m:sty m:val="p"/>
          </m:rPr>
          <w:rPr>
            <w:rFonts w:hint="default" w:ascii="Cambria Math" w:hAnsi="Cambria Math" w:cs="Calibri"/>
            <w:lang w:val="en-US" w:eastAsia="zh-CN"/>
          </w:rPr>
          <m:t>CD</m:t>
        </m:r>
        <m:sSub>
          <m:sSubPr>
            <m:ctrlPr>
              <w:rPr>
                <w:rFonts w:hint="default" w:ascii="Cambria Math" w:hAnsi="Cambria Math" w:cs="Calibri"/>
                <w:lang w:val="en-US" w:eastAsia="zh-CN"/>
              </w:rPr>
            </m:ctrlPr>
          </m:sSubPr>
          <m:e>
            <m:r>
              <m:rPr>
                <m:sty m:val="p"/>
              </m:rPr>
              <w:rPr>
                <w:rFonts w:hint="default" w:ascii="Cambria Math" w:hAnsi="Cambria Math" w:cs="Calibri"/>
                <w:lang w:val="en-US" w:eastAsia="zh-CN"/>
              </w:rPr>
              <m:t>C</m:t>
            </m:r>
            <m:ctrlPr>
              <w:rPr>
                <w:rFonts w:hint="eastAsia" w:ascii="Cambria Math" w:hAnsi="Cambria Math" w:cs="Calibri"/>
                <w:lang w:val="en-US" w:eastAsia="zh-CN"/>
              </w:rPr>
            </m:ctrlPr>
          </m:e>
          <m:sub>
            <m:r>
              <m:rPr>
                <m:sty m:val="p"/>
              </m:rPr>
              <w:rPr>
                <w:rFonts w:hint="default" w:ascii="Cambria Math" w:hAnsi="Cambria Math" w:cs="Calibri"/>
                <w:lang w:val="en-US" w:eastAsia="zh-CN"/>
              </w:rPr>
              <m:t>i</m:t>
            </m:r>
            <m:ctrlPr>
              <w:rPr>
                <w:rFonts w:hint="eastAsia" w:ascii="Cambria Math" w:hAnsi="Cambria Math" w:cs="Calibri"/>
                <w:lang w:val="en-US" w:eastAsia="zh-CN"/>
              </w:rPr>
            </m:ctrlPr>
          </m:sub>
        </m:sSub>
      </m:oMath>
      <w:r>
        <w:rPr>
          <w:rFonts w:hint="eastAsia" w:ascii="Calibri" w:hAnsi="Calibri" w:cs="Calibri"/>
        </w:rPr>
        <w:t xml:space="preserve"> quantifies the proportion of invested resources (extraction, transportation, processing costs) that fail to convert into effective output, representing permanent depreciation of carrying capacity. Aggregate system CDC</w:t>
      </w:r>
      <w:r>
        <w:rPr>
          <w:rFonts w:hint="eastAsia" w:ascii="Calibri" w:hAnsi="Calibri" w:cs="Calibri"/>
          <w:lang w:val="en-US" w:eastAsia="zh-CN"/>
        </w:rPr>
        <w:t xml:space="preserve"> </w:t>
      </w:r>
      <w:r>
        <w:rPr>
          <w:rFonts w:hint="eastAsia" w:ascii="Calibri" w:hAnsi="Calibri" w:cs="Calibri"/>
        </w:rPr>
        <w:t>(throughput-weighted sum)</w:t>
      </w:r>
      <w:r>
        <w:rPr>
          <w:rFonts w:hint="eastAsia" w:ascii="Calibri" w:hAnsi="Calibri" w:cs="Calibri"/>
          <w:lang w:val="en-US" w:eastAsia="zh-CN"/>
        </w:rPr>
        <w:t xml:space="preserve"> </w:t>
      </w:r>
      <w:r>
        <w:rPr>
          <w:rFonts w:hint="eastAsia" w:ascii="Calibri" w:hAnsi="Calibri" w:cs="Calibri"/>
        </w:rPr>
        <w:t>: .</w:t>
      </w:r>
    </w:p>
    <w:p w14:paraId="5CE0B817">
      <w:pPr>
        <w:keepNext w:val="0"/>
        <w:keepLines w:val="0"/>
        <w:pageBreakBefore w:val="0"/>
        <w:widowControl w:val="0"/>
        <w:tabs>
          <w:tab w:val="center" w:pos="4200"/>
          <w:tab w:val="right" w:pos="8400"/>
        </w:tabs>
        <w:kinsoku/>
        <w:wordWrap/>
        <w:overflowPunct/>
        <w:topLinePunct w:val="0"/>
        <w:autoSpaceDE/>
        <w:autoSpaceDN/>
        <w:bidi w:val="0"/>
        <w:adjustRightInd/>
        <w:snapToGrid/>
        <w:jc w:val="center"/>
        <w:textAlignment w:val="auto"/>
        <w:rPr>
          <w:rFonts w:hint="default" w:hAnsi="Times New Roman"/>
          <w:i w:val="0"/>
          <w:lang w:val="en-US" w:eastAsia="zh-CN"/>
        </w:rPr>
      </w:pPr>
      <w:r>
        <w:rPr>
          <w:rFonts w:hint="eastAsia" w:hAnsi="Times New Roman"/>
          <w:i w:val="0"/>
          <w:lang w:val="en-US" w:eastAsia="zh-CN"/>
        </w:rPr>
        <w:tab/>
      </w:r>
      <m:oMath>
        <m:r>
          <m:rPr>
            <m:sty m:val="p"/>
          </m:rPr>
          <w:rPr>
            <w:rFonts w:hint="default" w:ascii="Times New Roman" w:hAnsi="Times New Roman"/>
            <w:lang w:val="en-US" w:eastAsia="zh-CN"/>
          </w:rPr>
          <m:t>CD</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C</m:t>
            </m:r>
            <m:ctrlPr>
              <w:rPr>
                <w:rFonts w:hint="eastAsia" w:ascii="Cambria Math" w:hAnsi="Cambria Math"/>
                <w:i w:val="0"/>
                <w:lang w:val="en-US" w:eastAsia="zh-CN"/>
              </w:rPr>
            </m:ctrlPr>
          </m:e>
          <m:sub>
            <m:r>
              <m:rPr>
                <m:sty m:val="p"/>
              </m:rPr>
              <w:rPr>
                <w:rFonts w:hint="default" w:ascii="Times New Roman" w:hAnsi="Times New Roman"/>
                <w:lang w:val="en-US" w:eastAsia="zh-CN"/>
              </w:rPr>
              <m:t>a</m:t>
            </m:r>
            <m:ctrlPr>
              <w:rPr>
                <w:rFonts w:hint="eastAsia" w:ascii="Cambria Math" w:hAnsi="Cambria Math"/>
                <w:i w:val="0"/>
                <w:lang w:val="en-US" w:eastAsia="zh-CN"/>
              </w:rPr>
            </m:ctrlPr>
          </m:sub>
        </m:sSub>
        <m:r>
          <m:rPr>
            <m:sty m:val="p"/>
          </m:rPr>
          <w:rPr>
            <w:rFonts w:hint="default" w:ascii="Times New Roman" w:hAnsi="Times New Roman"/>
            <w:lang w:val="en-US" w:eastAsia="zh-CN"/>
          </w:rPr>
          <m:t>gg=</m:t>
        </m:r>
        <m:f>
          <m:fPr>
            <m:ctrlPr>
              <w:rPr>
                <w:rFonts w:hint="default" w:ascii="Cambria Math" w:hAnsi="Cambria Math"/>
                <w:i w:val="0"/>
                <w:lang w:val="en-US" w:eastAsia="zh-CN"/>
              </w:rPr>
            </m:ctrlPr>
          </m:fPr>
          <m:num>
            <m:r>
              <m:rPr>
                <m:sty m:val="p"/>
              </m:rPr>
              <w:rPr>
                <w:rFonts w:hint="default" w:ascii="Times New Roman" w:hAnsi="Times New Roman"/>
                <w:lang w:val="en-US" w:eastAsia="zh-CN"/>
              </w:rPr>
              <m:t>Σ(CD</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C</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r>
              <m:rPr>
                <m:sty m:val="p"/>
              </m:rPr>
              <w:rPr>
                <w:rFonts w:hint="default" w:ascii="Times New Roman" w:hAnsi="Times New Roman"/>
                <w:lang w:val="en-US" w:eastAsia="zh-CN"/>
              </w:rPr>
              <m:t>×(</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I</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r>
              <m:rPr>
                <m:sty m:val="p"/>
              </m:rPr>
              <w:rPr>
                <w:rFonts w:hint="default" w:ascii="Times New Roman" w:hAnsi="Times New Roman"/>
                <w:lang w:val="en-US" w:eastAsia="zh-CN"/>
              </w:rPr>
              <m:t>+</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R</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r>
              <m:rPr>
                <m:sty m:val="p"/>
              </m:rPr>
              <w:rPr>
                <w:rFonts w:hint="default" w:ascii="Times New Roman" w:hAnsi="Times New Roman"/>
                <w:lang w:val="en-US" w:eastAsia="zh-CN"/>
              </w:rPr>
              <m:t>))</m:t>
            </m:r>
            <m:ctrlPr>
              <w:rPr>
                <w:rFonts w:hint="default" w:ascii="Cambria Math" w:hAnsi="Cambria Math"/>
                <w:i w:val="0"/>
                <w:lang w:val="en-US" w:eastAsia="zh-CN"/>
              </w:rPr>
            </m:ctrlPr>
          </m:num>
          <m:den>
            <m:r>
              <m:rPr>
                <m:sty m:val="p"/>
              </m:rPr>
              <w:rPr>
                <w:rFonts w:hint="default" w:ascii="Times New Roman" w:hAnsi="Times New Roman"/>
                <w:lang w:val="en-US" w:eastAsia="zh-CN"/>
              </w:rPr>
              <m:t>Σ(</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I</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r>
              <m:rPr>
                <m:sty m:val="p"/>
              </m:rPr>
              <w:rPr>
                <w:rFonts w:hint="default" w:ascii="Times New Roman" w:hAnsi="Times New Roman"/>
                <w:lang w:val="en-US" w:eastAsia="zh-CN"/>
              </w:rPr>
              <m:t>+</m:t>
            </m:r>
            <m:sSub>
              <m:sSubPr>
                <m:ctrlPr>
                  <w:rPr>
                    <w:rFonts w:hint="default" w:ascii="Cambria Math" w:hAnsi="Cambria Math"/>
                    <w:i w:val="0"/>
                    <w:lang w:val="en-US" w:eastAsia="zh-CN"/>
                  </w:rPr>
                </m:ctrlPr>
              </m:sSubPr>
              <m:e>
                <m:r>
                  <m:rPr>
                    <m:sty m:val="p"/>
                  </m:rPr>
                  <w:rPr>
                    <w:rFonts w:hint="default" w:ascii="Times New Roman" w:hAnsi="Times New Roman"/>
                    <w:lang w:val="en-US" w:eastAsia="zh-CN"/>
                  </w:rPr>
                  <m:t>R</m:t>
                </m:r>
                <m:ctrlPr>
                  <w:rPr>
                    <w:rFonts w:hint="eastAsia" w:ascii="Cambria Math" w:hAnsi="Cambria Math"/>
                    <w:i w:val="0"/>
                    <w:lang w:val="en-US" w:eastAsia="zh-CN"/>
                  </w:rPr>
                </m:ctrlPr>
              </m:e>
              <m:sub>
                <m:r>
                  <m:rPr>
                    <m:sty m:val="p"/>
                  </m:rPr>
                  <w:rPr>
                    <w:rFonts w:hint="default" w:ascii="Times New Roman" w:hAnsi="Times New Roman"/>
                    <w:lang w:val="en-US" w:eastAsia="zh-CN"/>
                  </w:rPr>
                  <m:t>i</m:t>
                </m:r>
                <m:ctrlPr>
                  <w:rPr>
                    <w:rFonts w:hint="eastAsia" w:ascii="Cambria Math" w:hAnsi="Cambria Math"/>
                    <w:i w:val="0"/>
                    <w:lang w:val="en-US" w:eastAsia="zh-CN"/>
                  </w:rPr>
                </m:ctrlPr>
              </m:sub>
            </m:sSub>
            <m:r>
              <m:rPr>
                <m:sty m:val="p"/>
              </m:rPr>
              <w:rPr>
                <w:rFonts w:hint="default" w:ascii="Times New Roman" w:hAnsi="Times New Roman"/>
                <w:lang w:val="en-US" w:eastAsia="zh-CN"/>
              </w:rPr>
              <m:t>)</m:t>
            </m:r>
            <m:ctrlPr>
              <w:rPr>
                <w:rFonts w:hint="default" w:ascii="Cambria Math" w:hAnsi="Cambria Math"/>
                <w:i w:val="0"/>
                <w:lang w:val="en-US" w:eastAsia="zh-CN"/>
              </w:rPr>
            </m:ctrlPr>
          </m:den>
        </m:f>
      </m:oMath>
      <w:r>
        <w:rPr>
          <w:rFonts w:hint="eastAsia" w:hAnsi="Cambria Math"/>
          <w:i w:val="0"/>
          <w:lang w:val="en-US" w:eastAsia="zh-CN"/>
        </w:rPr>
        <w:tab/>
      </w:r>
      <m:oMath>
        <m:r>
          <m:rPr/>
          <w:rPr>
            <w:rFonts w:hint="default" w:ascii="Cambria Math"/>
          </w:rPr>
          <m:t>(</m:t>
        </m:r>
        <m:r>
          <m:rPr/>
          <w:rPr>
            <w:rFonts w:hint="default" w:ascii="Cambria Math"/>
            <w:lang w:val="en-US" w:eastAsia="zh-CN"/>
          </w:rPr>
          <m:t>S3</m:t>
        </m:r>
        <m:r>
          <m:rPr/>
          <w:rPr>
            <w:rFonts w:hint="default" w:ascii="Cambria Math"/>
          </w:rPr>
          <m:t>)</m:t>
        </m:r>
      </m:oMath>
    </w:p>
    <w:p w14:paraId="1EC5E0AE">
      <w:pPr>
        <w:ind w:firstLine="480"/>
        <w:rPr>
          <w:rFonts w:ascii="Calibri" w:hAnsi="Calibri" w:cs="Calibri"/>
        </w:rPr>
      </w:pPr>
      <w:r>
        <w:rPr>
          <w:rFonts w:ascii="Calibri" w:hAnsi="Calibri" w:cs="Calibri"/>
        </w:rPr>
        <w:t>Resource demand scenarios are critical for assessing resource sustainability. One of the simplest approaches to revealing future steel resource carrying capacity of enterprises is the time</w:t>
      </w:r>
      <w:r>
        <w:rPr>
          <w:rFonts w:hint="eastAsia" w:ascii="MS Gothic" w:hAnsi="MS Gothic" w:eastAsia="MS Gothic" w:cs="MS Gothic"/>
        </w:rPr>
        <w:t>‑</w:t>
      </w:r>
      <w:r>
        <w:rPr>
          <w:rFonts w:ascii="Calibri" w:hAnsi="Calibri" w:cs="Calibri"/>
        </w:rPr>
        <w:t>step method. By adopting linear regression analysis to characterize mineral extraction peaks, this method modifies the Hubbert peak curve to account for declining ore grades and recycling effects:</w:t>
      </w:r>
    </w:p>
    <w:p w14:paraId="284926C3">
      <w:pPr>
        <w:tabs>
          <w:tab w:val="center" w:pos="4200"/>
          <w:tab w:val="right" w:pos="8400"/>
        </w:tabs>
        <w:rPr>
          <w:rFonts w:ascii="Calibri" w:hAnsi="Calibri" w:cs="Calibri"/>
        </w:rPr>
      </w:pPr>
      <w:r>
        <w:rPr>
          <w:rFonts w:ascii="Calibri" w:hAnsi="Calibri" w:cs="Calibri"/>
        </w:rPr>
        <w:tab/>
      </w:r>
      <m:oMath>
        <m:r>
          <m:rPr>
            <m:nor/>
            <m:sty m:val="p"/>
          </m:rPr>
          <w:rPr>
            <w:rFonts w:ascii="Calibri" w:hAnsi="Calibri" w:cs="Calibri"/>
            <w:b w:val="0"/>
            <w:i w:val="0"/>
          </w:rPr>
          <m:t xml:space="preserve"> </m:t>
        </m:r>
        <m:f>
          <m:fPr>
            <m:ctrlPr>
              <w:rPr>
                <w:rFonts w:ascii="Cambria Math" w:hAnsi="Cambria Math" w:cs="Calibri"/>
                <w:i/>
              </w:rPr>
            </m:ctrlPr>
          </m:fPr>
          <m:num>
            <m:r>
              <m:rPr>
                <m:nor/>
              </m:rPr>
              <w:rPr>
                <w:rFonts w:ascii="Calibri" w:hAnsi="Calibri" w:cs="Calibri"/>
                <w:i/>
              </w:rPr>
              <m:t>d</m:t>
            </m:r>
            <m:func>
              <m:funcPr>
                <m:ctrlPr>
                  <w:rPr>
                    <w:rFonts w:ascii="Cambria Math" w:hAnsi="Cambria Math" w:cs="Calibri"/>
                  </w:rPr>
                </m:ctrlPr>
              </m:funcPr>
              <m:fName>
                <m:r>
                  <m:rPr>
                    <m:nor/>
                    <m:sty m:val="p"/>
                  </m:rPr>
                  <w:rPr>
                    <w:rFonts w:ascii="Calibri" w:hAnsi="Calibri" w:cs="Calibri"/>
                    <w:b w:val="0"/>
                    <w:i w:val="0"/>
                  </w:rPr>
                  <m:t>ln</m:t>
                </m:r>
                <m:ctrlPr>
                  <w:rPr>
                    <w:rFonts w:ascii="Cambria Math" w:hAnsi="Cambria Math" w:cs="Calibri"/>
                    <w:i/>
                  </w:rPr>
                </m:ctrlPr>
              </m:fName>
              <m:e>
                <m:r>
                  <m:rPr>
                    <m:nor/>
                  </m:rPr>
                  <w:rPr>
                    <w:rFonts w:ascii="Calibri" w:hAnsi="Calibri" w:cs="Calibri"/>
                    <w:i/>
                  </w:rPr>
                  <m:t>Q</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e>
            </m:func>
            <m:ctrlPr>
              <w:rPr>
                <w:rFonts w:ascii="Cambria Math" w:hAnsi="Cambria Math" w:cs="Calibri"/>
                <w:i/>
              </w:rPr>
            </m:ctrlPr>
          </m:num>
          <m:den>
            <m:r>
              <m:rPr>
                <m:nor/>
              </m:rPr>
              <w:rPr>
                <w:rFonts w:ascii="Calibri" w:hAnsi="Calibri" w:cs="Calibri"/>
                <w:i/>
              </w:rPr>
              <m:t>dt</m:t>
            </m:r>
            <m:ctrlPr>
              <w:rPr>
                <w:rFonts w:ascii="Cambria Math" w:hAnsi="Cambria Math" w:cs="Calibri"/>
                <w:i/>
              </w:rPr>
            </m:ctrlPr>
          </m:den>
        </m:f>
        <m:r>
          <m:rPr>
            <m:nor/>
            <m:sty m:val="p"/>
          </m:rPr>
          <w:rPr>
            <w:rFonts w:ascii="Calibri" w:hAnsi="Calibri" w:cs="Calibri"/>
            <w:b w:val="0"/>
            <w:i w:val="0"/>
          </w:rPr>
          <m:t>=</m:t>
        </m:r>
        <m:r>
          <m:rPr>
            <m:nor/>
          </m:rPr>
          <w:rPr>
            <w:rFonts w:ascii="Calibri" w:hAnsi="Calibri" w:cs="Calibri"/>
            <w:i/>
          </w:rPr>
          <m:t>s</m:t>
        </m:r>
        <m:r>
          <m:rPr>
            <m:nor/>
            <m:sty m:val="p"/>
          </m:rPr>
          <w:rPr>
            <w:rFonts w:ascii="Calibri" w:hAnsi="Calibri" w:cs="Calibri"/>
            <w:b w:val="0"/>
            <w:i w:val="0"/>
          </w:rPr>
          <m:t>×</m:t>
        </m:r>
        <m:d>
          <m:dPr>
            <m:ctrlPr>
              <w:rPr>
                <w:rFonts w:ascii="Cambria Math" w:hAnsi="Cambria Math" w:cs="Calibri"/>
                <w:i/>
              </w:rPr>
            </m:ctrlPr>
          </m:dPr>
          <m:e>
            <m:r>
              <m:rPr>
                <m:nor/>
                <m:sty m:val="p"/>
              </m:rPr>
              <w:rPr>
                <w:rFonts w:ascii="Calibri" w:hAnsi="Calibri" w:cs="Calibri"/>
                <w:b w:val="0"/>
                <w:i w:val="0"/>
              </w:rPr>
              <m:t>1-</m:t>
            </m:r>
            <m:f>
              <m:fPr>
                <m:ctrlPr>
                  <w:rPr>
                    <w:rFonts w:ascii="Cambria Math" w:hAnsi="Cambria Math" w:cs="Calibri"/>
                    <w:i/>
                  </w:rPr>
                </m:ctrlPr>
              </m:fPr>
              <m:num>
                <m:r>
                  <m:rPr>
                    <m:nor/>
                  </m:rPr>
                  <w:rPr>
                    <w:rFonts w:ascii="Calibri" w:hAnsi="Calibri" w:cs="Calibri"/>
                    <w:i/>
                  </w:rPr>
                  <m:t>Q</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num>
              <m:den>
                <m:sSub>
                  <m:sSubPr>
                    <m:ctrlPr>
                      <w:rPr>
                        <w:rFonts w:ascii="Cambria Math" w:hAnsi="Cambria Math" w:cs="Calibri"/>
                        <w:i/>
                      </w:rPr>
                    </m:ctrlPr>
                  </m:sSubPr>
                  <m:e>
                    <m:r>
                      <m:rPr>
                        <m:nor/>
                      </m:rPr>
                      <w:rPr>
                        <w:rFonts w:ascii="Calibri" w:hAnsi="Calibri" w:cs="Calibri"/>
                        <w:i/>
                      </w:rPr>
                      <m:t>Q</m:t>
                    </m:r>
                    <m:ctrlPr>
                      <w:rPr>
                        <w:rFonts w:ascii="Cambria Math" w:hAnsi="Cambria Math" w:cs="Calibri"/>
                        <w:i/>
                      </w:rPr>
                    </m:ctrlPr>
                  </m:e>
                  <m:sub>
                    <m:r>
                      <m:rPr>
                        <m:nor/>
                      </m:rPr>
                      <w:rPr>
                        <w:rFonts w:ascii="Calibri" w:hAnsi="Calibri" w:cs="Calibri"/>
                        <w:i/>
                      </w:rPr>
                      <m:t>tot</m:t>
                    </m:r>
                    <m:ctrlPr>
                      <w:rPr>
                        <w:rFonts w:ascii="Cambria Math" w:hAnsi="Cambria Math" w:cs="Calibri"/>
                        <w:i/>
                      </w:rPr>
                    </m:ctrlPr>
                  </m:sub>
                </m:sSub>
                <m:ctrlPr>
                  <w:rPr>
                    <w:rFonts w:ascii="Cambria Math" w:hAnsi="Cambria Math" w:cs="Calibri"/>
                    <w:i/>
                  </w:rPr>
                </m:ctrlPr>
              </m:den>
            </m:f>
            <m:ctrlPr>
              <w:rPr>
                <w:rFonts w:ascii="Cambria Math" w:hAnsi="Cambria Math" w:cs="Calibri"/>
                <w:i/>
              </w:rPr>
            </m:ctrlPr>
          </m:e>
        </m:d>
      </m:oMath>
      <w:r>
        <w:rPr>
          <w:rFonts w:ascii="Calibri" w:hAnsi="Calibri" w:cs="Calibri"/>
        </w:rPr>
        <w:tab/>
      </w:r>
      <w:r>
        <w:rPr>
          <w:rFonts w:ascii="Calibri" w:hAnsi="Calibri" w:cs="Calibri"/>
        </w:rPr>
        <w:t>(S</w:t>
      </w:r>
      <w:r>
        <w:rPr>
          <w:rFonts w:hint="eastAsia" w:ascii="Calibri" w:hAnsi="Calibri" w:cs="Calibri"/>
          <w:lang w:val="en-US" w:eastAsia="zh-CN"/>
        </w:rPr>
        <w:t>4</w:t>
      </w:r>
      <w:r>
        <w:rPr>
          <w:rFonts w:ascii="Calibri" w:hAnsi="Calibri" w:cs="Calibri"/>
        </w:rPr>
        <w:t>)</w:t>
      </w:r>
    </w:p>
    <w:p w14:paraId="1960DF7C">
      <w:pPr>
        <w:tabs>
          <w:tab w:val="center" w:pos="4200"/>
          <w:tab w:val="right" w:pos="8400"/>
        </w:tabs>
        <w:rPr>
          <w:rFonts w:ascii="Calibri" w:hAnsi="Calibri" w:cs="Calibri"/>
        </w:rPr>
      </w:pPr>
      <w:r>
        <w:rPr>
          <w:rFonts w:ascii="Calibri" w:hAnsi="Calibri" w:cs="Calibri"/>
        </w:rPr>
        <w:t xml:space="preserve">where </w:t>
      </w:r>
      <w:r>
        <w:rPr>
          <w:rFonts w:ascii="Calibri" w:hAnsi="Calibri" w:cs="Calibri"/>
          <w:i/>
          <w:iCs/>
        </w:rPr>
        <w:t>t</w:t>
      </w:r>
      <w:r>
        <w:rPr>
          <w:rFonts w:ascii="Calibri" w:hAnsi="Calibri" w:cs="Calibri"/>
        </w:rPr>
        <w:t xml:space="preserve"> denotes time (years);</w:t>
      </w:r>
      <m:oMath>
        <m:r>
          <m:rPr>
            <m:nor/>
          </m:rPr>
          <w:rPr>
            <w:rFonts w:ascii="Calibri" w:hAnsi="Calibri" w:cs="Calibri"/>
            <w:i/>
          </w:rPr>
          <m:t>Q</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oMath>
      <w:r>
        <w:rPr>
          <w:rFonts w:ascii="Calibri" w:hAnsi="Calibri" w:cs="Calibri"/>
        </w:rPr>
        <w:t xml:space="preserve"> is the cumulative extraction of primary iron ore by year t; </w:t>
      </w:r>
      <m:oMath>
        <m:sSub>
          <m:sSubPr>
            <m:ctrlPr>
              <w:rPr>
                <w:rFonts w:ascii="Cambria Math" w:hAnsi="Cambria Math" w:cs="Calibri"/>
                <w:i/>
              </w:rPr>
            </m:ctrlPr>
          </m:sSubPr>
          <m:e>
            <m:r>
              <m:rPr>
                <m:nor/>
              </m:rPr>
              <w:rPr>
                <w:rFonts w:ascii="Calibri" w:hAnsi="Calibri" w:cs="Calibri"/>
                <w:i/>
              </w:rPr>
              <m:t>Q</m:t>
            </m:r>
            <m:ctrlPr>
              <w:rPr>
                <w:rFonts w:ascii="Cambria Math" w:hAnsi="Cambria Math" w:cs="Calibri"/>
                <w:i/>
              </w:rPr>
            </m:ctrlPr>
          </m:e>
          <m:sub>
            <m:r>
              <m:rPr>
                <m:nor/>
              </m:rPr>
              <w:rPr>
                <w:rFonts w:ascii="Calibri" w:hAnsi="Calibri" w:cs="Calibri"/>
                <w:i/>
              </w:rPr>
              <m:t>tot</m:t>
            </m:r>
            <m:ctrlPr>
              <w:rPr>
                <w:rFonts w:ascii="Cambria Math" w:hAnsi="Cambria Math" w:cs="Calibri"/>
                <w:i/>
              </w:rPr>
            </m:ctrlPr>
          </m:sub>
        </m:sSub>
      </m:oMath>
      <w:r>
        <w:rPr>
          <w:rFonts w:ascii="Calibri" w:hAnsi="Calibri" w:cs="Calibri"/>
        </w:rPr>
        <w:t xml:space="preserve"> represents the total recoverable reserves of primary iron ore controlled by the enterprise; and s is the initial growth rate parameter, reflecting technological progress and capital investment intensity in the early stage of resource exploitation.</w:t>
      </w:r>
    </w:p>
    <w:p w14:paraId="346A46F4">
      <w:pPr>
        <w:tabs>
          <w:tab w:val="center" w:pos="4200"/>
          <w:tab w:val="right" w:pos="8400"/>
        </w:tabs>
        <w:ind w:firstLine="420"/>
        <w:rPr>
          <w:rFonts w:ascii="Calibri" w:hAnsi="Calibri" w:cs="Calibri"/>
        </w:rPr>
      </w:pPr>
      <w:r>
        <w:rPr>
          <w:rFonts w:ascii="Calibri" w:hAnsi="Calibri" w:cs="Calibri"/>
        </w:rPr>
        <w:t>Integrating Equation (S</w:t>
      </w:r>
      <w:r>
        <w:rPr>
          <w:rFonts w:hint="eastAsia" w:ascii="Calibri" w:hAnsi="Calibri" w:cs="Calibri"/>
          <w:lang w:val="en-US" w:eastAsia="zh-CN"/>
        </w:rPr>
        <w:t>4</w:t>
      </w:r>
      <w:r>
        <w:rPr>
          <w:rFonts w:ascii="Calibri" w:hAnsi="Calibri" w:cs="Calibri"/>
        </w:rPr>
        <w:t>) yields the expressions for cumulative output and annual output:</w:t>
      </w:r>
    </w:p>
    <w:p w14:paraId="6C30CD3D">
      <w:pPr>
        <w:tabs>
          <w:tab w:val="center" w:pos="4200"/>
          <w:tab w:val="right" w:pos="8400"/>
        </w:tabs>
        <w:rPr>
          <w:rFonts w:hint="default" w:ascii="Calibri" w:hAnsi="Calibri" w:cs="Calibri" w:eastAsiaTheme="minorEastAsia"/>
          <w:lang w:val="en-US" w:eastAsia="zh-CN"/>
        </w:rPr>
      </w:pPr>
      <w:r>
        <w:rPr>
          <w:rFonts w:ascii="Calibri" w:hAnsi="Calibri" w:cs="Calibri"/>
        </w:rPr>
        <w:tab/>
      </w:r>
      <m:oMath>
        <m:r>
          <m:rPr>
            <m:nor/>
            <m:sty m:val="p"/>
          </m:rPr>
          <w:rPr>
            <w:rFonts w:ascii="Calibri" w:hAnsi="Calibri" w:cs="Calibri"/>
            <w:b w:val="0"/>
            <w:i w:val="0"/>
          </w:rPr>
          <m:t>Q(t)=</m:t>
        </m:r>
        <m:f>
          <m:fPr>
            <m:ctrlPr>
              <w:rPr>
                <w:rFonts w:ascii="Cambria Math" w:hAnsi="Cambria Math" w:cs="Calibri"/>
              </w:rPr>
            </m:ctrlPr>
          </m:fPr>
          <m:num>
            <m:sSub>
              <m:sSubPr>
                <m:ctrlPr>
                  <w:rPr>
                    <w:rFonts w:ascii="Cambria Math" w:hAnsi="Cambria Math" w:cs="Calibri"/>
                    <w:i/>
                  </w:rPr>
                </m:ctrlPr>
              </m:sSubPr>
              <m:e>
                <m:r>
                  <m:rPr>
                    <m:nor/>
                  </m:rPr>
                  <w:rPr>
                    <w:rFonts w:ascii="Calibri" w:hAnsi="Calibri" w:cs="Calibri"/>
                    <w:i/>
                  </w:rPr>
                  <m:t>Q</m:t>
                </m:r>
                <m:ctrlPr>
                  <w:rPr>
                    <w:rFonts w:ascii="Cambria Math" w:hAnsi="Cambria Math" w:cs="Calibri"/>
                    <w:i/>
                  </w:rPr>
                </m:ctrlPr>
              </m:e>
              <m:sub>
                <m:r>
                  <m:rPr>
                    <m:nor/>
                  </m:rPr>
                  <w:rPr>
                    <w:rFonts w:ascii="Calibri" w:hAnsi="Calibri" w:cs="Calibri"/>
                    <w:i/>
                  </w:rPr>
                  <m:t>tot</m:t>
                </m:r>
                <m:ctrlPr>
                  <w:rPr>
                    <w:rFonts w:ascii="Cambria Math" w:hAnsi="Cambria Math" w:cs="Calibri"/>
                    <w:i/>
                  </w:rPr>
                </m:ctrlPr>
              </m:sub>
            </m:sSub>
            <m:ctrlPr>
              <w:rPr>
                <w:rFonts w:ascii="Cambria Math" w:hAnsi="Cambria Math" w:cs="Calibri"/>
              </w:rPr>
            </m:ctrlPr>
          </m:num>
          <m:den>
            <m:r>
              <m:rPr>
                <m:nor/>
                <m:sty m:val="p"/>
              </m:rPr>
              <w:rPr>
                <w:rFonts w:ascii="Calibri" w:hAnsi="Calibri" w:cs="Calibri"/>
                <w:b w:val="0"/>
                <w:i w:val="0"/>
              </w:rPr>
              <m:t>1+</m:t>
            </m:r>
            <m:sSup>
              <m:sSupPr>
                <m:ctrlPr>
                  <w:rPr>
                    <w:rFonts w:ascii="Cambria Math" w:hAnsi="Cambria Math" w:cs="Calibri"/>
                    <w:i/>
                  </w:rPr>
                </m:ctrlPr>
              </m:sSupPr>
              <m:e>
                <m:r>
                  <m:rPr>
                    <m:nor/>
                  </m:rPr>
                  <w:rPr>
                    <w:rFonts w:ascii="Calibri" w:hAnsi="Calibri" w:cs="Calibri"/>
                    <w:i/>
                  </w:rPr>
                  <m:t>e</m:t>
                </m:r>
                <m:ctrlPr>
                  <w:rPr>
                    <w:rFonts w:ascii="Cambria Math" w:hAnsi="Cambria Math" w:cs="Calibri"/>
                    <w:i/>
                  </w:rPr>
                </m:ctrlPr>
              </m:e>
              <m:sup>
                <m:r>
                  <m:rPr>
                    <m:nor/>
                    <m:sty m:val="p"/>
                  </m:rPr>
                  <w:rPr>
                    <w:rFonts w:ascii="Calibri" w:hAnsi="Calibri" w:cs="Calibri"/>
                    <w:b w:val="0"/>
                    <w:i w:val="0"/>
                  </w:rPr>
                  <m:t>-s(t-</m:t>
                </m:r>
                <m:sSub>
                  <m:sSubPr>
                    <m:ctrlPr>
                      <w:rPr>
                        <w:rFonts w:ascii="Cambria Math" w:hAnsi="Cambria Math" w:cs="Calibri"/>
                      </w:rPr>
                    </m:ctrlPr>
                  </m:sSubPr>
                  <m:e>
                    <m:r>
                      <m:rPr>
                        <m:nor/>
                        <m:sty m:val="p"/>
                      </m:rPr>
                      <w:rPr>
                        <w:rFonts w:ascii="Calibri" w:hAnsi="Calibri" w:cs="Calibri"/>
                        <w:b w:val="0"/>
                        <w:i w:val="0"/>
                      </w:rPr>
                      <m:t>t</m:t>
                    </m:r>
                    <m:ctrlPr>
                      <w:rPr>
                        <w:rFonts w:ascii="Cambria Math" w:hAnsi="Cambria Math" w:cs="Calibri"/>
                      </w:rPr>
                    </m:ctrlPr>
                  </m:e>
                  <m:sub>
                    <m:r>
                      <m:rPr>
                        <m:nor/>
                        <m:sty m:val="p"/>
                      </m:rPr>
                      <w:rPr>
                        <w:rFonts w:ascii="Calibri" w:hAnsi="Calibri" w:cs="Calibri"/>
                        <w:b w:val="0"/>
                        <w:i w:val="0"/>
                      </w:rPr>
                      <m:t>0</m:t>
                    </m:r>
                    <m:ctrlPr>
                      <w:rPr>
                        <w:rFonts w:ascii="Cambria Math" w:hAnsi="Cambria Math" w:cs="Calibri"/>
                      </w:rPr>
                    </m:ctrlPr>
                  </m:sub>
                </m:sSub>
                <m:r>
                  <m:rPr>
                    <m:nor/>
                    <m:sty m:val="p"/>
                  </m:rPr>
                  <w:rPr>
                    <w:rFonts w:ascii="Calibri" w:hAnsi="Calibri" w:cs="Calibri"/>
                    <w:b w:val="0"/>
                    <w:i w:val="0"/>
                  </w:rPr>
                  <m:t>)</m:t>
                </m:r>
                <m:ctrlPr>
                  <w:rPr>
                    <w:rFonts w:ascii="Cambria Math" w:hAnsi="Cambria Math" w:cs="Calibri"/>
                    <w:i/>
                  </w:rPr>
                </m:ctrlPr>
              </m:sup>
            </m:sSup>
            <m:ctrlPr>
              <w:rPr>
                <w:rFonts w:ascii="Cambria Math" w:hAnsi="Cambria Math" w:cs="Calibri"/>
              </w:rPr>
            </m:ctrlPr>
          </m:den>
        </m:f>
      </m:oMath>
      <w:r>
        <w:rPr>
          <w:rFonts w:ascii="Calibri" w:hAnsi="Calibri" w:cs="Calibri"/>
        </w:rPr>
        <w:tab/>
      </w:r>
      <w:r>
        <w:rPr>
          <w:rFonts w:ascii="Calibri" w:hAnsi="Calibri" w:cs="Calibri"/>
        </w:rPr>
        <w:t>(S</w:t>
      </w:r>
      <w:r>
        <w:rPr>
          <w:rFonts w:hint="eastAsia" w:ascii="Calibri" w:hAnsi="Calibri" w:cs="Calibri"/>
          <w:lang w:val="en-US" w:eastAsia="zh-CN"/>
        </w:rPr>
        <w:t>5)</w:t>
      </w:r>
    </w:p>
    <w:p w14:paraId="273E8BC2">
      <w:pPr>
        <w:tabs>
          <w:tab w:val="center" w:pos="4200"/>
          <w:tab w:val="right" w:pos="8400"/>
        </w:tabs>
        <w:rPr>
          <w:rFonts w:ascii="Calibri" w:hAnsi="Calibri" w:cs="Calibri"/>
          <w:szCs w:val="21"/>
        </w:rPr>
      </w:pPr>
      <w:r>
        <w:rPr>
          <w:rFonts w:ascii="Calibri" w:hAnsi="Calibri" w:cs="Calibri"/>
          <w:sz w:val="24"/>
          <w:szCs w:val="24"/>
        </w:rPr>
        <w:tab/>
      </w:r>
      <m:oMath>
        <m:r>
          <m:rPr>
            <m:nor/>
          </m:rPr>
          <w:rPr>
            <w:rFonts w:ascii="Calibri" w:hAnsi="Calibri" w:cs="Calibri"/>
            <w:i/>
            <w:sz w:val="24"/>
            <w:szCs w:val="24"/>
          </w:rPr>
          <m:t>q</m:t>
        </m:r>
        <m:r>
          <m:rPr>
            <m:nor/>
            <m:sty m:val="p"/>
          </m:rPr>
          <w:rPr>
            <w:rFonts w:ascii="Calibri" w:hAnsi="Calibri" w:cs="Calibri"/>
            <w:b w:val="0"/>
            <w:i w:val="0"/>
            <w:sz w:val="24"/>
            <w:szCs w:val="24"/>
          </w:rPr>
          <m:t>(t)=</m:t>
        </m:r>
        <m:f>
          <m:fPr>
            <m:ctrlPr>
              <w:rPr>
                <w:rFonts w:ascii="Cambria Math" w:hAnsi="Cambria Math" w:cs="Calibri"/>
                <w:sz w:val="24"/>
                <w:szCs w:val="24"/>
              </w:rPr>
            </m:ctrlPr>
          </m:fPr>
          <m:num>
            <m:box>
              <m:boxPr>
                <m:diff m:val="1"/>
                <m:ctrlPr>
                  <w:rPr>
                    <w:rFonts w:ascii="Cambria Math" w:hAnsi="Cambria Math" w:cs="Calibri"/>
                    <w:sz w:val="24"/>
                    <w:szCs w:val="24"/>
                  </w:rPr>
                </m:ctrlPr>
              </m:boxPr>
              <m:e>
                <m:r>
                  <m:rPr>
                    <m:nor/>
                  </m:rPr>
                  <w:rPr>
                    <w:rFonts w:ascii="Calibri" w:hAnsi="Calibri" w:cs="Calibri"/>
                    <w:i/>
                    <w:sz w:val="24"/>
                    <w:szCs w:val="24"/>
                  </w:rPr>
                  <m:t>dQ</m:t>
                </m:r>
                <m:r>
                  <m:rPr>
                    <m:nor/>
                    <m:sty m:val="p"/>
                  </m:rPr>
                  <w:rPr>
                    <w:rFonts w:ascii="Calibri" w:hAnsi="Calibri" w:cs="Calibri"/>
                    <w:b w:val="0"/>
                    <w:i w:val="0"/>
                    <w:sz w:val="24"/>
                    <w:szCs w:val="24"/>
                  </w:rPr>
                  <m:t>(t)</m:t>
                </m:r>
                <m:ctrlPr>
                  <w:rPr>
                    <w:rFonts w:ascii="Cambria Math" w:hAnsi="Cambria Math" w:cs="Calibri"/>
                    <w:sz w:val="24"/>
                    <w:szCs w:val="24"/>
                  </w:rPr>
                </m:ctrlPr>
              </m:e>
            </m:box>
            <m:ctrlPr>
              <w:rPr>
                <w:rFonts w:ascii="Cambria Math" w:hAnsi="Cambria Math" w:cs="Calibri"/>
                <w:sz w:val="24"/>
                <w:szCs w:val="24"/>
              </w:rPr>
            </m:ctrlPr>
          </m:num>
          <m:den>
            <m:box>
              <m:boxPr>
                <m:diff m:val="1"/>
                <m:ctrlPr>
                  <w:rPr>
                    <w:rFonts w:ascii="Cambria Math" w:hAnsi="Cambria Math" w:cs="Calibri"/>
                    <w:sz w:val="24"/>
                    <w:szCs w:val="24"/>
                  </w:rPr>
                </m:ctrlPr>
              </m:boxPr>
              <m:e>
                <m:r>
                  <m:rPr>
                    <m:nor/>
                  </m:rPr>
                  <w:rPr>
                    <w:rFonts w:ascii="Calibri" w:hAnsi="Calibri" w:cs="Calibri"/>
                    <w:i/>
                    <w:sz w:val="24"/>
                    <w:szCs w:val="24"/>
                  </w:rPr>
                  <m:t>dt</m:t>
                </m:r>
                <m:ctrlPr>
                  <w:rPr>
                    <w:rFonts w:ascii="Cambria Math" w:hAnsi="Cambria Math" w:cs="Calibri"/>
                    <w:sz w:val="24"/>
                    <w:szCs w:val="24"/>
                  </w:rPr>
                </m:ctrlPr>
              </m:e>
            </m:box>
            <m:ctrlPr>
              <w:rPr>
                <w:rFonts w:ascii="Cambria Math" w:hAnsi="Cambria Math" w:cs="Calibri"/>
                <w:sz w:val="24"/>
                <w:szCs w:val="24"/>
              </w:rPr>
            </m:ctrlPr>
          </m:den>
        </m:f>
        <m:r>
          <m:rPr>
            <m:nor/>
            <m:sty m:val="p"/>
          </m:rPr>
          <w:rPr>
            <w:rFonts w:ascii="Calibri" w:hAnsi="Calibri" w:cs="Calibri"/>
            <w:b w:val="0"/>
            <w:i w:val="0"/>
            <w:sz w:val="24"/>
            <w:szCs w:val="24"/>
          </w:rPr>
          <m:t>=</m:t>
        </m:r>
        <m:f>
          <m:fPr>
            <m:ctrlPr>
              <w:rPr>
                <w:rFonts w:ascii="Cambria Math" w:hAnsi="Cambria Math" w:cs="Calibri"/>
                <w:sz w:val="24"/>
                <w:szCs w:val="24"/>
              </w:rPr>
            </m:ctrlPr>
          </m:fPr>
          <m:num>
            <m:r>
              <m:rPr>
                <m:nor/>
                <m:sty m:val="p"/>
              </m:rPr>
              <w:rPr>
                <w:rFonts w:ascii="Calibri" w:hAnsi="Calibri" w:cs="Calibri"/>
                <w:b w:val="0"/>
                <w:i w:val="0"/>
                <w:sz w:val="24"/>
                <w:szCs w:val="24"/>
              </w:rPr>
              <m:t>s</m:t>
            </m:r>
            <m:sSub>
              <m:sSubPr>
                <m:ctrlPr>
                  <w:rPr>
                    <w:rFonts w:ascii="Cambria Math" w:hAnsi="Cambria Math" w:cs="Calibri"/>
                    <w:i/>
                  </w:rPr>
                </m:ctrlPr>
              </m:sSubPr>
              <m:e>
                <m:r>
                  <m:rPr>
                    <m:nor/>
                  </m:rPr>
                  <w:rPr>
                    <w:rFonts w:ascii="Calibri" w:hAnsi="Calibri" w:cs="Calibri"/>
                    <w:i/>
                  </w:rPr>
                  <m:t>Q</m:t>
                </m:r>
                <m:ctrlPr>
                  <w:rPr>
                    <w:rFonts w:ascii="Cambria Math" w:hAnsi="Cambria Math" w:cs="Calibri"/>
                    <w:i/>
                  </w:rPr>
                </m:ctrlPr>
              </m:e>
              <m:sub>
                <m:r>
                  <m:rPr>
                    <m:nor/>
                  </m:rPr>
                  <w:rPr>
                    <w:rFonts w:ascii="Calibri" w:hAnsi="Calibri" w:cs="Calibri"/>
                    <w:i/>
                  </w:rPr>
                  <m:t>tot</m:t>
                </m:r>
                <m:ctrlPr>
                  <w:rPr>
                    <w:rFonts w:ascii="Cambria Math" w:hAnsi="Cambria Math" w:cs="Calibri"/>
                    <w:i/>
                  </w:rPr>
                </m:ctrlPr>
              </m:sub>
            </m:sSub>
            <m:sSup>
              <m:sSupPr>
                <m:ctrlPr>
                  <w:rPr>
                    <w:rFonts w:ascii="Cambria Math" w:hAnsi="Cambria Math" w:cs="Calibri"/>
                    <w:i/>
                  </w:rPr>
                </m:ctrlPr>
              </m:sSupPr>
              <m:e>
                <m:r>
                  <m:rPr>
                    <m:nor/>
                  </m:rPr>
                  <w:rPr>
                    <w:rFonts w:ascii="Calibri" w:hAnsi="Calibri" w:cs="Calibri"/>
                    <w:i/>
                  </w:rPr>
                  <m:t>e</m:t>
                </m:r>
                <m:ctrlPr>
                  <w:rPr>
                    <w:rFonts w:ascii="Cambria Math" w:hAnsi="Cambria Math" w:cs="Calibri"/>
                    <w:i/>
                  </w:rPr>
                </m:ctrlPr>
              </m:e>
              <m:sup>
                <m:r>
                  <m:rPr>
                    <m:nor/>
                    <m:sty m:val="p"/>
                  </m:rPr>
                  <w:rPr>
                    <w:rFonts w:ascii="Calibri" w:hAnsi="Calibri" w:cs="Calibri"/>
                    <w:b w:val="0"/>
                    <w:i w:val="0"/>
                  </w:rPr>
                  <m:t>-s(t-</m:t>
                </m:r>
                <m:sSub>
                  <m:sSubPr>
                    <m:ctrlPr>
                      <w:rPr>
                        <w:rFonts w:ascii="Cambria Math" w:hAnsi="Cambria Math" w:cs="Calibri"/>
                      </w:rPr>
                    </m:ctrlPr>
                  </m:sSubPr>
                  <m:e>
                    <m:r>
                      <m:rPr>
                        <m:nor/>
                        <m:sty m:val="p"/>
                      </m:rPr>
                      <w:rPr>
                        <w:rFonts w:ascii="Calibri" w:hAnsi="Calibri" w:cs="Calibri"/>
                        <w:b w:val="0"/>
                        <w:i w:val="0"/>
                      </w:rPr>
                      <m:t>t</m:t>
                    </m:r>
                    <m:ctrlPr>
                      <w:rPr>
                        <w:rFonts w:ascii="Cambria Math" w:hAnsi="Cambria Math" w:cs="Calibri"/>
                      </w:rPr>
                    </m:ctrlPr>
                  </m:e>
                  <m:sub>
                    <m:r>
                      <m:rPr>
                        <m:nor/>
                        <m:sty m:val="p"/>
                      </m:rPr>
                      <w:rPr>
                        <w:rFonts w:ascii="Calibri" w:hAnsi="Calibri" w:cs="Calibri"/>
                        <w:b w:val="0"/>
                        <w:i w:val="0"/>
                      </w:rPr>
                      <m:t>0</m:t>
                    </m:r>
                    <m:ctrlPr>
                      <w:rPr>
                        <w:rFonts w:ascii="Cambria Math" w:hAnsi="Cambria Math" w:cs="Calibri"/>
                      </w:rPr>
                    </m:ctrlPr>
                  </m:sub>
                </m:sSub>
                <m:r>
                  <m:rPr>
                    <m:nor/>
                    <m:sty m:val="p"/>
                  </m:rPr>
                  <w:rPr>
                    <w:rFonts w:ascii="Calibri" w:hAnsi="Calibri" w:cs="Calibri"/>
                    <w:b w:val="0"/>
                    <w:i w:val="0"/>
                  </w:rPr>
                  <m:t>)</m:t>
                </m:r>
                <m:ctrlPr>
                  <w:rPr>
                    <w:rFonts w:ascii="Cambria Math" w:hAnsi="Cambria Math" w:cs="Calibri"/>
                    <w:i/>
                  </w:rPr>
                </m:ctrlPr>
              </m:sup>
            </m:sSup>
            <m:ctrlPr>
              <w:rPr>
                <w:rFonts w:ascii="Cambria Math" w:hAnsi="Cambria Math" w:cs="Calibri"/>
                <w:sz w:val="24"/>
                <w:szCs w:val="24"/>
              </w:rPr>
            </m:ctrlPr>
          </m:num>
          <m:den>
            <m:sSup>
              <m:sSupPr>
                <m:ctrlPr>
                  <w:rPr>
                    <w:rFonts w:ascii="Cambria Math" w:hAnsi="Cambria Math" w:cs="Calibri"/>
                    <w:i/>
                  </w:rPr>
                </m:ctrlPr>
              </m:sSupPr>
              <m:e>
                <m:r>
                  <m:rPr>
                    <m:nor/>
                    <m:sty m:val="p"/>
                  </m:rPr>
                  <w:rPr>
                    <w:rFonts w:ascii="Calibri" w:hAnsi="Calibri" w:cs="Calibri"/>
                    <w:b w:val="0"/>
                    <w:i w:val="0"/>
                    <w:sz w:val="24"/>
                    <w:szCs w:val="24"/>
                  </w:rPr>
                  <m:t>(1+</m:t>
                </m:r>
                <m:sSup>
                  <m:sSupPr>
                    <m:ctrlPr>
                      <w:rPr>
                        <w:rFonts w:ascii="Cambria Math" w:hAnsi="Cambria Math" w:cs="Calibri"/>
                        <w:i/>
                      </w:rPr>
                    </m:ctrlPr>
                  </m:sSupPr>
                  <m:e>
                    <m:r>
                      <m:rPr>
                        <m:nor/>
                      </m:rPr>
                      <w:rPr>
                        <w:rFonts w:ascii="Calibri" w:hAnsi="Calibri" w:cs="Calibri"/>
                        <w:i/>
                      </w:rPr>
                      <m:t>e</m:t>
                    </m:r>
                    <m:ctrlPr>
                      <w:rPr>
                        <w:rFonts w:ascii="Cambria Math" w:hAnsi="Cambria Math" w:cs="Calibri"/>
                        <w:i/>
                      </w:rPr>
                    </m:ctrlPr>
                  </m:e>
                  <m:sup>
                    <m:r>
                      <m:rPr>
                        <m:nor/>
                        <m:sty m:val="p"/>
                      </m:rPr>
                      <w:rPr>
                        <w:rFonts w:ascii="Calibri" w:hAnsi="Calibri" w:cs="Calibri"/>
                        <w:b w:val="0"/>
                        <w:i w:val="0"/>
                      </w:rPr>
                      <m:t>-s(t-</m:t>
                    </m:r>
                    <m:sSub>
                      <m:sSubPr>
                        <m:ctrlPr>
                          <w:rPr>
                            <w:rFonts w:ascii="Cambria Math" w:hAnsi="Cambria Math" w:cs="Calibri"/>
                          </w:rPr>
                        </m:ctrlPr>
                      </m:sSubPr>
                      <m:e>
                        <m:r>
                          <m:rPr>
                            <m:nor/>
                            <m:sty m:val="p"/>
                          </m:rPr>
                          <w:rPr>
                            <w:rFonts w:ascii="Calibri" w:hAnsi="Calibri" w:cs="Calibri"/>
                            <w:b w:val="0"/>
                            <w:i w:val="0"/>
                          </w:rPr>
                          <m:t>t</m:t>
                        </m:r>
                        <m:ctrlPr>
                          <w:rPr>
                            <w:rFonts w:ascii="Cambria Math" w:hAnsi="Cambria Math" w:cs="Calibri"/>
                          </w:rPr>
                        </m:ctrlPr>
                      </m:e>
                      <m:sub>
                        <m:r>
                          <m:rPr>
                            <m:nor/>
                            <m:sty m:val="p"/>
                          </m:rPr>
                          <w:rPr>
                            <w:rFonts w:ascii="Calibri" w:hAnsi="Calibri" w:cs="Calibri"/>
                            <w:b w:val="0"/>
                            <w:i w:val="0"/>
                          </w:rPr>
                          <m:t>0</m:t>
                        </m:r>
                        <m:ctrlPr>
                          <w:rPr>
                            <w:rFonts w:ascii="Cambria Math" w:hAnsi="Cambria Math" w:cs="Calibri"/>
                          </w:rPr>
                        </m:ctrlPr>
                      </m:sub>
                    </m:sSub>
                    <m:r>
                      <m:rPr>
                        <m:nor/>
                        <m:sty m:val="p"/>
                      </m:rPr>
                      <w:rPr>
                        <w:rFonts w:ascii="Calibri" w:hAnsi="Calibri" w:cs="Calibri"/>
                        <w:b w:val="0"/>
                        <w:i w:val="0"/>
                      </w:rPr>
                      <m:t>)</m:t>
                    </m:r>
                    <m:ctrlPr>
                      <w:rPr>
                        <w:rFonts w:ascii="Cambria Math" w:hAnsi="Cambria Math" w:cs="Calibri"/>
                        <w:i/>
                      </w:rPr>
                    </m:ctrlPr>
                  </m:sup>
                </m:sSup>
                <m:r>
                  <m:rPr>
                    <m:nor/>
                    <m:sty m:val="p"/>
                  </m:rPr>
                  <w:rPr>
                    <w:rFonts w:ascii="Calibri" w:hAnsi="Calibri" w:cs="Calibri"/>
                    <w:b w:val="0"/>
                    <w:i w:val="0"/>
                  </w:rPr>
                  <m:t>)</m:t>
                </m:r>
                <m:ctrlPr>
                  <w:rPr>
                    <w:rFonts w:ascii="Cambria Math" w:hAnsi="Cambria Math" w:cs="Calibri"/>
                    <w:i/>
                  </w:rPr>
                </m:ctrlPr>
              </m:e>
              <m:sup>
                <m:r>
                  <m:rPr>
                    <m:nor/>
                    <m:sty m:val="p"/>
                  </m:rPr>
                  <w:rPr>
                    <w:rFonts w:ascii="Calibri" w:hAnsi="Calibri" w:cs="Calibri"/>
                    <w:b w:val="0"/>
                    <w:i w:val="0"/>
                  </w:rPr>
                  <m:t>2</m:t>
                </m:r>
                <m:ctrlPr>
                  <w:rPr>
                    <w:rFonts w:ascii="Cambria Math" w:hAnsi="Cambria Math" w:cs="Calibri"/>
                    <w:i/>
                  </w:rPr>
                </m:ctrlPr>
              </m:sup>
            </m:sSup>
            <m:ctrlPr>
              <w:rPr>
                <w:rFonts w:ascii="Cambria Math" w:hAnsi="Cambria Math" w:cs="Calibri"/>
                <w:sz w:val="24"/>
                <w:szCs w:val="24"/>
              </w:rPr>
            </m:ctrlPr>
          </m:den>
        </m:f>
      </m:oMath>
      <w:r>
        <w:rPr>
          <w:rFonts w:ascii="Calibri" w:hAnsi="Calibri" w:cs="Calibri"/>
          <w:sz w:val="24"/>
          <w:szCs w:val="24"/>
        </w:rPr>
        <w:tab/>
      </w:r>
      <w:r>
        <w:rPr>
          <w:rFonts w:ascii="Calibri" w:hAnsi="Calibri" w:cs="Calibri"/>
          <w:szCs w:val="21"/>
        </w:rPr>
        <w:t>(S</w:t>
      </w:r>
      <w:r>
        <w:rPr>
          <w:rFonts w:hint="eastAsia" w:ascii="Calibri" w:hAnsi="Calibri" w:cs="Calibri"/>
          <w:szCs w:val="21"/>
          <w:lang w:val="en-US" w:eastAsia="zh-CN"/>
        </w:rPr>
        <w:t>6</w:t>
      </w:r>
      <w:r>
        <w:rPr>
          <w:rFonts w:ascii="Calibri" w:hAnsi="Calibri" w:cs="Calibri"/>
          <w:szCs w:val="21"/>
        </w:rPr>
        <w:t>)</w:t>
      </w:r>
    </w:p>
    <w:p w14:paraId="258448DA">
      <w:pPr>
        <w:rPr>
          <w:rFonts w:ascii="Calibri" w:hAnsi="Calibri" w:cs="Calibri"/>
        </w:rPr>
      </w:pPr>
      <w:r>
        <w:rPr>
          <w:rFonts w:ascii="Calibri" w:hAnsi="Calibri" w:cs="Calibri"/>
        </w:rPr>
        <w:t xml:space="preserve">where </w:t>
      </w:r>
      <m:oMath>
        <m:sSub>
          <m:sSubPr>
            <m:ctrlPr>
              <w:rPr>
                <w:rFonts w:ascii="Cambria Math" w:hAnsi="Cambria Math" w:cs="Calibri"/>
              </w:rPr>
            </m:ctrlPr>
          </m:sSubPr>
          <m:e>
            <m:r>
              <m:rPr>
                <m:nor/>
                <m:sty m:val="p"/>
              </m:rPr>
              <w:rPr>
                <w:rFonts w:ascii="Calibri" w:hAnsi="Calibri" w:cs="Calibri"/>
                <w:b w:val="0"/>
                <w:i w:val="0"/>
              </w:rPr>
              <m:t>t</m:t>
            </m:r>
            <m:ctrlPr>
              <w:rPr>
                <w:rFonts w:ascii="Cambria Math" w:hAnsi="Cambria Math" w:cs="Calibri"/>
              </w:rPr>
            </m:ctrlPr>
          </m:e>
          <m:sub>
            <m:r>
              <m:rPr>
                <m:nor/>
                <m:sty m:val="p"/>
              </m:rPr>
              <w:rPr>
                <w:rFonts w:ascii="Calibri" w:hAnsi="Calibri" w:cs="Calibri"/>
                <w:b w:val="0"/>
                <w:i w:val="0"/>
              </w:rPr>
              <m:t>0</m:t>
            </m:r>
            <m:ctrlPr>
              <w:rPr>
                <w:rFonts w:ascii="Cambria Math" w:hAnsi="Cambria Math" w:cs="Calibri"/>
              </w:rPr>
            </m:ctrlPr>
          </m:sub>
        </m:sSub>
      </m:oMath>
      <w:r>
        <w:rPr>
          <w:rFonts w:ascii="Calibri" w:hAnsi="Calibri" w:cs="Calibri"/>
        </w:rPr>
        <w:t xml:space="preserve"> refers to the year corresponding to the peak output. Equations (S</w:t>
      </w:r>
      <w:r>
        <w:rPr>
          <w:rFonts w:hint="eastAsia" w:ascii="Calibri" w:hAnsi="Calibri" w:cs="Calibri"/>
          <w:lang w:val="en-US" w:eastAsia="zh-CN"/>
        </w:rPr>
        <w:t>5</w:t>
      </w:r>
      <w:r>
        <w:rPr>
          <w:rFonts w:ascii="Calibri" w:hAnsi="Calibri" w:cs="Calibri"/>
        </w:rPr>
        <w:t>) and (S</w:t>
      </w:r>
      <w:r>
        <w:rPr>
          <w:rFonts w:hint="eastAsia" w:ascii="Calibri" w:hAnsi="Calibri" w:cs="Calibri"/>
          <w:lang w:val="en-US" w:eastAsia="zh-CN"/>
        </w:rPr>
        <w:t>6</w:t>
      </w:r>
      <w:r>
        <w:rPr>
          <w:rFonts w:ascii="Calibri" w:hAnsi="Calibri" w:cs="Calibri"/>
        </w:rPr>
        <w:t>) jointly describe the temporal evolution of primary iron ore extraction, forming the basic framework of the modified model.</w:t>
      </w:r>
    </w:p>
    <w:p w14:paraId="5EEB8F96">
      <w:pPr>
        <w:ind w:firstLine="420"/>
        <w:rPr>
          <w:rFonts w:ascii="Calibri" w:hAnsi="Calibri" w:cs="Calibri"/>
        </w:rPr>
      </w:pPr>
      <w:r>
        <w:rPr>
          <w:rFonts w:ascii="Calibri" w:hAnsi="Calibri" w:cs="Calibri"/>
        </w:rPr>
        <w:t>The annual and cumulative demand for steel resources can be calculated using Equation (S</w:t>
      </w:r>
      <w:r>
        <w:rPr>
          <w:rFonts w:hint="eastAsia" w:ascii="Calibri" w:hAnsi="Calibri" w:cs="Calibri"/>
          <w:lang w:val="en-US" w:eastAsia="zh-CN"/>
        </w:rPr>
        <w:t>4</w:t>
      </w:r>
      <w:r>
        <w:rPr>
          <w:rFonts w:ascii="Calibri" w:hAnsi="Calibri" w:cs="Calibri"/>
        </w:rPr>
        <w:t>) and the following three equations:</w:t>
      </w:r>
    </w:p>
    <w:p w14:paraId="0DF056C5">
      <w:pPr>
        <w:tabs>
          <w:tab w:val="center" w:pos="4200"/>
          <w:tab w:val="right" w:pos="8400"/>
        </w:tabs>
        <w:rPr>
          <w:rFonts w:ascii="Calibri" w:hAnsi="Calibri" w:cs="Calibri"/>
        </w:rPr>
      </w:pPr>
      <w:r>
        <w:rPr>
          <w:rFonts w:ascii="Calibri" w:hAnsi="Calibri" w:cs="Calibri"/>
        </w:rPr>
        <w:tab/>
      </w:r>
      <m:oMath>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e>
          <m:sub>
            <m:r>
              <m:rPr>
                <m:nor/>
              </m:rPr>
              <w:rPr>
                <w:rFonts w:ascii="Calibri" w:hAnsi="Calibri" w:cs="Calibri"/>
                <w:i/>
              </w:rPr>
              <m:t>η</m:t>
            </m:r>
            <m:ctrlPr>
              <w:rPr>
                <w:rFonts w:ascii="Cambria Math" w:hAnsi="Cambria Math" w:cs="Calibri"/>
                <w:i/>
              </w:rPr>
            </m:ctrlPr>
          </m:sub>
        </m:sSub>
        <m:r>
          <m:rPr>
            <m:nor/>
            <m:sty m:val="p"/>
          </m:rPr>
          <w:rPr>
            <w:rFonts w:ascii="Calibri" w:hAnsi="Calibri" w:cs="Calibri"/>
            <w:b w:val="0"/>
            <w:i w:val="0"/>
          </w:rPr>
          <m:t>=</m:t>
        </m:r>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r>
          <m:rPr>
            <m:nor/>
            <m:sty m:val="p"/>
          </m:rPr>
          <w:rPr>
            <w:rFonts w:ascii="Calibri" w:hAnsi="Calibri" w:cs="Calibri"/>
            <w:b w:val="0"/>
            <w:i w:val="0"/>
          </w:rPr>
          <m:t>-</m:t>
        </m:r>
        <m:r>
          <m:rPr>
            <m:nor/>
          </m:rPr>
          <w:rPr>
            <w:rFonts w:ascii="Calibri" w:hAnsi="Calibri" w:cs="Calibri"/>
            <w:i/>
          </w:rPr>
          <m:t>η</m:t>
        </m:r>
        <m:r>
          <m:rPr>
            <m:nor/>
            <m:sty m:val="p"/>
          </m:rPr>
          <w:rPr>
            <w:rFonts w:ascii="Calibri" w:hAnsi="Calibri" w:cs="Calibri"/>
            <w:b w:val="0"/>
            <w:i w:val="0"/>
          </w:rPr>
          <m:t>×</m:t>
        </m:r>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r>
              <m:rPr>
                <m:nor/>
              </m:rPr>
              <w:rPr>
                <w:rFonts w:ascii="Calibri" w:hAnsi="Calibri" w:cs="Calibri"/>
                <w:i/>
              </w:rPr>
              <m:t>L</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oMath>
      <w:r>
        <w:rPr>
          <w:rFonts w:ascii="Calibri" w:hAnsi="Calibri" w:cs="Calibri"/>
        </w:rPr>
        <w:tab/>
      </w:r>
      <w:r>
        <w:rPr>
          <w:rFonts w:ascii="Calibri" w:hAnsi="Calibri" w:cs="Calibri"/>
        </w:rPr>
        <w:t>(S</w:t>
      </w:r>
      <w:r>
        <w:rPr>
          <w:rFonts w:hint="eastAsia" w:ascii="Calibri" w:hAnsi="Calibri" w:cs="Calibri"/>
          <w:lang w:val="en-US" w:eastAsia="zh-CN"/>
        </w:rPr>
        <w:t>7</w:t>
      </w:r>
      <w:r>
        <w:rPr>
          <w:rFonts w:ascii="Calibri" w:hAnsi="Calibri" w:cs="Calibri"/>
        </w:rPr>
        <w:t>)</w:t>
      </w:r>
    </w:p>
    <w:p w14:paraId="583D7EE9">
      <w:pPr>
        <w:tabs>
          <w:tab w:val="center" w:pos="4200"/>
          <w:tab w:val="right" w:pos="8400"/>
        </w:tabs>
        <w:ind w:firstLine="480"/>
        <w:rPr>
          <w:rFonts w:ascii="Calibri" w:hAnsi="Calibri" w:cs="Calibri"/>
        </w:rPr>
      </w:pPr>
      <w:r>
        <w:rPr>
          <w:rFonts w:ascii="Calibri" w:hAnsi="Calibri" w:cs="Calibri"/>
        </w:rPr>
        <w:tab/>
      </w:r>
      <m:oMath>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r>
              <m:rPr>
                <m:nor/>
              </m:rPr>
              <w:rPr>
                <w:rFonts w:ascii="Calibri" w:hAnsi="Calibri" w:cs="Calibri"/>
                <w:i/>
              </w:rPr>
              <m:t>L</m:t>
            </m:r>
            <m:r>
              <m:rPr>
                <m:nor/>
                <m:sty m:val="p"/>
              </m:rPr>
              <w:rPr>
                <w:rFonts w:ascii="Calibri" w:hAnsi="Calibri" w:cs="Calibri"/>
                <w:b w:val="0"/>
                <w:i w:val="0"/>
              </w:rPr>
              <m:t>)</m:t>
            </m:r>
            <m:ctrlPr>
              <w:rPr>
                <w:rFonts w:ascii="Cambria Math" w:hAnsi="Cambria Math" w:cs="Calibri"/>
                <w:i/>
              </w:rPr>
            </m:ctrlPr>
          </m:e>
          <m:sub>
            <m:r>
              <m:rPr>
                <m:nor/>
              </m:rPr>
              <w:rPr>
                <w:rFonts w:ascii="Calibri" w:hAnsi="Calibri" w:cs="Calibri"/>
                <w:i/>
              </w:rPr>
              <m:t>η</m:t>
            </m:r>
            <m:ctrlPr>
              <w:rPr>
                <w:rFonts w:ascii="Cambria Math" w:hAnsi="Cambria Math" w:cs="Calibri"/>
                <w:i/>
              </w:rPr>
            </m:ctrlPr>
          </m:sub>
        </m:sSub>
        <m:r>
          <m:rPr>
            <m:nor/>
            <m:sty m:val="p"/>
          </m:rPr>
          <w:rPr>
            <w:rFonts w:ascii="Calibri" w:hAnsi="Calibri" w:cs="Calibri"/>
            <w:b w:val="0"/>
            <w:i w:val="0"/>
          </w:rPr>
          <m:t>=</m:t>
        </m:r>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r>
              <m:rPr>
                <m:nor/>
              </m:rPr>
              <w:rPr>
                <w:rFonts w:ascii="Calibri" w:hAnsi="Calibri" w:cs="Calibri"/>
                <w:i/>
              </w:rPr>
              <m:t>L</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r>
          <m:rPr>
            <m:nor/>
            <m:sty m:val="p"/>
          </m:rPr>
          <w:rPr>
            <w:rFonts w:ascii="Calibri" w:hAnsi="Calibri" w:cs="Calibri"/>
            <w:b w:val="0"/>
            <w:i w:val="0"/>
          </w:rPr>
          <m:t>-</m:t>
        </m:r>
        <m:r>
          <m:rPr>
            <m:nor/>
          </m:rPr>
          <w:rPr>
            <w:rFonts w:ascii="Calibri" w:hAnsi="Calibri" w:cs="Calibri"/>
            <w:i/>
          </w:rPr>
          <m:t>η</m:t>
        </m:r>
        <m:r>
          <m:rPr>
            <m:nor/>
            <m:sty m:val="p"/>
          </m:rPr>
          <w:rPr>
            <w:rFonts w:ascii="Calibri" w:hAnsi="Calibri" w:cs="Calibri"/>
            <w:b w:val="0"/>
            <w:i w:val="0"/>
          </w:rPr>
          <m:t>×</m:t>
        </m:r>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oMath>
      <w:r>
        <w:rPr>
          <w:rFonts w:ascii="Calibri" w:hAnsi="Calibri" w:cs="Calibri"/>
        </w:rPr>
        <w:tab/>
      </w:r>
      <w:r>
        <w:rPr>
          <w:rFonts w:ascii="Calibri" w:hAnsi="Calibri" w:cs="Calibri"/>
        </w:rPr>
        <w:t>(S</w:t>
      </w:r>
      <w:r>
        <w:rPr>
          <w:rFonts w:hint="eastAsia" w:ascii="Calibri" w:hAnsi="Calibri" w:cs="Calibri"/>
          <w:lang w:val="en-US" w:eastAsia="zh-CN"/>
        </w:rPr>
        <w:t>8</w:t>
      </w:r>
      <w:r>
        <w:rPr>
          <w:rFonts w:ascii="Calibri" w:hAnsi="Calibri" w:cs="Calibri"/>
        </w:rPr>
        <w:t>)</w:t>
      </w:r>
    </w:p>
    <w:p w14:paraId="4A3A8517">
      <w:pPr>
        <w:tabs>
          <w:tab w:val="center" w:pos="4200"/>
          <w:tab w:val="right" w:pos="8400"/>
        </w:tabs>
        <w:ind w:firstLine="480"/>
        <w:rPr>
          <w:rFonts w:ascii="Calibri" w:hAnsi="Calibri" w:cs="Calibri"/>
        </w:rPr>
      </w:pPr>
      <w:r>
        <w:rPr>
          <w:rFonts w:ascii="Calibri" w:hAnsi="Calibri" w:cs="Calibri"/>
        </w:rPr>
        <w:tab/>
      </w:r>
      <m:oMath>
        <m:r>
          <m:rPr>
            <m:nor/>
            <m:sty m:val="p"/>
          </m:rPr>
          <w:rPr>
            <w:rFonts w:ascii="Calibri" w:hAnsi="Calibri" w:cs="Calibri"/>
            <w:b w:val="0"/>
            <w:i w:val="0"/>
          </w:rPr>
          <m:t>Q(t)=Q(t-1)+</m:t>
        </m:r>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e>
          <m:sub>
            <m:r>
              <m:rPr>
                <m:nor/>
              </m:rPr>
              <w:rPr>
                <w:rFonts w:ascii="Calibri" w:hAnsi="Calibri" w:cs="Calibri"/>
                <w:i/>
              </w:rPr>
              <m:t>η</m:t>
            </m:r>
            <m:ctrlPr>
              <w:rPr>
                <w:rFonts w:ascii="Cambria Math" w:hAnsi="Cambria Math" w:cs="Calibri"/>
                <w:i/>
              </w:rPr>
            </m:ctrlPr>
          </m:sub>
        </m:sSub>
        <m:r>
          <m:rPr>
            <m:nor/>
            <m:sty m:val="p"/>
          </m:rPr>
          <w:rPr>
            <w:rFonts w:ascii="Calibri" w:hAnsi="Calibri" w:cs="Calibri"/>
            <w:b w:val="0"/>
            <w:i w:val="0"/>
          </w:rPr>
          <m:t>=</m:t>
        </m:r>
        <m:nary>
          <m:naryPr>
            <m:limLoc m:val="undOvr"/>
            <m:subHide m:val="1"/>
            <m:supHide m:val="1"/>
            <m:ctrlPr>
              <w:rPr>
                <w:rFonts w:ascii="Cambria Math" w:hAnsi="Cambria Math" w:cs="Calibri"/>
                <w:i/>
              </w:rPr>
            </m:ctrlPr>
          </m:naryPr>
          <m:sub>
            <m:ctrlPr>
              <w:rPr>
                <w:rFonts w:ascii="Cambria Math" w:hAnsi="Cambria Math" w:cs="Calibri"/>
                <w:i/>
              </w:rPr>
            </m:ctrlPr>
          </m:sub>
          <m:sup>
            <m:ctrlPr>
              <w:rPr>
                <w:rFonts w:ascii="Cambria Math" w:hAnsi="Cambria Math" w:cs="Calibri"/>
                <w:i/>
              </w:rPr>
            </m:ctrlPr>
          </m:sup>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box>
              <m:boxPr>
                <m:diff m:val="1"/>
                <m:ctrlPr>
                  <w:rPr>
                    <w:rFonts w:ascii="Cambria Math" w:hAnsi="Cambria Math" w:cs="Calibri"/>
                    <w:i/>
                  </w:rPr>
                </m:ctrlPr>
              </m:boxPr>
              <m:e>
                <m:r>
                  <m:rPr>
                    <m:nor/>
                  </m:rPr>
                  <w:rPr>
                    <w:rFonts w:ascii="Calibri" w:hAnsi="Calibri" w:cs="Calibri"/>
                    <w:i/>
                  </w:rPr>
                  <m:t>dt</m:t>
                </m:r>
                <m:ctrlPr>
                  <w:rPr>
                    <w:rFonts w:ascii="Cambria Math" w:hAnsi="Cambria Math" w:cs="Calibri"/>
                    <w:i/>
                  </w:rPr>
                </m:ctrlPr>
              </m:e>
            </m:box>
            <m:ctrlPr>
              <w:rPr>
                <w:rFonts w:ascii="Cambria Math" w:hAnsi="Cambria Math" w:cs="Calibri"/>
                <w:i/>
              </w:rPr>
            </m:ctrlPr>
          </m:e>
        </m:nary>
      </m:oMath>
      <w:r>
        <w:rPr>
          <w:rFonts w:ascii="Calibri" w:hAnsi="Calibri" w:cs="Calibri"/>
        </w:rPr>
        <w:tab/>
      </w:r>
      <w:r>
        <w:rPr>
          <w:rFonts w:ascii="Calibri" w:hAnsi="Calibri" w:cs="Calibri"/>
        </w:rPr>
        <w:t>(S</w:t>
      </w:r>
      <w:r>
        <w:rPr>
          <w:rFonts w:hint="eastAsia" w:ascii="Calibri" w:hAnsi="Calibri" w:cs="Calibri"/>
          <w:lang w:val="en-US" w:eastAsia="zh-CN"/>
        </w:rPr>
        <w:t>9</w:t>
      </w:r>
      <w:r>
        <w:rPr>
          <w:rFonts w:ascii="Calibri" w:hAnsi="Calibri" w:cs="Calibri"/>
        </w:rPr>
        <w:t>)</w:t>
      </w:r>
    </w:p>
    <w:p w14:paraId="42109208">
      <w:pPr>
        <w:tabs>
          <w:tab w:val="center" w:pos="4200"/>
          <w:tab w:val="right" w:pos="8400"/>
        </w:tabs>
        <w:rPr>
          <w:rFonts w:ascii="Calibri" w:hAnsi="Calibri" w:cs="Calibri"/>
        </w:rPr>
      </w:pPr>
      <w:r>
        <w:rPr>
          <w:rFonts w:ascii="Calibri" w:hAnsi="Calibri" w:cs="Calibri"/>
        </w:rPr>
        <w:t xml:space="preserve">where </w:t>
      </w:r>
      <m:oMath>
        <m:r>
          <m:rPr>
            <m:nor/>
          </m:rPr>
          <w:rPr>
            <w:rFonts w:ascii="Calibri" w:hAnsi="Calibri" w:cs="Calibri"/>
            <w:i/>
          </w:rPr>
          <m:t>η</m:t>
        </m:r>
      </m:oMath>
      <w:r>
        <w:rPr>
          <w:rFonts w:ascii="Calibri" w:hAnsi="Calibri" w:cs="Calibri"/>
        </w:rPr>
        <w:t xml:space="preserve"> is the scrap steel recycling rate (%), defined as the ratio of scrap steel recovery volume to steel output in the same period; </w:t>
      </w:r>
      <m:oMath>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oMath>
      <w:r>
        <w:rPr>
          <w:rFonts w:ascii="Calibri" w:hAnsi="Calibri" w:cs="Calibri"/>
        </w:rPr>
        <w:t xml:space="preserve"> is the annual net total steel demand at time t (tons); </w:t>
      </w:r>
      <m:oMath>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oMath>
      <w:r>
        <w:rPr>
          <w:rFonts w:ascii="Calibri" w:hAnsi="Calibri" w:cs="Calibri"/>
        </w:rPr>
        <w:t xml:space="preserve"> is the annual total steel demand at time t under a zero</w:t>
      </w:r>
      <w:r>
        <w:rPr>
          <w:rFonts w:hint="eastAsia" w:ascii="MS Gothic" w:hAnsi="MS Gothic" w:eastAsia="MS Gothic" w:cs="MS Gothic"/>
        </w:rPr>
        <w:t>‑</w:t>
      </w:r>
      <w:r>
        <w:rPr>
          <w:rFonts w:ascii="Calibri" w:hAnsi="Calibri" w:cs="Calibri"/>
        </w:rPr>
        <w:t xml:space="preserve">recycling scenario (tons); </w:t>
      </w:r>
      <w:r>
        <w:rPr>
          <w:rFonts w:ascii="Calibri" w:hAnsi="Calibri" w:cs="Calibri"/>
          <w:i/>
          <w:iCs/>
        </w:rPr>
        <w:t>L</w:t>
      </w:r>
      <w:r>
        <w:rPr>
          <w:rFonts w:ascii="Calibri" w:hAnsi="Calibri" w:cs="Calibri"/>
        </w:rPr>
        <w:t xml:space="preserve"> denotes the service life of steel products (years);</w:t>
      </w:r>
      <m:oMath>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r>
              <m:rPr>
                <m:nor/>
              </m:rPr>
              <w:rPr>
                <w:rFonts w:ascii="Calibri" w:hAnsi="Calibri" w:cs="Calibri"/>
                <w:i/>
              </w:rPr>
              <m:t>L</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oMath>
      <w:r>
        <w:rPr>
          <w:rFonts w:ascii="Calibri" w:hAnsi="Calibri" w:cs="Calibri"/>
        </w:rPr>
        <w:t xml:space="preserve"> is the annual total steel demand at time </w:t>
      </w:r>
      <w:r>
        <w:rPr>
          <w:rFonts w:ascii="Calibri" w:hAnsi="Calibri" w:cs="Calibri"/>
          <w:i/>
          <w:iCs/>
        </w:rPr>
        <w:t>t-L</w:t>
      </w:r>
      <w:r>
        <w:rPr>
          <w:rFonts w:ascii="Calibri" w:hAnsi="Calibri" w:cs="Calibri"/>
        </w:rPr>
        <w:t xml:space="preserve"> under a zero</w:t>
      </w:r>
      <w:r>
        <w:rPr>
          <w:rFonts w:hint="eastAsia" w:ascii="MS Gothic" w:hAnsi="MS Gothic" w:eastAsia="MS Gothic" w:cs="MS Gothic"/>
        </w:rPr>
        <w:t>‑</w:t>
      </w:r>
      <w:r>
        <w:rPr>
          <w:rFonts w:ascii="Calibri" w:hAnsi="Calibri" w:cs="Calibri"/>
        </w:rPr>
        <w:t xml:space="preserve">recycling scenario (tons); </w:t>
      </w:r>
      <m:oMath>
        <m:r>
          <m:rPr>
            <m:nor/>
          </m:rPr>
          <w:rPr>
            <w:rFonts w:ascii="Calibri" w:hAnsi="Calibri" w:cs="Calibri"/>
            <w:i/>
          </w:rPr>
          <m:t>η</m:t>
        </m:r>
        <m:r>
          <m:rPr>
            <m:nor/>
            <m:sty m:val="p"/>
          </m:rPr>
          <w:rPr>
            <w:rFonts w:ascii="Calibri" w:hAnsi="Calibri" w:cs="Calibri"/>
            <w:b w:val="0"/>
            <w:i w:val="0"/>
          </w:rPr>
          <m:t>×</m:t>
        </m:r>
        <m:sSub>
          <m:sSubPr>
            <m:ctrlPr>
              <w:rPr>
                <w:rFonts w:ascii="Cambria Math" w:hAnsi="Cambria Math" w:cs="Calibri"/>
                <w:i/>
              </w:rPr>
            </m:ctrlPr>
          </m:sSubPr>
          <m:e>
            <m:r>
              <m:rPr>
                <m:nor/>
              </m:rPr>
              <w:rPr>
                <w:rFonts w:ascii="Calibri" w:hAnsi="Calibri" w:cs="Calibri"/>
                <w:i/>
              </w:rPr>
              <m:t>D</m:t>
            </m:r>
            <m:r>
              <m:rPr>
                <m:nor/>
                <m:sty m:val="p"/>
              </m:rPr>
              <w:rPr>
                <w:rFonts w:ascii="Calibri" w:hAnsi="Calibri" w:cs="Calibri"/>
                <w:b w:val="0"/>
                <w:i w:val="0"/>
              </w:rPr>
              <m:t>(</m:t>
            </m:r>
            <m:r>
              <m:rPr>
                <m:nor/>
              </m:rPr>
              <w:rPr>
                <w:rFonts w:ascii="Calibri" w:hAnsi="Calibri" w:cs="Calibri"/>
                <w:i/>
              </w:rPr>
              <m:t>t</m:t>
            </m:r>
            <m:r>
              <m:rPr>
                <m:nor/>
                <m:sty m:val="p"/>
              </m:rPr>
              <w:rPr>
                <w:rFonts w:ascii="Calibri" w:hAnsi="Calibri" w:cs="Calibri"/>
                <w:b w:val="0"/>
                <w:i w:val="0"/>
              </w:rPr>
              <m:t>-</m:t>
            </m:r>
            <m:r>
              <m:rPr>
                <m:nor/>
              </m:rPr>
              <w:rPr>
                <w:rFonts w:ascii="Calibri" w:hAnsi="Calibri" w:cs="Calibri"/>
                <w:i/>
              </w:rPr>
              <m:t>L</m:t>
            </m:r>
            <m:r>
              <m:rPr>
                <m:nor/>
                <m:sty m:val="p"/>
              </m:rPr>
              <w:rPr>
                <w:rFonts w:ascii="Calibri" w:hAnsi="Calibri" w:cs="Calibri"/>
                <w:b w:val="0"/>
                <w:i w:val="0"/>
              </w:rPr>
              <m:t>)</m:t>
            </m:r>
            <m:ctrlPr>
              <w:rPr>
                <w:rFonts w:ascii="Cambria Math" w:hAnsi="Cambria Math" w:cs="Calibri"/>
                <w:i/>
              </w:rPr>
            </m:ctrlPr>
          </m:e>
          <m:sub>
            <m:r>
              <m:rPr>
                <m:nor/>
                <m:sty m:val="p"/>
              </m:rPr>
              <w:rPr>
                <w:rFonts w:ascii="Calibri" w:hAnsi="Calibri" w:cs="Calibri"/>
                <w:b w:val="0"/>
                <w:i w:val="0"/>
              </w:rPr>
              <m:t>0</m:t>
            </m:r>
            <m:ctrlPr>
              <w:rPr>
                <w:rFonts w:ascii="Cambria Math" w:hAnsi="Cambria Math" w:cs="Calibri"/>
                <w:i/>
              </w:rPr>
            </m:ctrlPr>
          </m:sub>
        </m:sSub>
      </m:oMath>
      <w:r>
        <w:rPr>
          <w:rFonts w:ascii="Calibri" w:hAnsi="Calibri" w:cs="Calibri"/>
        </w:rPr>
        <w:t xml:space="preserve"> represents the recyclable steel volume derived from steel stock put into service at year</w:t>
      </w:r>
      <w:r>
        <w:rPr>
          <w:rFonts w:ascii="Calibri" w:hAnsi="Calibri" w:cs="Calibri"/>
          <w:i/>
          <w:iCs/>
        </w:rPr>
        <w:t>t-L</w:t>
      </w:r>
      <w:r>
        <w:rPr>
          <w:rFonts w:ascii="Calibri" w:hAnsi="Calibri" w:cs="Calibri"/>
        </w:rPr>
        <w:t xml:space="preserve"> under recycling rate </w:t>
      </w:r>
      <m:oMath>
        <m:r>
          <m:rPr>
            <m:nor/>
          </m:rPr>
          <w:rPr>
            <w:rFonts w:ascii="Calibri" w:hAnsi="Calibri" w:cs="Calibri"/>
            <w:i/>
          </w:rPr>
          <m:t>η</m:t>
        </m:r>
      </m:oMath>
      <w:r>
        <w:rPr>
          <w:rFonts w:ascii="Calibri" w:hAnsi="Calibri" w:cs="Calibri"/>
        </w:rPr>
        <w:t xml:space="preserve"> (tons); </w:t>
      </w:r>
      <m:oMath>
        <m:r>
          <m:rPr>
            <m:nor/>
            <m:sty m:val="p"/>
          </m:rPr>
          <w:rPr>
            <w:rFonts w:ascii="Calibri" w:hAnsi="Calibri" w:cs="Calibri"/>
            <w:b w:val="0"/>
            <w:i w:val="0"/>
          </w:rPr>
          <m:t>Q(t-1)</m:t>
        </m:r>
      </m:oMath>
      <w:r>
        <w:rPr>
          <w:rFonts w:ascii="Calibri" w:hAnsi="Calibri" w:cs="Calibri"/>
        </w:rPr>
        <w:t xml:space="preserve"> is the cumulative steel demand at time </w:t>
      </w:r>
      <m:oMath>
        <m:r>
          <m:rPr>
            <m:nor/>
            <m:sty m:val="p"/>
          </m:rPr>
          <w:rPr>
            <w:rFonts w:ascii="Calibri" w:hAnsi="Calibri" w:cs="Calibri"/>
            <w:b w:val="0"/>
            <w:i w:val="0"/>
          </w:rPr>
          <m:t>t-1</m:t>
        </m:r>
      </m:oMath>
      <w:r>
        <w:rPr>
          <w:rFonts w:ascii="Calibri" w:hAnsi="Calibri" w:cs="Calibri"/>
        </w:rPr>
        <w:t xml:space="preserve"> (tons); and </w:t>
      </w:r>
      <m:oMath>
        <m:r>
          <m:rPr>
            <m:nor/>
            <m:sty m:val="p"/>
          </m:rPr>
          <w:rPr>
            <w:rFonts w:ascii="Calibri" w:hAnsi="Calibri" w:cs="Calibri"/>
            <w:b w:val="0"/>
            <w:i w:val="0"/>
          </w:rPr>
          <m:t>Q(t)</m:t>
        </m:r>
      </m:oMath>
      <w:r>
        <w:rPr>
          <w:rFonts w:ascii="Calibri" w:hAnsi="Calibri" w:cs="Calibri"/>
        </w:rPr>
        <w:t xml:space="preserve"> is the cumulative steel demand at time </w:t>
      </w:r>
      <w:r>
        <w:rPr>
          <w:rFonts w:ascii="Calibri" w:hAnsi="Calibri" w:cs="Calibri"/>
          <w:i/>
          <w:iCs/>
        </w:rPr>
        <w:t>t</w:t>
      </w:r>
      <w:r>
        <w:rPr>
          <w:rFonts w:ascii="Calibri" w:hAnsi="Calibri" w:cs="Calibri"/>
        </w:rPr>
        <w:t xml:space="preserve"> (tons).</w:t>
      </w:r>
    </w:p>
    <w:p w14:paraId="10BF0C1C">
      <w:pPr>
        <w:ind w:firstLine="420"/>
        <w:rPr>
          <w:rFonts w:ascii="Calibri" w:hAnsi="Calibri" w:cs="Calibri"/>
        </w:rPr>
      </w:pPr>
      <w:r>
        <w:rPr>
          <w:rFonts w:ascii="Calibri" w:hAnsi="Calibri" w:cs="Calibri"/>
        </w:rPr>
        <w:t>The aforementioned modified Hubbert model addresses the supply coupling between primary and secondary resources. Nevertheless, the total crude steel demand within the model needs to be determined by external methods. Traditional studies mostly adopt linear regression or time</w:t>
      </w:r>
      <w:r>
        <w:rPr>
          <w:rFonts w:hint="eastAsia" w:ascii="MS Gothic" w:hAnsi="MS Gothic" w:eastAsia="MS Gothic" w:cs="MS Gothic"/>
        </w:rPr>
        <w:t>‑</w:t>
      </w:r>
      <w:r>
        <w:rPr>
          <w:rFonts w:ascii="Calibri" w:hAnsi="Calibri" w:cs="Calibri"/>
        </w:rPr>
        <w:t>series extrapolation for demand forecasting, which are susceptible to short</w:t>
      </w:r>
      <w:r>
        <w:rPr>
          <w:rFonts w:hint="eastAsia" w:ascii="MS Gothic" w:hAnsi="MS Gothic" w:eastAsia="MS Gothic" w:cs="MS Gothic"/>
        </w:rPr>
        <w:t>‑</w:t>
      </w:r>
      <w:r>
        <w:rPr>
          <w:rFonts w:ascii="Calibri" w:hAnsi="Calibri" w:cs="Calibri"/>
        </w:rPr>
        <w:t>term economic fluctuations and thus incur considerable errors in long</w:t>
      </w:r>
      <w:r>
        <w:rPr>
          <w:rFonts w:hint="eastAsia" w:ascii="MS Gothic" w:hAnsi="MS Gothic" w:eastAsia="MS Gothic" w:cs="MS Gothic"/>
        </w:rPr>
        <w:t>‑</w:t>
      </w:r>
      <w:r>
        <w:rPr>
          <w:rFonts w:ascii="Calibri" w:hAnsi="Calibri" w:cs="Calibri"/>
        </w:rPr>
        <w:t>term prediction. To tackle this issue, this study introduces the internationally recognized S</w:t>
      </w:r>
      <w:r>
        <w:rPr>
          <w:rFonts w:hint="eastAsia" w:ascii="MS Gothic" w:hAnsi="MS Gothic" w:eastAsia="MS Gothic" w:cs="MS Gothic"/>
        </w:rPr>
        <w:t>‑</w:t>
      </w:r>
      <w:r>
        <w:rPr>
          <w:rFonts w:ascii="Calibri" w:hAnsi="Calibri" w:cs="Calibri"/>
        </w:rPr>
        <w:t>curve consumption rule to calibrate the long</w:t>
      </w:r>
      <w:r>
        <w:rPr>
          <w:rFonts w:hint="eastAsia" w:ascii="MS Gothic" w:hAnsi="MS Gothic" w:eastAsia="MS Gothic" w:cs="MS Gothic"/>
        </w:rPr>
        <w:t>‑</w:t>
      </w:r>
      <w:r>
        <w:rPr>
          <w:rFonts w:ascii="Calibri" w:hAnsi="Calibri" w:cs="Calibri"/>
        </w:rPr>
        <w:t>term evolutionary boundary of steel demand from the endogenous perspective of economic development:</w:t>
      </w:r>
    </w:p>
    <w:p w14:paraId="0C40416D">
      <w:pPr>
        <w:tabs>
          <w:tab w:val="center" w:pos="4200"/>
          <w:tab w:val="right" w:pos="8400"/>
        </w:tabs>
        <w:rPr>
          <w:rFonts w:ascii="Calibri" w:hAnsi="Calibri" w:cs="Calibri"/>
          <w:sz w:val="21"/>
          <w:szCs w:val="21"/>
        </w:rPr>
      </w:pPr>
      <w:r>
        <w:rPr>
          <w:rFonts w:ascii="Calibri" w:hAnsi="Calibri" w:cs="Calibri"/>
          <w:sz w:val="21"/>
          <w:szCs w:val="21"/>
        </w:rPr>
        <w:tab/>
      </w:r>
      <m:oMath>
        <m:r>
          <m:rPr>
            <m:nor/>
          </m:rPr>
          <w:rPr>
            <w:rFonts w:ascii="Calibri" w:hAnsi="Calibri" w:cs="Calibri"/>
            <w:i/>
            <w:sz w:val="21"/>
            <w:szCs w:val="21"/>
          </w:rPr>
          <m:t>γ</m:t>
        </m:r>
        <m:r>
          <m:rPr>
            <m:nor/>
            <m:sty m:val="p"/>
          </m:rPr>
          <w:rPr>
            <w:rFonts w:ascii="Calibri" w:hAnsi="Calibri" w:cs="Calibri"/>
            <w:b w:val="0"/>
            <w:i w:val="0"/>
            <w:sz w:val="21"/>
            <w:szCs w:val="21"/>
          </w:rPr>
          <m:t>=</m:t>
        </m:r>
        <m:r>
          <m:rPr>
            <m:nor/>
          </m:rPr>
          <w:rPr>
            <w:rFonts w:ascii="Calibri" w:hAnsi="Calibri" w:cs="Calibri"/>
            <w:i/>
            <w:sz w:val="21"/>
            <w:szCs w:val="21"/>
          </w:rPr>
          <m:t>f</m:t>
        </m:r>
        <m:r>
          <m:rPr>
            <m:nor/>
            <m:sty m:val="p"/>
          </m:rPr>
          <w:rPr>
            <w:rFonts w:ascii="Calibri" w:hAnsi="Calibri" w:cs="Calibri"/>
            <w:b w:val="0"/>
            <w:i w:val="0"/>
            <w:sz w:val="21"/>
            <w:szCs w:val="21"/>
          </w:rPr>
          <m:t>(</m:t>
        </m:r>
        <m:r>
          <m:rPr>
            <m:nor/>
          </m:rPr>
          <w:rPr>
            <w:rFonts w:ascii="Calibri" w:hAnsi="Calibri" w:cs="Calibri"/>
            <w:i/>
            <w:sz w:val="21"/>
            <w:szCs w:val="21"/>
          </w:rPr>
          <m:t>GDP</m:t>
        </m:r>
        <m:r>
          <m:rPr>
            <m:nor/>
            <m:sty m:val="p"/>
          </m:rPr>
          <w:rPr>
            <w:rFonts w:ascii="Calibri" w:hAnsi="Calibri" w:cs="Calibri"/>
            <w:b w:val="0"/>
            <w:i w:val="0"/>
            <w:sz w:val="21"/>
            <w:szCs w:val="21"/>
          </w:rPr>
          <m:t>)</m:t>
        </m:r>
      </m:oMath>
      <w:r>
        <w:rPr>
          <w:rFonts w:ascii="Calibri" w:hAnsi="Calibri" w:cs="Calibri"/>
          <w:sz w:val="21"/>
          <w:szCs w:val="21"/>
        </w:rPr>
        <w:tab/>
      </w:r>
      <w:r>
        <w:rPr>
          <w:rFonts w:ascii="Calibri" w:hAnsi="Calibri" w:cs="Calibri"/>
          <w:sz w:val="21"/>
          <w:szCs w:val="21"/>
        </w:rPr>
        <w:t>(S</w:t>
      </w:r>
      <w:r>
        <w:rPr>
          <w:rFonts w:hint="eastAsia" w:ascii="Calibri" w:hAnsi="Calibri" w:cs="Calibri"/>
          <w:sz w:val="21"/>
          <w:szCs w:val="21"/>
          <w:lang w:val="en-US" w:eastAsia="zh-CN"/>
        </w:rPr>
        <w:t>10</w:t>
      </w:r>
      <w:r>
        <w:rPr>
          <w:rFonts w:ascii="Calibri" w:hAnsi="Calibri" w:cs="Calibri"/>
          <w:sz w:val="21"/>
          <w:szCs w:val="21"/>
        </w:rPr>
        <w:t>)</w:t>
      </w:r>
    </w:p>
    <w:p w14:paraId="181AAF5E">
      <w:pPr>
        <w:ind w:firstLine="420"/>
        <w:rPr>
          <w:rFonts w:ascii="Calibri" w:hAnsi="Calibri" w:cs="Calibri"/>
        </w:rPr>
      </w:pPr>
      <w:r>
        <w:rPr>
          <w:rFonts w:ascii="Calibri" w:hAnsi="Calibri" w:cs="Calibri"/>
        </w:rPr>
        <w:t>Accordingly, the annual steel utilization rate of a country or region can be expressed as:</w:t>
      </w:r>
    </w:p>
    <w:p w14:paraId="52C66889">
      <w:pPr>
        <w:tabs>
          <w:tab w:val="center" w:pos="4200"/>
          <w:tab w:val="right" w:pos="8400"/>
        </w:tabs>
        <w:rPr>
          <w:rFonts w:ascii="Calibri" w:hAnsi="Calibri" w:cs="Calibri"/>
          <w:sz w:val="21"/>
          <w:szCs w:val="21"/>
        </w:rPr>
      </w:pPr>
      <w:r>
        <w:rPr>
          <w:rFonts w:ascii="Calibri" w:hAnsi="Calibri" w:cs="Calibri"/>
          <w:sz w:val="21"/>
          <w:szCs w:val="21"/>
        </w:rPr>
        <w:tab/>
      </w:r>
      <m:oMath>
        <m:r>
          <m:rPr>
            <m:nor/>
          </m:rPr>
          <w:rPr>
            <w:rFonts w:ascii="Calibri" w:hAnsi="Calibri" w:cs="Calibri"/>
            <w:i/>
            <w:sz w:val="21"/>
            <w:szCs w:val="21"/>
          </w:rPr>
          <m:t>d</m:t>
        </m:r>
        <m:r>
          <m:rPr>
            <m:nor/>
            <m:sty m:val="p"/>
          </m:rPr>
          <w:rPr>
            <w:rFonts w:ascii="Calibri" w:hAnsi="Calibri" w:cs="Calibri"/>
            <w:b w:val="0"/>
            <w:i w:val="0"/>
            <w:sz w:val="21"/>
            <w:szCs w:val="21"/>
          </w:rPr>
          <m:t>=</m:t>
        </m:r>
        <m:r>
          <m:rPr>
            <m:nor/>
          </m:rPr>
          <w:rPr>
            <w:rFonts w:ascii="Calibri" w:hAnsi="Calibri" w:cs="Calibri"/>
            <w:i/>
            <w:sz w:val="21"/>
            <w:szCs w:val="21"/>
          </w:rPr>
          <m:t>p</m:t>
        </m:r>
        <m:r>
          <m:rPr>
            <m:nor/>
            <m:sty m:val="p"/>
          </m:rPr>
          <w:rPr>
            <w:rFonts w:ascii="Calibri" w:hAnsi="Calibri" w:cs="Calibri"/>
            <w:b w:val="0"/>
            <w:i w:val="0"/>
            <w:sz w:val="21"/>
            <w:szCs w:val="21"/>
          </w:rPr>
          <m:t>×</m:t>
        </m:r>
        <m:r>
          <m:rPr>
            <m:nor/>
          </m:rPr>
          <w:rPr>
            <w:rFonts w:ascii="Calibri" w:hAnsi="Calibri" w:cs="Calibri"/>
            <w:i/>
            <w:sz w:val="21"/>
            <w:szCs w:val="21"/>
          </w:rPr>
          <m:t>γ</m:t>
        </m:r>
        <m:r>
          <m:rPr>
            <m:nor/>
            <m:sty m:val="p"/>
          </m:rPr>
          <w:rPr>
            <w:rFonts w:ascii="Calibri" w:hAnsi="Calibri" w:cs="Calibri"/>
            <w:b w:val="0"/>
            <w:i w:val="0"/>
            <w:sz w:val="21"/>
            <w:szCs w:val="21"/>
          </w:rPr>
          <m:t>=</m:t>
        </m:r>
        <m:r>
          <m:rPr>
            <m:nor/>
          </m:rPr>
          <w:rPr>
            <w:rFonts w:ascii="Calibri" w:hAnsi="Calibri" w:cs="Calibri"/>
            <w:i/>
            <w:sz w:val="21"/>
            <w:szCs w:val="21"/>
          </w:rPr>
          <m:t>p</m:t>
        </m:r>
        <m:r>
          <m:rPr>
            <m:nor/>
            <m:sty m:val="p"/>
          </m:rPr>
          <w:rPr>
            <w:rFonts w:ascii="Calibri" w:hAnsi="Calibri" w:cs="Calibri"/>
            <w:b w:val="0"/>
            <w:i w:val="0"/>
            <w:sz w:val="21"/>
            <w:szCs w:val="21"/>
          </w:rPr>
          <m:t>×</m:t>
        </m:r>
        <m:r>
          <m:rPr>
            <m:nor/>
          </m:rPr>
          <w:rPr>
            <w:rFonts w:ascii="Calibri" w:hAnsi="Calibri" w:cs="Calibri"/>
            <w:i/>
            <w:sz w:val="21"/>
            <w:szCs w:val="21"/>
          </w:rPr>
          <m:t>f</m:t>
        </m:r>
        <m:r>
          <m:rPr>
            <m:nor/>
            <m:sty m:val="p"/>
          </m:rPr>
          <w:rPr>
            <w:rFonts w:ascii="Calibri" w:hAnsi="Calibri" w:cs="Calibri"/>
            <w:b w:val="0"/>
            <w:i w:val="0"/>
            <w:sz w:val="21"/>
            <w:szCs w:val="21"/>
          </w:rPr>
          <m:t>(</m:t>
        </m:r>
        <m:r>
          <m:rPr>
            <m:nor/>
          </m:rPr>
          <w:rPr>
            <w:rFonts w:ascii="Calibri" w:hAnsi="Calibri" w:cs="Calibri"/>
            <w:i/>
            <w:sz w:val="21"/>
            <w:szCs w:val="21"/>
          </w:rPr>
          <m:t>GDP</m:t>
        </m:r>
        <m:r>
          <m:rPr>
            <m:nor/>
            <m:sty m:val="p"/>
          </m:rPr>
          <w:rPr>
            <w:rFonts w:ascii="Calibri" w:hAnsi="Calibri" w:cs="Calibri"/>
            <w:b w:val="0"/>
            <w:i w:val="0"/>
            <w:sz w:val="21"/>
            <w:szCs w:val="21"/>
          </w:rPr>
          <m:t>)</m:t>
        </m:r>
      </m:oMath>
      <w:r>
        <w:rPr>
          <w:rFonts w:ascii="Calibri" w:hAnsi="Calibri" w:cs="Calibri"/>
          <w:sz w:val="21"/>
          <w:szCs w:val="21"/>
        </w:rPr>
        <w:tab/>
      </w:r>
      <w:r>
        <w:rPr>
          <w:rFonts w:ascii="Calibri" w:hAnsi="Calibri" w:cs="Calibri"/>
          <w:sz w:val="21"/>
          <w:szCs w:val="21"/>
        </w:rPr>
        <w:t>(S</w:t>
      </w:r>
      <w:r>
        <w:rPr>
          <w:rFonts w:hint="eastAsia" w:ascii="Calibri" w:hAnsi="Calibri" w:cs="Calibri"/>
          <w:sz w:val="21"/>
          <w:szCs w:val="21"/>
          <w:lang w:val="en-US" w:eastAsia="zh-CN"/>
        </w:rPr>
        <w:t>11</w:t>
      </w:r>
      <w:r>
        <w:rPr>
          <w:rFonts w:ascii="Calibri" w:hAnsi="Calibri" w:cs="Calibri"/>
          <w:sz w:val="21"/>
          <w:szCs w:val="21"/>
        </w:rPr>
        <w:t>)</w:t>
      </w:r>
    </w:p>
    <w:p w14:paraId="20A5433C">
      <w:pPr>
        <w:rPr>
          <w:rFonts w:ascii="Calibri" w:hAnsi="Calibri" w:cs="Calibri"/>
        </w:rPr>
      </w:pPr>
      <w:r>
        <w:rPr>
          <w:rFonts w:ascii="Calibri" w:hAnsi="Calibri" w:cs="Calibri"/>
        </w:rPr>
        <w:t xml:space="preserve">where </w:t>
      </w:r>
      <w:r>
        <w:rPr>
          <w:rFonts w:ascii="Calibri" w:hAnsi="Calibri" w:cs="Calibri"/>
          <w:i/>
          <w:iCs/>
        </w:rPr>
        <w:t>d</w:t>
      </w:r>
      <w:r>
        <w:rPr>
          <w:rFonts w:ascii="Calibri" w:hAnsi="Calibri" w:cs="Calibri"/>
        </w:rPr>
        <w:t xml:space="preserve"> is the regional annual steel utilization rate; </w:t>
      </w:r>
      <w:r>
        <w:rPr>
          <w:rFonts w:ascii="Calibri" w:hAnsi="Calibri" w:cs="Calibri"/>
          <w:i/>
          <w:iCs/>
        </w:rPr>
        <w:t>p</w:t>
      </w:r>
      <w:r>
        <w:rPr>
          <w:rFonts w:ascii="Calibri" w:hAnsi="Calibri" w:cs="Calibri"/>
        </w:rPr>
        <w:t xml:space="preserve"> denotes population; and </w:t>
      </w:r>
      <m:oMath>
        <m:r>
          <m:rPr>
            <m:nor/>
          </m:rPr>
          <w:rPr>
            <w:rFonts w:ascii="Calibri" w:hAnsi="Calibri" w:cs="Calibri"/>
            <w:i/>
            <w:sz w:val="24"/>
            <w:szCs w:val="24"/>
          </w:rPr>
          <m:t>γ</m:t>
        </m:r>
      </m:oMath>
      <w:r>
        <w:rPr>
          <w:rFonts w:ascii="Calibri" w:hAnsi="Calibri" w:cs="Calibri"/>
        </w:rPr>
        <w:t xml:space="preserve"> is the per capita steel utilization rate, which is a function of per capita GDP.</w:t>
      </w:r>
    </w:p>
    <w:p w14:paraId="149E1593">
      <w:pPr>
        <w:ind w:firstLine="480"/>
        <w:rPr>
          <w:rFonts w:hint="eastAsia" w:ascii="Calibri" w:hAnsi="Calibri" w:cs="Calibri"/>
        </w:rPr>
      </w:pPr>
      <w:r>
        <w:rPr>
          <w:rFonts w:hint="eastAsia" w:ascii="Calibri" w:hAnsi="Calibri" w:cs="Calibri"/>
        </w:rPr>
        <w:t>To translate macro demand projections to enterprise-level inputs, the capacity-share mapping method:</w:t>
      </w:r>
    </w:p>
    <w:p w14:paraId="5346B218">
      <w:pPr>
        <w:tabs>
          <w:tab w:val="center" w:pos="4200"/>
          <w:tab w:val="right" w:pos="8400"/>
        </w:tabs>
        <w:rPr>
          <w:rFonts w:hint="eastAsia" w:ascii="Calibri" w:hAnsi="Calibri" w:cs="Calibri" w:eastAsiaTheme="minorEastAsia"/>
          <w:sz w:val="21"/>
          <w:szCs w:val="21"/>
          <w:lang w:val="en-US" w:eastAsia="zh-CN"/>
        </w:rPr>
      </w:pPr>
      <w:r>
        <w:rPr>
          <w:rFonts w:hint="eastAsia" w:hAnsi="Cambria Math" w:cs="Calibri"/>
          <w:i w:val="0"/>
          <w:sz w:val="21"/>
          <w:szCs w:val="21"/>
          <w:lang w:val="en-US" w:eastAsia="zh-CN"/>
        </w:rPr>
        <w:tab/>
      </w:r>
      <m:oMath>
        <m:sSub>
          <m:sSubPr>
            <m:ctrlPr>
              <w:rPr>
                <w:rFonts w:hint="default" w:ascii="Cambria Math" w:hAnsi="Cambria Math" w:cs="Calibri"/>
                <w:sz w:val="21"/>
                <w:szCs w:val="21"/>
              </w:rPr>
            </m:ctrlPr>
          </m:sSubPr>
          <m:e>
            <m:r>
              <m:rPr>
                <m:sty m:val="p"/>
              </m:rPr>
              <w:rPr>
                <w:rFonts w:hint="default" w:ascii="Cambria Math" w:hAnsi="Cambria Math" w:cs="Calibri"/>
                <w:sz w:val="21"/>
                <w:szCs w:val="21"/>
              </w:rPr>
              <m:t>D</m:t>
            </m:r>
            <m:ctrlPr>
              <w:rPr>
                <w:rFonts w:ascii="Cambria Math" w:hAnsi="Cambria Math" w:cs="Calibri"/>
                <w:sz w:val="21"/>
                <w:szCs w:val="21"/>
              </w:rPr>
            </m:ctrlPr>
          </m:e>
          <m:sub>
            <m:r>
              <m:rPr>
                <m:sty m:val="p"/>
              </m:rPr>
              <w:rPr>
                <w:rFonts w:hint="default" w:ascii="Cambria Math" w:hAnsi="Cambria Math" w:cs="Calibri"/>
                <w:sz w:val="21"/>
                <w:szCs w:val="21"/>
              </w:rPr>
              <m:t>e</m:t>
            </m:r>
            <m:ctrlPr>
              <w:rPr>
                <w:rFonts w:ascii="Cambria Math" w:hAnsi="Cambria Math" w:cs="Calibri"/>
                <w:sz w:val="21"/>
                <w:szCs w:val="21"/>
              </w:rPr>
            </m:ctrlPr>
          </m:sub>
        </m:sSub>
        <m:r>
          <m:rPr>
            <m:sty m:val="p"/>
          </m:rPr>
          <w:rPr>
            <w:rFonts w:hint="default" w:ascii="Cambria Math" w:hAnsi="Cambria Math" w:cs="Calibri"/>
            <w:sz w:val="21"/>
            <w:szCs w:val="21"/>
          </w:rPr>
          <m:t>(t)=</m:t>
        </m:r>
        <m:sSub>
          <m:sSubPr>
            <m:ctrlPr>
              <w:rPr>
                <w:rFonts w:hint="default" w:ascii="Cambria Math" w:hAnsi="Cambria Math" w:cs="Calibri"/>
                <w:sz w:val="21"/>
                <w:szCs w:val="21"/>
              </w:rPr>
            </m:ctrlPr>
          </m:sSubPr>
          <m:e>
            <m:r>
              <m:rPr>
                <m:sty m:val="p"/>
              </m:rPr>
              <w:rPr>
                <w:rFonts w:hint="default" w:ascii="Cambria Math" w:hAnsi="Cambria Math" w:cs="Calibri"/>
                <w:sz w:val="21"/>
                <w:szCs w:val="21"/>
              </w:rPr>
              <m:t>D</m:t>
            </m:r>
            <m:ctrlPr>
              <w:rPr>
                <w:rFonts w:ascii="Cambria Math" w:hAnsi="Cambria Math" w:cs="Calibri"/>
                <w:sz w:val="21"/>
                <w:szCs w:val="21"/>
              </w:rPr>
            </m:ctrlPr>
          </m:e>
          <m:sub>
            <m:r>
              <m:rPr>
                <m:sty m:val="p"/>
              </m:rPr>
              <w:rPr>
                <w:rFonts w:hint="default" w:ascii="Cambria Math" w:hAnsi="Cambria Math" w:cs="Calibri"/>
                <w:sz w:val="21"/>
                <w:szCs w:val="21"/>
              </w:rPr>
              <m:t>n</m:t>
            </m:r>
            <m:ctrlPr>
              <w:rPr>
                <w:rFonts w:ascii="Cambria Math" w:hAnsi="Cambria Math" w:cs="Calibri"/>
                <w:sz w:val="21"/>
                <w:szCs w:val="21"/>
              </w:rPr>
            </m:ctrlPr>
          </m:sub>
        </m:sSub>
        <m:r>
          <m:rPr>
            <m:sty m:val="p"/>
          </m:rPr>
          <w:rPr>
            <w:rFonts w:hint="default" w:ascii="Cambria Math" w:hAnsi="Cambria Math" w:cs="Calibri"/>
            <w:sz w:val="21"/>
            <w:szCs w:val="21"/>
          </w:rPr>
          <m:t>ational(t)×(</m:t>
        </m:r>
        <m:f>
          <m:fPr>
            <m:ctrlPr>
              <w:rPr>
                <w:rFonts w:hint="default" w:ascii="Cambria Math" w:hAnsi="Cambria Math" w:cs="Calibri"/>
                <w:sz w:val="21"/>
                <w:szCs w:val="21"/>
              </w:rPr>
            </m:ctrlPr>
          </m:fPr>
          <m:num>
            <m:sSub>
              <m:sSubPr>
                <m:ctrlPr>
                  <w:rPr>
                    <w:rFonts w:hint="default" w:ascii="Cambria Math" w:hAnsi="Cambria Math" w:cs="Calibri"/>
                    <w:sz w:val="21"/>
                    <w:szCs w:val="21"/>
                  </w:rPr>
                </m:ctrlPr>
              </m:sSubPr>
              <m:e>
                <m:r>
                  <m:rPr>
                    <m:sty m:val="p"/>
                  </m:rPr>
                  <w:rPr>
                    <w:rFonts w:hint="default" w:ascii="Cambria Math" w:hAnsi="Cambria Math" w:cs="Calibri"/>
                    <w:sz w:val="21"/>
                    <w:szCs w:val="21"/>
                  </w:rPr>
                  <m:t>C</m:t>
                </m:r>
                <m:ctrlPr>
                  <w:rPr>
                    <w:rFonts w:ascii="Cambria Math" w:hAnsi="Cambria Math" w:cs="Calibri"/>
                    <w:sz w:val="21"/>
                    <w:szCs w:val="21"/>
                  </w:rPr>
                </m:ctrlPr>
              </m:e>
              <m:sub>
                <m:r>
                  <m:rPr>
                    <m:sty m:val="p"/>
                  </m:rPr>
                  <w:rPr>
                    <w:rFonts w:hint="default" w:ascii="Cambria Math" w:hAnsi="Cambria Math" w:cs="Calibri"/>
                    <w:sz w:val="21"/>
                    <w:szCs w:val="21"/>
                  </w:rPr>
                  <m:t>e</m:t>
                </m:r>
                <m:ctrlPr>
                  <w:rPr>
                    <w:rFonts w:ascii="Cambria Math" w:hAnsi="Cambria Math" w:cs="Calibri"/>
                    <w:sz w:val="21"/>
                    <w:szCs w:val="21"/>
                  </w:rPr>
                </m:ctrlPr>
              </m:sub>
            </m:sSub>
            <m:ctrlPr>
              <w:rPr>
                <w:rFonts w:hint="default" w:ascii="Cambria Math" w:hAnsi="Cambria Math" w:cs="Calibri"/>
                <w:sz w:val="21"/>
                <w:szCs w:val="21"/>
              </w:rPr>
            </m:ctrlPr>
          </m:num>
          <m:den>
            <m:sSub>
              <m:sSubPr>
                <m:ctrlPr>
                  <w:rPr>
                    <w:rFonts w:hint="default" w:ascii="Cambria Math" w:hAnsi="Cambria Math" w:cs="Calibri"/>
                    <w:sz w:val="21"/>
                    <w:szCs w:val="21"/>
                  </w:rPr>
                </m:ctrlPr>
              </m:sSubPr>
              <m:e>
                <m:r>
                  <m:rPr>
                    <m:sty m:val="p"/>
                  </m:rPr>
                  <w:rPr>
                    <w:rFonts w:hint="default" w:ascii="Cambria Math" w:hAnsi="Cambria Math" w:cs="Calibri"/>
                    <w:sz w:val="21"/>
                    <w:szCs w:val="21"/>
                  </w:rPr>
                  <m:t>C</m:t>
                </m:r>
                <m:ctrlPr>
                  <w:rPr>
                    <w:rFonts w:ascii="Cambria Math" w:hAnsi="Cambria Math" w:cs="Calibri"/>
                    <w:sz w:val="21"/>
                    <w:szCs w:val="21"/>
                  </w:rPr>
                </m:ctrlPr>
              </m:e>
              <m:sub>
                <m:r>
                  <m:rPr>
                    <m:sty m:val="p"/>
                  </m:rPr>
                  <w:rPr>
                    <w:rFonts w:hint="default" w:ascii="Cambria Math" w:hAnsi="Cambria Math" w:cs="Calibri"/>
                    <w:sz w:val="21"/>
                    <w:szCs w:val="21"/>
                  </w:rPr>
                  <m:t>n</m:t>
                </m:r>
                <m:ctrlPr>
                  <w:rPr>
                    <w:rFonts w:ascii="Cambria Math" w:hAnsi="Cambria Math" w:cs="Calibri"/>
                    <w:sz w:val="21"/>
                    <w:szCs w:val="21"/>
                  </w:rPr>
                </m:ctrlPr>
              </m:sub>
            </m:sSub>
            <m:r>
              <m:rPr>
                <m:sty m:val="p"/>
              </m:rPr>
              <w:rPr>
                <w:rFonts w:hint="default" w:ascii="Cambria Math" w:hAnsi="Cambria Math" w:cs="Calibri"/>
                <w:sz w:val="21"/>
                <w:szCs w:val="21"/>
              </w:rPr>
              <m:t>ational</m:t>
            </m:r>
            <m:ctrlPr>
              <w:rPr>
                <w:rFonts w:hint="default" w:ascii="Cambria Math" w:hAnsi="Cambria Math" w:cs="Calibri"/>
                <w:sz w:val="21"/>
                <w:szCs w:val="21"/>
              </w:rPr>
            </m:ctrlPr>
          </m:den>
        </m:f>
        <m:r>
          <m:rPr>
            <m:sty m:val="p"/>
          </m:rPr>
          <w:rPr>
            <w:rFonts w:hint="default" w:ascii="Cambria Math" w:hAnsi="Cambria Math" w:cs="Calibri"/>
            <w:sz w:val="21"/>
            <w:szCs w:val="21"/>
          </w:rPr>
          <m:t>)×</m:t>
        </m:r>
        <m:sSub>
          <m:sSubPr>
            <m:ctrlPr>
              <w:rPr>
                <w:rFonts w:hint="default" w:ascii="Cambria Math" w:hAnsi="Cambria Math" w:cs="Calibri"/>
                <w:sz w:val="21"/>
                <w:szCs w:val="21"/>
              </w:rPr>
            </m:ctrlPr>
          </m:sSubPr>
          <m:e>
            <m:r>
              <m:rPr>
                <m:sty m:val="p"/>
              </m:rPr>
              <w:rPr>
                <w:rFonts w:hint="default" w:ascii="Cambria Math" w:hAnsi="Cambria Math" w:cs="Calibri"/>
                <w:sz w:val="21"/>
                <w:szCs w:val="21"/>
              </w:rPr>
              <m:t>k</m:t>
            </m:r>
            <m:ctrlPr>
              <w:rPr>
                <w:rFonts w:ascii="Cambria Math" w:hAnsi="Cambria Math" w:cs="Calibri"/>
                <w:sz w:val="21"/>
                <w:szCs w:val="21"/>
              </w:rPr>
            </m:ctrlPr>
          </m:e>
          <m:sub>
            <m:r>
              <m:rPr>
                <m:sty m:val="p"/>
              </m:rPr>
              <w:rPr>
                <w:rFonts w:hint="default" w:ascii="Cambria Math" w:hAnsi="Cambria Math" w:cs="Calibri"/>
                <w:sz w:val="21"/>
                <w:szCs w:val="21"/>
              </w:rPr>
              <m:t>e</m:t>
            </m:r>
            <m:ctrlPr>
              <w:rPr>
                <w:rFonts w:ascii="Cambria Math" w:hAnsi="Cambria Math" w:cs="Calibri"/>
                <w:sz w:val="21"/>
                <w:szCs w:val="21"/>
              </w:rPr>
            </m:ctrlPr>
          </m:sub>
        </m:sSub>
      </m:oMath>
      <w:r>
        <w:rPr>
          <w:rFonts w:hint="eastAsia" w:hAnsi="Cambria Math" w:cs="Calibri"/>
          <w:i w:val="0"/>
          <w:sz w:val="21"/>
          <w:szCs w:val="21"/>
          <w:lang w:val="en-US" w:eastAsia="zh-CN"/>
        </w:rPr>
        <w:tab/>
      </w:r>
      <w:r>
        <w:rPr>
          <w:rFonts w:ascii="Calibri" w:hAnsi="Calibri" w:cs="Calibri"/>
          <w:sz w:val="21"/>
          <w:szCs w:val="21"/>
        </w:rPr>
        <w:t>(S</w:t>
      </w:r>
      <w:r>
        <w:rPr>
          <w:rFonts w:hint="eastAsia" w:ascii="Calibri" w:hAnsi="Calibri" w:cs="Calibri"/>
          <w:sz w:val="21"/>
          <w:szCs w:val="21"/>
          <w:lang w:val="en-US" w:eastAsia="zh-CN"/>
        </w:rPr>
        <w:t>12</w:t>
      </w:r>
      <w:r>
        <w:rPr>
          <w:rFonts w:ascii="Calibri" w:hAnsi="Calibri" w:cs="Calibri"/>
          <w:sz w:val="21"/>
          <w:szCs w:val="21"/>
        </w:rPr>
        <w:t>)</w:t>
      </w:r>
    </w:p>
    <w:p w14:paraId="35C2FD28">
      <w:pPr>
        <w:ind w:firstLine="480"/>
        <w:rPr>
          <w:rFonts w:hint="eastAsia" w:ascii="Calibri" w:hAnsi="Calibri" w:cs="Calibri"/>
          <w:lang w:val="en-US" w:eastAsia="zh-CN"/>
        </w:rPr>
      </w:pPr>
      <w:r>
        <w:rPr>
          <w:rFonts w:hint="eastAsia" w:ascii="Calibri" w:hAnsi="Calibri" w:cs="Calibri"/>
        </w:rPr>
        <w:t xml:space="preserve">where </w:t>
      </w:r>
      <m:oMath>
        <m:sSub>
          <m:sSubPr>
            <m:ctrlPr>
              <w:rPr>
                <w:rFonts w:hint="default" w:ascii="Cambria Math" w:hAnsi="Cambria Math" w:cs="Calibri"/>
                <w:sz w:val="21"/>
                <w:szCs w:val="21"/>
              </w:rPr>
            </m:ctrlPr>
          </m:sSubPr>
          <m:e>
            <m:r>
              <m:rPr>
                <m:sty m:val="p"/>
              </m:rPr>
              <w:rPr>
                <w:rFonts w:hint="default" w:ascii="Cambria Math" w:hAnsi="Cambria Math" w:cs="Calibri"/>
                <w:sz w:val="21"/>
                <w:szCs w:val="21"/>
              </w:rPr>
              <m:t>D</m:t>
            </m:r>
            <m:ctrlPr>
              <w:rPr>
                <w:rFonts w:ascii="Cambria Math" w:hAnsi="Cambria Math" w:cs="Calibri"/>
                <w:sz w:val="21"/>
                <w:szCs w:val="21"/>
              </w:rPr>
            </m:ctrlPr>
          </m:e>
          <m:sub>
            <m:r>
              <m:rPr>
                <m:sty m:val="p"/>
              </m:rPr>
              <w:rPr>
                <w:rFonts w:hint="default" w:ascii="Cambria Math" w:hAnsi="Cambria Math" w:cs="Calibri"/>
                <w:sz w:val="21"/>
                <w:szCs w:val="21"/>
              </w:rPr>
              <m:t>e</m:t>
            </m:r>
            <m:ctrlPr>
              <w:rPr>
                <w:rFonts w:ascii="Cambria Math" w:hAnsi="Cambria Math" w:cs="Calibri"/>
                <w:sz w:val="21"/>
                <w:szCs w:val="21"/>
              </w:rPr>
            </m:ctrlPr>
          </m:sub>
        </m:sSub>
        <m:r>
          <m:rPr>
            <m:sty m:val="p"/>
          </m:rPr>
          <w:rPr>
            <w:rFonts w:hint="default" w:ascii="Cambria Math" w:hAnsi="Cambria Math" w:cs="Calibri"/>
            <w:sz w:val="21"/>
            <w:szCs w:val="21"/>
          </w:rPr>
          <m:t>(t)</m:t>
        </m:r>
      </m:oMath>
      <w:r>
        <w:rPr>
          <w:rFonts w:hint="eastAsia" w:ascii="Calibri" w:hAnsi="Calibri" w:cs="Calibri"/>
        </w:rPr>
        <w:t xml:space="preserve"> = projected annual virgin iron ore demand for enterprise e at time t (Mt/yr), </w:t>
      </w:r>
      <m:oMath>
        <m:sSub>
          <m:sSubPr>
            <m:ctrlPr>
              <w:rPr>
                <w:rFonts w:hint="default" w:ascii="Cambria Math" w:hAnsi="Cambria Math" w:cs="Calibri"/>
                <w:sz w:val="21"/>
                <w:szCs w:val="21"/>
              </w:rPr>
            </m:ctrlPr>
          </m:sSubPr>
          <m:e>
            <m:r>
              <m:rPr>
                <m:sty m:val="p"/>
              </m:rPr>
              <w:rPr>
                <w:rFonts w:hint="default" w:ascii="Cambria Math" w:hAnsi="Cambria Math" w:cs="Calibri"/>
                <w:sz w:val="21"/>
                <w:szCs w:val="21"/>
              </w:rPr>
              <m:t>D</m:t>
            </m:r>
            <m:ctrlPr>
              <w:rPr>
                <w:rFonts w:ascii="Cambria Math" w:hAnsi="Cambria Math" w:cs="Calibri"/>
                <w:sz w:val="21"/>
                <w:szCs w:val="21"/>
              </w:rPr>
            </m:ctrlPr>
          </m:e>
          <m:sub>
            <m:r>
              <m:rPr>
                <m:sty m:val="p"/>
              </m:rPr>
              <w:rPr>
                <w:rFonts w:hint="default" w:ascii="Cambria Math" w:hAnsi="Cambria Math" w:cs="Calibri"/>
                <w:sz w:val="21"/>
                <w:szCs w:val="21"/>
              </w:rPr>
              <m:t>n</m:t>
            </m:r>
            <m:ctrlPr>
              <w:rPr>
                <w:rFonts w:ascii="Cambria Math" w:hAnsi="Cambria Math" w:cs="Calibri"/>
                <w:sz w:val="21"/>
                <w:szCs w:val="21"/>
              </w:rPr>
            </m:ctrlPr>
          </m:sub>
        </m:sSub>
        <m:r>
          <m:rPr>
            <m:sty m:val="p"/>
          </m:rPr>
          <w:rPr>
            <w:rFonts w:hint="default" w:ascii="Cambria Math" w:hAnsi="Cambria Math" w:cs="Calibri"/>
            <w:sz w:val="21"/>
            <w:szCs w:val="21"/>
          </w:rPr>
          <m:t>ational(t)</m:t>
        </m:r>
      </m:oMath>
      <w:r>
        <w:rPr>
          <w:rFonts w:hint="eastAsia" w:ascii="Calibri" w:hAnsi="Calibri" w:cs="Calibri"/>
        </w:rPr>
        <w:t xml:space="preserve"> = projected national annual steel demand (Mt/yr), </w:t>
      </w:r>
      <m:oMath>
        <m:sSub>
          <m:sSubPr>
            <m:ctrlPr>
              <w:rPr>
                <w:rFonts w:hint="default" w:ascii="Cambria Math" w:hAnsi="Cambria Math" w:cs="Calibri"/>
                <w:sz w:val="21"/>
                <w:szCs w:val="21"/>
              </w:rPr>
            </m:ctrlPr>
          </m:sSubPr>
          <m:e>
            <m:r>
              <m:rPr>
                <m:sty m:val="p"/>
              </m:rPr>
              <w:rPr>
                <w:rFonts w:hint="default" w:ascii="Cambria Math" w:hAnsi="Cambria Math" w:cs="Calibri"/>
                <w:sz w:val="21"/>
                <w:szCs w:val="21"/>
              </w:rPr>
              <m:t>C</m:t>
            </m:r>
            <m:ctrlPr>
              <w:rPr>
                <w:rFonts w:ascii="Cambria Math" w:hAnsi="Cambria Math" w:cs="Calibri"/>
                <w:sz w:val="21"/>
                <w:szCs w:val="21"/>
              </w:rPr>
            </m:ctrlPr>
          </m:e>
          <m:sub>
            <m:r>
              <m:rPr>
                <m:sty m:val="p"/>
              </m:rPr>
              <w:rPr>
                <w:rFonts w:hint="default" w:ascii="Cambria Math" w:hAnsi="Cambria Math" w:cs="Calibri"/>
                <w:sz w:val="21"/>
                <w:szCs w:val="21"/>
              </w:rPr>
              <m:t>e</m:t>
            </m:r>
            <m:ctrlPr>
              <w:rPr>
                <w:rFonts w:ascii="Cambria Math" w:hAnsi="Cambria Math" w:cs="Calibri"/>
                <w:sz w:val="21"/>
                <w:szCs w:val="21"/>
              </w:rPr>
            </m:ctrlPr>
          </m:sub>
        </m:sSub>
      </m:oMath>
      <w:r>
        <w:rPr>
          <w:rFonts w:hint="eastAsia" w:ascii="Calibri" w:hAnsi="Calibri" w:cs="Calibri"/>
        </w:rPr>
        <w:t xml:space="preserve"> = enterprise crude steel capacity (Mt/yr), </w:t>
      </w:r>
      <m:oMath>
        <m:sSub>
          <m:sSubPr>
            <m:ctrlPr>
              <w:rPr>
                <w:rFonts w:hint="default" w:ascii="Cambria Math" w:hAnsi="Cambria Math" w:cs="Calibri"/>
                <w:sz w:val="21"/>
                <w:szCs w:val="21"/>
              </w:rPr>
            </m:ctrlPr>
          </m:sSubPr>
          <m:e>
            <m:r>
              <m:rPr>
                <m:sty m:val="p"/>
              </m:rPr>
              <w:rPr>
                <w:rFonts w:hint="default" w:ascii="Cambria Math" w:hAnsi="Cambria Math" w:cs="Calibri"/>
                <w:sz w:val="21"/>
                <w:szCs w:val="21"/>
              </w:rPr>
              <m:t>C</m:t>
            </m:r>
            <m:ctrlPr>
              <w:rPr>
                <w:rFonts w:ascii="Cambria Math" w:hAnsi="Cambria Math" w:cs="Calibri"/>
                <w:sz w:val="21"/>
                <w:szCs w:val="21"/>
              </w:rPr>
            </m:ctrlPr>
          </m:e>
          <m:sub>
            <m:r>
              <m:rPr>
                <m:sty m:val="p"/>
              </m:rPr>
              <w:rPr>
                <w:rFonts w:hint="default" w:ascii="Cambria Math" w:hAnsi="Cambria Math" w:cs="Calibri"/>
                <w:sz w:val="21"/>
                <w:szCs w:val="21"/>
              </w:rPr>
              <m:t>n</m:t>
            </m:r>
            <m:ctrlPr>
              <w:rPr>
                <w:rFonts w:ascii="Cambria Math" w:hAnsi="Cambria Math" w:cs="Calibri"/>
                <w:sz w:val="21"/>
                <w:szCs w:val="21"/>
              </w:rPr>
            </m:ctrlPr>
          </m:sub>
        </m:sSub>
        <m:r>
          <m:rPr>
            <m:sty m:val="p"/>
          </m:rPr>
          <w:rPr>
            <w:rFonts w:hint="default" w:ascii="Cambria Math" w:hAnsi="Cambria Math" w:cs="Calibri"/>
            <w:sz w:val="21"/>
            <w:szCs w:val="21"/>
          </w:rPr>
          <m:t>ational</m:t>
        </m:r>
      </m:oMath>
      <w:r>
        <w:rPr>
          <w:rFonts w:hint="eastAsia" w:ascii="Calibri" w:hAnsi="Calibri" w:cs="Calibri"/>
        </w:rPr>
        <w:t xml:space="preserve"> = national total crude steel capacity (Mt/yr), </w:t>
      </w:r>
      <m:oMath>
        <m:sSub>
          <m:sSubPr>
            <m:ctrlPr>
              <w:rPr>
                <w:rFonts w:hint="default" w:ascii="Cambria Math" w:hAnsi="Cambria Math" w:cs="Calibri"/>
                <w:sz w:val="21"/>
                <w:szCs w:val="21"/>
              </w:rPr>
            </m:ctrlPr>
          </m:sSubPr>
          <m:e>
            <m:r>
              <m:rPr>
                <m:sty m:val="p"/>
              </m:rPr>
              <w:rPr>
                <w:rFonts w:hint="default" w:ascii="Cambria Math" w:hAnsi="Cambria Math" w:cs="Calibri"/>
                <w:sz w:val="21"/>
                <w:szCs w:val="21"/>
              </w:rPr>
              <m:t>k</m:t>
            </m:r>
            <m:ctrlPr>
              <w:rPr>
                <w:rFonts w:ascii="Cambria Math" w:hAnsi="Cambria Math" w:cs="Calibri"/>
                <w:sz w:val="21"/>
                <w:szCs w:val="21"/>
              </w:rPr>
            </m:ctrlPr>
          </m:e>
          <m:sub>
            <m:r>
              <m:rPr>
                <m:sty m:val="p"/>
              </m:rPr>
              <w:rPr>
                <w:rFonts w:hint="default" w:ascii="Cambria Math" w:hAnsi="Cambria Math" w:cs="Calibri"/>
                <w:sz w:val="21"/>
                <w:szCs w:val="21"/>
              </w:rPr>
              <m:t>e</m:t>
            </m:r>
            <m:ctrlPr>
              <w:rPr>
                <w:rFonts w:ascii="Cambria Math" w:hAnsi="Cambria Math" w:cs="Calibri"/>
                <w:sz w:val="21"/>
                <w:szCs w:val="21"/>
              </w:rPr>
            </m:ctrlPr>
          </m:sub>
        </m:sSub>
      </m:oMath>
      <w:r>
        <w:rPr>
          <w:rFonts w:hint="eastAsia" w:ascii="Calibri" w:hAnsi="Calibri" w:cs="Calibri"/>
        </w:rPr>
        <w:t xml:space="preserve"> </w:t>
      </w:r>
      <w:r>
        <w:rPr>
          <w:rFonts w:hint="eastAsia" w:ascii="Calibri" w:hAnsi="Calibri" w:cs="Calibri"/>
          <w:lang w:val="en-US" w:eastAsia="zh-CN"/>
        </w:rPr>
        <w:t xml:space="preserve">is </w:t>
      </w:r>
      <w:r>
        <w:rPr>
          <w:rFonts w:hint="eastAsia" w:ascii="Calibri" w:hAnsi="Calibri" w:cs="Calibri"/>
        </w:rPr>
        <w:t>process adjustment coefficient</w:t>
      </w:r>
      <w:r>
        <w:rPr>
          <w:rFonts w:hint="eastAsia" w:ascii="Calibri" w:hAnsi="Calibri" w:cs="Calibri"/>
          <w:lang w:val="en-US" w:eastAsia="zh-CN"/>
        </w:rPr>
        <w:t>:</w:t>
      </w:r>
    </w:p>
    <w:p w14:paraId="362D4BDF">
      <w:pPr>
        <w:tabs>
          <w:tab w:val="center" w:pos="4200"/>
          <w:tab w:val="right" w:pos="8400"/>
        </w:tabs>
        <w:rPr>
          <w:rFonts w:hint="default" w:hAnsi="Cambria Math" w:cs="Calibri"/>
          <w:i w:val="0"/>
          <w:sz w:val="21"/>
          <w:szCs w:val="21"/>
          <w:lang w:val="en-US" w:eastAsia="zh-CN"/>
        </w:rPr>
      </w:pPr>
      <w:r>
        <w:rPr>
          <w:rFonts w:hint="eastAsia" w:hAnsi="Cambria Math" w:cs="Calibri"/>
          <w:i w:val="0"/>
          <w:sz w:val="21"/>
          <w:szCs w:val="21"/>
          <w:lang w:val="en-US" w:eastAsia="zh-CN"/>
        </w:rPr>
        <w:tab/>
      </w:r>
      <m:oMath>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k</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e</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=1.0+0.1×(B</m:t>
        </m:r>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F</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s</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har</m:t>
        </m:r>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e</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e</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−B</m:t>
        </m:r>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F</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s</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har</m:t>
        </m:r>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e</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i</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ndustry)</m:t>
        </m:r>
      </m:oMath>
      <w:r>
        <w:rPr>
          <w:rFonts w:hint="eastAsia" w:hAnsi="Cambria Math" w:cs="Calibri"/>
          <w:i w:val="0"/>
          <w:sz w:val="21"/>
          <w:szCs w:val="21"/>
          <w:lang w:val="en-US" w:eastAsia="zh-CN"/>
        </w:rPr>
        <w:tab/>
      </w:r>
      <w:r>
        <w:rPr>
          <w:rFonts w:ascii="Calibri" w:hAnsi="Calibri" w:cs="Calibri"/>
          <w:sz w:val="21"/>
          <w:szCs w:val="21"/>
        </w:rPr>
        <w:t>(S</w:t>
      </w:r>
      <w:r>
        <w:rPr>
          <w:rFonts w:hint="eastAsia" w:ascii="Calibri" w:hAnsi="Calibri" w:cs="Calibri"/>
          <w:sz w:val="21"/>
          <w:szCs w:val="21"/>
          <w:lang w:val="en-US" w:eastAsia="zh-CN"/>
        </w:rPr>
        <w:t>13</w:t>
      </w:r>
      <w:r>
        <w:rPr>
          <w:rFonts w:ascii="Calibri" w:hAnsi="Calibri" w:cs="Calibri"/>
          <w:sz w:val="21"/>
          <w:szCs w:val="21"/>
        </w:rPr>
        <w:t>)</w:t>
      </w:r>
    </w:p>
    <w:p w14:paraId="7F112B1C">
      <w:pPr>
        <w:ind w:firstLine="480"/>
        <w:rPr>
          <w:rFonts w:ascii="Calibri" w:hAnsi="Calibri" w:cs="Calibri"/>
        </w:rPr>
      </w:pPr>
      <w:r>
        <w:rPr>
          <w:rFonts w:hint="eastAsia" w:ascii="Calibri" w:hAnsi="Calibri" w:cs="Calibri"/>
        </w:rPr>
        <w:t xml:space="preserve">reflecting ore intensity premium of blast-furnace-dominant production. </w:t>
      </w:r>
    </w:p>
    <w:p w14:paraId="5478D681">
      <w:pPr>
        <w:ind w:firstLine="432"/>
        <w:rPr>
          <w:rFonts w:hint="default" w:ascii="Calibri" w:hAnsi="Calibri" w:cs="Calibri"/>
        </w:rPr>
      </w:pPr>
      <w:r>
        <w:rPr>
          <w:rFonts w:hint="default" w:ascii="Calibri" w:hAnsi="Calibri" w:cs="Calibri"/>
        </w:rPr>
        <w:t>The enterprise carrying-capacity improvement rate (γ) quantifies relative change under a scenario vs. baseline:</w:t>
      </w:r>
    </w:p>
    <w:p w14:paraId="5B6D269E">
      <w:pPr>
        <w:tabs>
          <w:tab w:val="center" w:pos="4200"/>
          <w:tab w:val="right" w:pos="8400"/>
        </w:tabs>
        <w:rPr>
          <w:rFonts w:hint="default"/>
          <w:i w:val="0"/>
        </w:rPr>
      </w:pPr>
      <w:r>
        <w:rPr>
          <w:rFonts w:hint="eastAsia" w:hAnsi="Cambria Math" w:cs="Calibri"/>
          <w:i w:val="0"/>
          <w:sz w:val="21"/>
          <w:szCs w:val="21"/>
          <w:lang w:val="en-US" w:eastAsia="zh-CN"/>
        </w:rPr>
        <w:tab/>
      </w:r>
      <m:oMath>
        <m:r>
          <m:rPr>
            <m:sty m:val="p"/>
          </m:rPr>
          <w:rPr>
            <w:rFonts w:ascii="Cambria Math" w:hAnsi="Cambria Math" w:cs="Calibri"/>
            <w:sz w:val="21"/>
            <w:szCs w:val="21"/>
            <w:lang w:val="en-US"/>
          </w:rPr>
          <m:t>σ</m:t>
        </m:r>
        <m:r>
          <m:rPr>
            <m:sty m:val="p"/>
          </m:rPr>
          <w:rPr>
            <w:rFonts w:hint="default" w:ascii="Cambria Math" w:hAnsi="Cambria Math" w:cs="Calibri"/>
            <w:sz w:val="21"/>
            <w:szCs w:val="21"/>
            <w:lang w:val="en-US" w:eastAsia="zh-CN"/>
          </w:rPr>
          <m:t>=</m:t>
        </m:r>
        <m:f>
          <m:fPr>
            <m:ctrlPr>
              <w:rPr>
                <w:rFonts w:hint="default" w:ascii="Cambria Math" w:hAnsi="Cambria Math" w:cs="Calibri"/>
                <w:i w:val="0"/>
                <w:sz w:val="21"/>
                <w:szCs w:val="21"/>
                <w:lang w:val="en-US" w:eastAsia="zh-CN"/>
              </w:rPr>
            </m:ctrlPr>
          </m:fPr>
          <m:num>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C</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s</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cenario−</m:t>
            </m:r>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C</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b</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aseline</m:t>
            </m:r>
            <m:ctrlPr>
              <w:rPr>
                <w:rFonts w:hint="default" w:ascii="Cambria Math" w:hAnsi="Cambria Math" w:cs="Calibri"/>
                <w:i w:val="0"/>
                <w:sz w:val="21"/>
                <w:szCs w:val="21"/>
                <w:lang w:val="en-US" w:eastAsia="zh-CN"/>
              </w:rPr>
            </m:ctrlPr>
          </m:num>
          <m:den>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C</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b</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aseline</m:t>
            </m:r>
            <m:ctrlPr>
              <w:rPr>
                <w:rFonts w:hint="default" w:ascii="Cambria Math" w:hAnsi="Cambria Math" w:cs="Calibri"/>
                <w:i w:val="0"/>
                <w:sz w:val="21"/>
                <w:szCs w:val="21"/>
                <w:lang w:val="en-US" w:eastAsia="zh-CN"/>
              </w:rPr>
            </m:ctrlPr>
          </m:den>
        </m:f>
        <m:r>
          <m:rPr>
            <m:sty m:val="p"/>
          </m:rPr>
          <w:rPr>
            <w:rFonts w:hint="default" w:ascii="Cambria Math" w:hAnsi="Cambria Math" w:cs="Calibri"/>
            <w:sz w:val="21"/>
            <w:szCs w:val="21"/>
            <w:lang w:val="en-US" w:eastAsia="zh-CN"/>
          </w:rPr>
          <m:t>×100%</m:t>
        </m:r>
      </m:oMath>
      <w:r>
        <w:rPr>
          <w:rFonts w:hint="eastAsia" w:hAnsi="Cambria Math" w:cs="Calibri"/>
          <w:i w:val="0"/>
          <w:sz w:val="21"/>
          <w:szCs w:val="21"/>
          <w:lang w:val="en-US" w:eastAsia="zh-CN"/>
        </w:rPr>
        <w:tab/>
      </w:r>
      <w:r>
        <w:rPr>
          <w:rFonts w:ascii="Calibri" w:hAnsi="Calibri" w:cs="Calibri"/>
          <w:sz w:val="21"/>
          <w:szCs w:val="21"/>
        </w:rPr>
        <w:t>(S</w:t>
      </w:r>
      <w:r>
        <w:rPr>
          <w:rFonts w:hint="eastAsia" w:ascii="Calibri" w:hAnsi="Calibri" w:cs="Calibri"/>
          <w:sz w:val="21"/>
          <w:szCs w:val="21"/>
          <w:lang w:val="en-US" w:eastAsia="zh-CN"/>
        </w:rPr>
        <w:t>14</w:t>
      </w:r>
      <w:r>
        <w:rPr>
          <w:rFonts w:ascii="Calibri" w:hAnsi="Calibri" w:cs="Calibri"/>
          <w:sz w:val="21"/>
          <w:szCs w:val="21"/>
        </w:rPr>
        <w:t>)</w:t>
      </w:r>
    </w:p>
    <w:p w14:paraId="6E63F8A9">
      <w:pPr>
        <w:rPr>
          <w:rFonts w:hint="default" w:ascii="Calibri" w:hAnsi="Calibri" w:cs="Calibri"/>
        </w:rPr>
      </w:pPr>
      <w:r>
        <w:rPr>
          <w:rFonts w:hint="default" w:ascii="Calibri" w:hAnsi="Calibri" w:cs="Calibri"/>
        </w:rPr>
        <w:t xml:space="preserve">where </w:t>
      </w:r>
      <m:oMath>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C</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s</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cenario</m:t>
        </m:r>
      </m:oMath>
      <w:r>
        <w:rPr>
          <w:rFonts w:hint="default" w:ascii="Calibri" w:hAnsi="Calibri" w:cs="Calibri"/>
        </w:rPr>
        <w:t xml:space="preserve"> = enterprise carrying capacity under a given recycling-rate scenario, measured as either cumulative supportable production over the resource horizon (Mt) or resource availability duration (yr); </w:t>
      </w:r>
      <m:oMath>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C</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b</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aseline</m:t>
        </m:r>
      </m:oMath>
      <w:r>
        <w:rPr>
          <w:rFonts w:hint="default" w:ascii="Calibri" w:hAnsi="Calibri" w:cs="Calibri"/>
        </w:rPr>
        <w:t xml:space="preserve"> = corresponding carrying capacity under baseline (η = 15%). Positive γ = improvement (lower cumulative demand or longer horizon); negative </w:t>
      </w:r>
      <m:oMath>
        <m:r>
          <m:rPr>
            <m:sty m:val="p"/>
          </m:rPr>
          <w:rPr>
            <w:rFonts w:ascii="Cambria Math" w:hAnsi="Cambria Math" w:cs="Calibri"/>
            <w:sz w:val="21"/>
            <w:szCs w:val="21"/>
            <w:lang w:val="en-US"/>
          </w:rPr>
          <m:t>σ</m:t>
        </m:r>
      </m:oMath>
      <w:r>
        <w:rPr>
          <w:rFonts w:hint="default" w:ascii="Calibri" w:hAnsi="Calibri" w:cs="Calibri"/>
        </w:rPr>
        <w:t xml:space="preserve"> = deterioration.</w:t>
      </w:r>
    </w:p>
    <w:p w14:paraId="722538BD">
      <w:pPr>
        <w:spacing w:line="360" w:lineRule="auto"/>
        <w:ind w:firstLine="420"/>
        <w:rPr>
          <w:rFonts w:ascii="Calibri" w:hAnsi="Calibri" w:eastAsia="宋体" w:cs="Calibri"/>
          <w:bCs/>
          <w:szCs w:val="21"/>
        </w:rPr>
      </w:pPr>
      <w:r>
        <w:rPr>
          <w:rFonts w:hint="eastAsia" w:ascii="Calibri" w:hAnsi="Calibri" w:eastAsia="宋体" w:cs="Calibri"/>
          <w:bCs/>
          <w:szCs w:val="21"/>
        </w:rPr>
        <w:t>This study defines the comprehensive scrap steel recycling rate (</w:t>
      </w:r>
      <m:oMath>
        <m:r>
          <m:rPr>
            <m:sty m:val="p"/>
          </m:rPr>
          <w:rPr>
            <w:rFonts w:ascii="Cambria Math" w:hAnsi="Cambria Math" w:cs="Calibri"/>
            <w:szCs w:val="21"/>
          </w:rPr>
          <m:t>η</m:t>
        </m:r>
      </m:oMath>
      <w:r>
        <w:rPr>
          <w:rFonts w:hint="eastAsia" w:ascii="Calibri" w:hAnsi="Calibri" w:eastAsia="宋体" w:cs="Calibri"/>
          <w:bCs/>
          <w:szCs w:val="21"/>
        </w:rPr>
        <w:t>) as the ratio of social scrap recovered and reintroduced into production to the total theoretical end-of-life scrap generation nationwide, calculated as:</w:t>
      </w:r>
    </w:p>
    <w:p w14:paraId="18FEA77E">
      <w:pPr>
        <w:tabs>
          <w:tab w:val="center" w:pos="4200"/>
          <w:tab w:val="right" w:pos="8400"/>
        </w:tabs>
        <w:spacing w:line="360" w:lineRule="auto"/>
        <w:rPr>
          <w:rFonts w:ascii="Calibri" w:hAnsi="Calibri" w:cs="Calibri"/>
          <w:bCs/>
          <w:szCs w:val="21"/>
        </w:rPr>
      </w:pPr>
      <w:r>
        <w:rPr>
          <w:rFonts w:hint="eastAsia" w:hAnsi="Cambria Math" w:cs="Calibri"/>
          <w:bCs/>
          <w:szCs w:val="21"/>
        </w:rPr>
        <w:tab/>
      </w:r>
      <m:oMath>
        <m:r>
          <m:rPr/>
          <w:rPr>
            <w:rFonts w:ascii="Cambria Math" w:hAnsi="Cambria Math" w:cs="Calibri"/>
            <w:szCs w:val="21"/>
          </w:rPr>
          <m:t>η</m:t>
        </m:r>
        <m:r>
          <m:rPr>
            <m:sty m:val="p"/>
          </m:rPr>
          <w:rPr>
            <w:rFonts w:ascii="Cambria Math" w:hAnsi="Cambria Math" w:cs="Cambria Math"/>
            <w:szCs w:val="21"/>
          </w:rPr>
          <m:t>=</m:t>
        </m:r>
        <m:f>
          <m:fPr>
            <m:ctrlPr>
              <w:rPr>
                <w:rFonts w:ascii="Cambria Math" w:hAnsi="Cambria Math" w:cs="Cambria Math"/>
                <w:bCs/>
                <w:szCs w:val="21"/>
              </w:rPr>
            </m:ctrlPr>
          </m:fPr>
          <m:num>
            <m:sSub>
              <m:sSubPr>
                <m:ctrlPr>
                  <w:rPr>
                    <w:rFonts w:ascii="Cambria Math" w:hAnsi="Cambria Math" w:cs="Cambria Math"/>
                    <w:bCs/>
                    <w:szCs w:val="21"/>
                  </w:rPr>
                </m:ctrlPr>
              </m:sSubPr>
              <m:e>
                <m:r>
                  <m:rPr>
                    <m:sty m:val="p"/>
                  </m:rPr>
                  <w:rPr>
                    <w:rFonts w:ascii="Cambria Math" w:hAnsi="Cambria Math" w:cs="Cambria Math"/>
                    <w:szCs w:val="21"/>
                  </w:rPr>
                  <m:t>Q</m:t>
                </m:r>
                <m:ctrlPr>
                  <w:rPr>
                    <w:rFonts w:ascii="Cambria Math" w:hAnsi="Cambria Math" w:cs="Cambria Math"/>
                    <w:bCs/>
                    <w:szCs w:val="21"/>
                  </w:rPr>
                </m:ctrlPr>
              </m:e>
              <m:sub>
                <m:r>
                  <m:rPr>
                    <m:sty m:val="p"/>
                  </m:rPr>
                  <w:rPr>
                    <w:rFonts w:hint="eastAsia" w:ascii="Calibri" w:hAnsi="Calibri" w:eastAsia="宋体" w:cs="Calibri"/>
                    <w:szCs w:val="21"/>
                  </w:rPr>
                  <m:t>recycled,social</m:t>
                </m:r>
                <m:ctrlPr>
                  <w:rPr>
                    <w:rFonts w:ascii="Cambria Math" w:hAnsi="Cambria Math" w:cs="Cambria Math"/>
                    <w:bCs/>
                    <w:szCs w:val="21"/>
                  </w:rPr>
                </m:ctrlPr>
              </m:sub>
            </m:sSub>
            <m:ctrlPr>
              <w:rPr>
                <w:rFonts w:ascii="Cambria Math" w:hAnsi="Cambria Math" w:cs="Cambria Math"/>
                <w:bCs/>
                <w:szCs w:val="21"/>
              </w:rPr>
            </m:ctrlPr>
          </m:num>
          <m:den>
            <m:sSub>
              <m:sSubPr>
                <m:ctrlPr>
                  <w:rPr>
                    <w:rFonts w:ascii="Cambria Math" w:hAnsi="Cambria Math" w:cs="Cambria Math"/>
                    <w:bCs/>
                    <w:szCs w:val="21"/>
                  </w:rPr>
                </m:ctrlPr>
              </m:sSubPr>
              <m:e>
                <m:r>
                  <m:rPr>
                    <m:sty m:val="p"/>
                  </m:rPr>
                  <w:rPr>
                    <w:rFonts w:ascii="Cambria Math" w:hAnsi="Cambria Math" w:cs="Cambria Math"/>
                    <w:szCs w:val="21"/>
                  </w:rPr>
                  <m:t>Q</m:t>
                </m:r>
                <m:ctrlPr>
                  <w:rPr>
                    <w:rFonts w:ascii="Cambria Math" w:hAnsi="Cambria Math" w:cs="Cambria Math"/>
                    <w:bCs/>
                    <w:szCs w:val="21"/>
                  </w:rPr>
                </m:ctrlPr>
              </m:e>
              <m:sub>
                <m:r>
                  <m:rPr>
                    <m:sty m:val="p"/>
                  </m:rPr>
                  <w:rPr>
                    <w:rFonts w:hint="eastAsia" w:ascii="Calibri" w:hAnsi="Calibri" w:eastAsia="宋体" w:cs="Calibri"/>
                    <w:szCs w:val="21"/>
                  </w:rPr>
                  <m:t>theoretical,scrap</m:t>
                </m:r>
                <m:ctrlPr>
                  <w:rPr>
                    <w:rFonts w:ascii="Cambria Math" w:hAnsi="Cambria Math" w:cs="Cambria Math"/>
                    <w:bCs/>
                    <w:szCs w:val="21"/>
                  </w:rPr>
                </m:ctrlPr>
              </m:sub>
            </m:sSub>
            <m:ctrlPr>
              <w:rPr>
                <w:rFonts w:ascii="Cambria Math" w:hAnsi="Cambria Math" w:cs="Cambria Math"/>
                <w:bCs/>
                <w:szCs w:val="21"/>
              </w:rPr>
            </m:ctrlPr>
          </m:den>
        </m:f>
      </m:oMath>
      <w:r>
        <w:rPr>
          <w:rFonts w:hint="eastAsia" w:hAnsi="Cambria Math" w:cs="Cambria Math"/>
          <w:bCs/>
          <w:szCs w:val="21"/>
        </w:rPr>
        <w:tab/>
      </w:r>
      <w:r>
        <w:rPr>
          <w:rFonts w:ascii="Calibri" w:hAnsi="Calibri" w:cs="Calibri"/>
          <w:sz w:val="21"/>
          <w:szCs w:val="21"/>
        </w:rPr>
        <w:t>(S</w:t>
      </w:r>
      <w:r>
        <w:rPr>
          <w:rFonts w:hint="eastAsia" w:ascii="Calibri" w:hAnsi="Calibri" w:cs="Calibri"/>
          <w:sz w:val="21"/>
          <w:szCs w:val="21"/>
          <w:lang w:val="en-US" w:eastAsia="zh-CN"/>
        </w:rPr>
        <w:t>15</w:t>
      </w:r>
      <w:r>
        <w:rPr>
          <w:rFonts w:ascii="Calibri" w:hAnsi="Calibri" w:cs="Calibri"/>
          <w:sz w:val="21"/>
          <w:szCs w:val="21"/>
        </w:rPr>
        <w:t>)</w:t>
      </w:r>
    </w:p>
    <w:p w14:paraId="7C6C57EC">
      <w:pPr>
        <w:spacing w:line="360" w:lineRule="auto"/>
        <w:rPr>
          <w:rFonts w:ascii="Calibri" w:hAnsi="Calibri" w:eastAsia="宋体" w:cs="Calibri"/>
          <w:bCs/>
          <w:szCs w:val="21"/>
        </w:rPr>
      </w:pPr>
      <w:r>
        <w:rPr>
          <w:rFonts w:hint="eastAsia" w:ascii="Calibri" w:hAnsi="Calibri" w:eastAsia="宋体" w:cs="Calibri"/>
          <w:bCs/>
          <w:szCs w:val="21"/>
        </w:rPr>
        <w:t xml:space="preserve">where </w:t>
      </w:r>
      <m:oMath>
        <m:sSub>
          <m:sSubPr>
            <m:ctrlPr>
              <w:rPr>
                <w:rFonts w:ascii="Cambria Math" w:hAnsi="Cambria Math" w:cs="Cambria Math"/>
                <w:bCs/>
                <w:szCs w:val="21"/>
              </w:rPr>
            </m:ctrlPr>
          </m:sSubPr>
          <m:e>
            <m:r>
              <m:rPr>
                <m:sty m:val="p"/>
              </m:rPr>
              <w:rPr>
                <w:rFonts w:ascii="Cambria Math" w:hAnsi="Cambria Math" w:cs="Cambria Math"/>
                <w:szCs w:val="21"/>
              </w:rPr>
              <m:t>Q</m:t>
            </m:r>
            <m:ctrlPr>
              <w:rPr>
                <w:rFonts w:ascii="Cambria Math" w:hAnsi="Cambria Math" w:cs="Cambria Math"/>
                <w:bCs/>
                <w:szCs w:val="21"/>
              </w:rPr>
            </m:ctrlPr>
          </m:e>
          <m:sub>
            <m:r>
              <m:rPr>
                <m:sty m:val="p"/>
              </m:rPr>
              <w:rPr>
                <w:rFonts w:hint="eastAsia" w:ascii="Calibri" w:hAnsi="Calibri" w:eastAsia="宋体" w:cs="Calibri"/>
                <w:szCs w:val="21"/>
              </w:rPr>
              <m:t>recycled,social</m:t>
            </m:r>
            <m:ctrlPr>
              <w:rPr>
                <w:rFonts w:ascii="Cambria Math" w:hAnsi="Cambria Math" w:cs="Cambria Math"/>
                <w:bCs/>
                <w:szCs w:val="21"/>
              </w:rPr>
            </m:ctrlPr>
          </m:sub>
        </m:sSub>
      </m:oMath>
      <w:r>
        <w:rPr>
          <w:rFonts w:hint="eastAsia" w:ascii="Calibri" w:hAnsi="Calibri" w:eastAsia="宋体" w:cs="Calibri"/>
          <w:bCs/>
          <w:szCs w:val="21"/>
        </w:rPr>
        <w:t xml:space="preserve"> excludes in-house production scrap (inherently recycled internally), and </w:t>
      </w:r>
      <m:oMath>
        <m:sSub>
          <m:sSubPr>
            <m:ctrlPr>
              <w:rPr>
                <w:rFonts w:ascii="Cambria Math" w:hAnsi="Cambria Math" w:cs="Cambria Math"/>
                <w:bCs/>
                <w:szCs w:val="21"/>
              </w:rPr>
            </m:ctrlPr>
          </m:sSubPr>
          <m:e>
            <m:r>
              <m:rPr>
                <m:sty m:val="p"/>
              </m:rPr>
              <w:rPr>
                <w:rFonts w:ascii="Cambria Math" w:hAnsi="Cambria Math" w:cs="Cambria Math"/>
                <w:szCs w:val="21"/>
              </w:rPr>
              <m:t>Q</m:t>
            </m:r>
            <m:ctrlPr>
              <w:rPr>
                <w:rFonts w:ascii="Cambria Math" w:hAnsi="Cambria Math" w:cs="Cambria Math"/>
                <w:bCs/>
                <w:szCs w:val="21"/>
              </w:rPr>
            </m:ctrlPr>
          </m:e>
          <m:sub>
            <m:r>
              <m:rPr>
                <m:sty m:val="p"/>
              </m:rPr>
              <w:rPr>
                <w:rFonts w:hint="eastAsia" w:ascii="Calibri" w:hAnsi="Calibri" w:eastAsia="宋体" w:cs="Calibri"/>
                <w:szCs w:val="21"/>
              </w:rPr>
              <m:t>theoretical,scrap</m:t>
            </m:r>
            <m:ctrlPr>
              <w:rPr>
                <w:rFonts w:ascii="Cambria Math" w:hAnsi="Cambria Math" w:cs="Cambria Math"/>
                <w:bCs/>
                <w:szCs w:val="21"/>
              </w:rPr>
            </m:ctrlPr>
          </m:sub>
        </m:sSub>
      </m:oMath>
      <w:r>
        <w:rPr>
          <w:rFonts w:hint="eastAsia" w:ascii="Calibri" w:hAnsi="Calibri" w:eastAsia="宋体" w:cs="Calibri"/>
          <w:bCs/>
          <w:szCs w:val="21"/>
        </w:rPr>
        <w:t xml:space="preserve"> is derived from the age distribution of social in-use steel stock.</w:t>
      </w:r>
    </w:p>
    <w:p w14:paraId="01C3B23D">
      <w:pPr>
        <w:ind w:firstLine="432"/>
        <w:rPr>
          <w:rFonts w:hint="default" w:ascii="Calibri" w:hAnsi="Calibri" w:cs="Calibri"/>
        </w:rPr>
      </w:pPr>
    </w:p>
    <w:p w14:paraId="11E6AB63">
      <w:pPr>
        <w:ind w:firstLine="432"/>
        <w:rPr>
          <w:rFonts w:hint="default" w:ascii="Calibri" w:hAnsi="Calibri" w:cs="Calibri"/>
        </w:rPr>
      </w:pPr>
      <w:r>
        <w:rPr>
          <w:rFonts w:hint="default" w:ascii="Calibri" w:hAnsi="Calibri" w:cs="Calibri"/>
        </w:rPr>
        <w:t>The ESCCI integrates three dimensions of enterprise resource carrying capacity:</w:t>
      </w:r>
    </w:p>
    <w:p w14:paraId="23269B87">
      <w:pPr>
        <w:tabs>
          <w:tab w:val="center" w:pos="4200"/>
          <w:tab w:val="right" w:pos="8400"/>
        </w:tabs>
        <w:rPr>
          <w:rFonts w:hint="default" w:hAnsi="Cambria Math" w:cs="Calibri"/>
          <w:i w:val="0"/>
          <w:sz w:val="21"/>
          <w:szCs w:val="21"/>
          <w:lang w:val="en-US" w:eastAsia="zh-CN"/>
        </w:rPr>
      </w:pPr>
      <w:r>
        <w:rPr>
          <w:rFonts w:hint="eastAsia" w:hAnsi="Cambria Math" w:cs="Calibri"/>
          <w:i w:val="0"/>
          <w:sz w:val="21"/>
          <w:szCs w:val="21"/>
          <w:lang w:val="en-US" w:eastAsia="zh-CN"/>
        </w:rPr>
        <w:tab/>
      </w:r>
      <m:oMath>
        <m:r>
          <m:rPr>
            <m:sty m:val="p"/>
          </m:rPr>
          <w:rPr>
            <w:rFonts w:hint="default" w:ascii="Cambria Math" w:hAnsi="Cambria Math" w:cs="Calibri"/>
            <w:sz w:val="21"/>
            <w:szCs w:val="21"/>
            <w:lang w:val="en-US" w:eastAsia="zh-CN"/>
          </w:rPr>
          <m:t>ESCCI=w₁(1−α)+w₂η+w₃(</m:t>
        </m:r>
        <m:f>
          <m:fPr>
            <m:ctrlPr>
              <w:rPr>
                <w:rFonts w:hint="default" w:ascii="Cambria Math" w:hAnsi="Cambria Math" w:cs="Calibri"/>
                <w:i w:val="0"/>
                <w:sz w:val="21"/>
                <w:szCs w:val="21"/>
                <w:lang w:val="en-US" w:eastAsia="zh-CN"/>
              </w:rPr>
            </m:ctrlPr>
          </m:fPr>
          <m:num>
            <m:r>
              <m:rPr>
                <m:sty m:val="p"/>
              </m:rPr>
              <w:rPr>
                <w:rFonts w:hint="default" w:ascii="Cambria Math" w:hAnsi="Cambria Math" w:cs="Calibri"/>
                <w:sz w:val="21"/>
                <w:szCs w:val="21"/>
                <w:lang w:val="en-US" w:eastAsia="zh-CN"/>
              </w:rPr>
              <m:t>T</m:t>
            </m:r>
            <m:ctrlPr>
              <w:rPr>
                <w:rFonts w:hint="default" w:ascii="Cambria Math" w:hAnsi="Cambria Math" w:cs="Calibri"/>
                <w:i w:val="0"/>
                <w:sz w:val="21"/>
                <w:szCs w:val="21"/>
                <w:lang w:val="en-US" w:eastAsia="zh-CN"/>
              </w:rPr>
            </m:ctrlPr>
          </m:num>
          <m:den>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T</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r</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ef</m:t>
            </m:r>
            <m:ctrlPr>
              <w:rPr>
                <w:rFonts w:hint="default" w:ascii="Cambria Math" w:hAnsi="Cambria Math" w:cs="Calibri"/>
                <w:i w:val="0"/>
                <w:sz w:val="21"/>
                <w:szCs w:val="21"/>
                <w:lang w:val="en-US" w:eastAsia="zh-CN"/>
              </w:rPr>
            </m:ctrlPr>
          </m:den>
        </m:f>
        <m:r>
          <m:rPr>
            <m:sty m:val="p"/>
          </m:rPr>
          <w:rPr>
            <w:rFonts w:hint="default" w:ascii="Cambria Math" w:hAnsi="Cambria Math" w:cs="Calibri"/>
            <w:sz w:val="21"/>
            <w:szCs w:val="21"/>
            <w:lang w:val="en-US" w:eastAsia="zh-CN"/>
          </w:rPr>
          <m:t>)</m:t>
        </m:r>
      </m:oMath>
      <w:r>
        <w:rPr>
          <w:rFonts w:hint="eastAsia" w:hAnsi="Cambria Math" w:cs="Calibri"/>
          <w:i w:val="0"/>
          <w:sz w:val="21"/>
          <w:szCs w:val="21"/>
          <w:lang w:val="en-US" w:eastAsia="zh-CN"/>
        </w:rPr>
        <w:tab/>
      </w:r>
      <w:r>
        <w:rPr>
          <w:rFonts w:ascii="Calibri" w:hAnsi="Calibri" w:cs="Calibri"/>
          <w:sz w:val="21"/>
          <w:szCs w:val="21"/>
        </w:rPr>
        <w:t>(S</w:t>
      </w:r>
      <w:r>
        <w:rPr>
          <w:rFonts w:hint="eastAsia" w:ascii="Calibri" w:hAnsi="Calibri" w:cs="Calibri"/>
          <w:sz w:val="21"/>
          <w:szCs w:val="21"/>
          <w:lang w:val="en-US" w:eastAsia="zh-CN"/>
        </w:rPr>
        <w:t>16</w:t>
      </w:r>
      <w:r>
        <w:rPr>
          <w:rFonts w:ascii="Calibri" w:hAnsi="Calibri" w:cs="Calibri"/>
          <w:sz w:val="21"/>
          <w:szCs w:val="21"/>
        </w:rPr>
        <w:t>)</w:t>
      </w:r>
    </w:p>
    <w:p w14:paraId="39F7334C">
      <w:pPr>
        <w:rPr>
          <w:rFonts w:hint="default" w:ascii="Calibri" w:hAnsi="Calibri" w:cs="Calibri"/>
        </w:rPr>
      </w:pPr>
      <w:r>
        <w:rPr>
          <w:rFonts w:hint="default" w:ascii="Calibri" w:hAnsi="Calibri" w:cs="Calibri"/>
        </w:rPr>
        <w:t xml:space="preserve">where α = front-end beneficiation-smelting loss coefficient, so (1−α) = front-end loss control capability; η = comprehensive scrap recycling rate, normalized to [0,1] with η=0 lower bound and η=50% upper bound; T = enterprise resource availability duration (yr) = recoverable reserves / annual virgin ore demand; </w:t>
      </w:r>
      <m:oMath>
        <m:sSub>
          <m:sSubPr>
            <m:ctrlPr>
              <w:rPr>
                <w:rFonts w:hint="default" w:ascii="Cambria Math" w:hAnsi="Cambria Math" w:cs="Calibri"/>
                <w:i w:val="0"/>
                <w:sz w:val="21"/>
                <w:szCs w:val="21"/>
                <w:lang w:val="en-US" w:eastAsia="zh-CN"/>
              </w:rPr>
            </m:ctrlPr>
          </m:sSubPr>
          <m:e>
            <m:r>
              <m:rPr>
                <m:sty m:val="p"/>
              </m:rPr>
              <w:rPr>
                <w:rFonts w:hint="default" w:ascii="Cambria Math" w:hAnsi="Cambria Math" w:cs="Calibri"/>
                <w:sz w:val="21"/>
                <w:szCs w:val="21"/>
                <w:lang w:val="en-US" w:eastAsia="zh-CN"/>
              </w:rPr>
              <m:t>T</m:t>
            </m:r>
            <m:ctrlPr>
              <w:rPr>
                <w:rFonts w:hint="eastAsia" w:ascii="Cambria Math" w:hAnsi="Cambria Math" w:cs="Calibri"/>
                <w:i w:val="0"/>
                <w:sz w:val="21"/>
                <w:szCs w:val="21"/>
                <w:lang w:val="en-US" w:eastAsia="zh-CN"/>
              </w:rPr>
            </m:ctrlPr>
          </m:e>
          <m:sub>
            <m:r>
              <m:rPr>
                <m:sty m:val="p"/>
              </m:rPr>
              <w:rPr>
                <w:rFonts w:hint="default" w:ascii="Cambria Math" w:hAnsi="Cambria Math" w:cs="Calibri"/>
                <w:sz w:val="21"/>
                <w:szCs w:val="21"/>
                <w:lang w:val="en-US" w:eastAsia="zh-CN"/>
              </w:rPr>
              <m:t>r</m:t>
            </m:r>
            <m:ctrlPr>
              <w:rPr>
                <w:rFonts w:hint="eastAsia" w:ascii="Cambria Math" w:hAnsi="Cambria Math" w:cs="Calibri"/>
                <w:i w:val="0"/>
                <w:sz w:val="21"/>
                <w:szCs w:val="21"/>
                <w:lang w:val="en-US" w:eastAsia="zh-CN"/>
              </w:rPr>
            </m:ctrlPr>
          </m:sub>
        </m:sSub>
        <m:r>
          <m:rPr>
            <m:sty m:val="p"/>
          </m:rPr>
          <w:rPr>
            <w:rFonts w:hint="default" w:ascii="Cambria Math" w:hAnsi="Cambria Math" w:cs="Calibri"/>
            <w:sz w:val="21"/>
            <w:szCs w:val="21"/>
            <w:lang w:val="en-US" w:eastAsia="zh-CN"/>
          </w:rPr>
          <m:t>ef</m:t>
        </m:r>
      </m:oMath>
      <w:r>
        <w:rPr>
          <w:rFonts w:hint="default" w:ascii="Calibri" w:hAnsi="Calibri" w:cs="Calibri"/>
        </w:rPr>
        <w:t xml:space="preserve"> = normalization reference (50 yr); w₁, w₂, w₃ = entropy weights (0.32, 0.45, 0.23), determined by entropy weight method.</w:t>
      </w:r>
    </w:p>
    <w:p w14:paraId="60A635BC">
      <w:pPr>
        <w:ind w:firstLine="432"/>
        <w:rPr>
          <w:rFonts w:hint="default" w:ascii="Calibri" w:hAnsi="Calibri" w:cs="Calibri"/>
        </w:rPr>
      </w:pPr>
      <w:r>
        <w:rPr>
          <w:rFonts w:hint="default" w:ascii="Calibri" w:hAnsi="Calibri" w:cs="Calibri"/>
        </w:rPr>
        <w:t>Theoretical rationale for introducing carrying capacity into dynamic MFA: Traditional dynamic MFA reports sector-level flow trajectories descriptively (throughput, losses, recycling rates) but does not translate them into enterprise-level operational constraints. Carrying capacity serves as the conceptual bridge converting material flow metrics into enterprise decision variables (sustainable production scale, resource exhaustion horizon, circular transition urgency). Without this bridge, MFA findings remain descriptive rather than prescriptive for firm-level strategy. ESCCI operationalizes this bridge by aggregating flow-derived indicators (loss control, recycling rate) with a forward-looking dimension (resource duration) into a single comparative metric.</w:t>
      </w:r>
    </w:p>
    <w:p w14:paraId="29B9FBBA">
      <w:pPr>
        <w:rPr>
          <w:rFonts w:hint="default" w:ascii="Calibri" w:hAnsi="Calibri" w:cs="Calibri"/>
        </w:rPr>
      </w:pPr>
    </w:p>
    <w:p w14:paraId="05701112">
      <w:pPr>
        <w:rPr>
          <w:rFonts w:hint="default" w:ascii="Calibri" w:hAnsi="Calibri" w:cs="Calibri"/>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8815285"/>
      <w:docPartObj>
        <w:docPartGallery w:val="autotext"/>
      </w:docPartObj>
    </w:sdtPr>
    <w:sdtContent>
      <w:p w14:paraId="778FDD46">
        <w:pPr>
          <w:pStyle w:val="11"/>
          <w:jc w:val="center"/>
          <w:rPr>
            <w:rFonts w:hint="eastAsia"/>
          </w:rPr>
        </w:pPr>
        <w:r>
          <w:rPr>
            <w:rFonts w:hint="eastAsia"/>
          </w:rPr>
          <w:t>S</w:t>
        </w: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08E"/>
    <w:rsid w:val="00020C74"/>
    <w:rsid w:val="00271877"/>
    <w:rsid w:val="003C7C99"/>
    <w:rsid w:val="00611275"/>
    <w:rsid w:val="006C0574"/>
    <w:rsid w:val="0070009F"/>
    <w:rsid w:val="00761BE5"/>
    <w:rsid w:val="0076408E"/>
    <w:rsid w:val="00825D98"/>
    <w:rsid w:val="00921289"/>
    <w:rsid w:val="00A02BBA"/>
    <w:rsid w:val="00AB769A"/>
    <w:rsid w:val="00B14FB6"/>
    <w:rsid w:val="00B334D8"/>
    <w:rsid w:val="00C21032"/>
    <w:rsid w:val="00E323A2"/>
    <w:rsid w:val="00E8772F"/>
    <w:rsid w:val="00F9483D"/>
    <w:rsid w:val="01400398"/>
    <w:rsid w:val="01F06499"/>
    <w:rsid w:val="01FC2DC5"/>
    <w:rsid w:val="02A23E5E"/>
    <w:rsid w:val="053308F1"/>
    <w:rsid w:val="082F2D28"/>
    <w:rsid w:val="0908777C"/>
    <w:rsid w:val="0B116715"/>
    <w:rsid w:val="0B860EB1"/>
    <w:rsid w:val="0C846827"/>
    <w:rsid w:val="0DF76FEF"/>
    <w:rsid w:val="0E9F3C9A"/>
    <w:rsid w:val="0ED62150"/>
    <w:rsid w:val="0FC74F9C"/>
    <w:rsid w:val="11612E61"/>
    <w:rsid w:val="12383EA0"/>
    <w:rsid w:val="123D6436"/>
    <w:rsid w:val="133C6A1A"/>
    <w:rsid w:val="13465AC5"/>
    <w:rsid w:val="15447F18"/>
    <w:rsid w:val="185C3885"/>
    <w:rsid w:val="189F77F2"/>
    <w:rsid w:val="18C272A1"/>
    <w:rsid w:val="1D39655E"/>
    <w:rsid w:val="1D743260"/>
    <w:rsid w:val="1EA26D96"/>
    <w:rsid w:val="1FA3543E"/>
    <w:rsid w:val="219033A5"/>
    <w:rsid w:val="21E63DAC"/>
    <w:rsid w:val="22CF0F38"/>
    <w:rsid w:val="23CA19C3"/>
    <w:rsid w:val="276521AF"/>
    <w:rsid w:val="28146402"/>
    <w:rsid w:val="28DC0900"/>
    <w:rsid w:val="29197962"/>
    <w:rsid w:val="29FC51DA"/>
    <w:rsid w:val="2B804ABB"/>
    <w:rsid w:val="2BCB58E6"/>
    <w:rsid w:val="2D1C4D7A"/>
    <w:rsid w:val="2D407B76"/>
    <w:rsid w:val="2F275358"/>
    <w:rsid w:val="304E0633"/>
    <w:rsid w:val="306308F3"/>
    <w:rsid w:val="309B06AC"/>
    <w:rsid w:val="31BD7307"/>
    <w:rsid w:val="32EF7C1D"/>
    <w:rsid w:val="344529CD"/>
    <w:rsid w:val="34B35455"/>
    <w:rsid w:val="36755BA2"/>
    <w:rsid w:val="36A55DE0"/>
    <w:rsid w:val="3720190B"/>
    <w:rsid w:val="39985E8D"/>
    <w:rsid w:val="3A8C65AE"/>
    <w:rsid w:val="3BD35F36"/>
    <w:rsid w:val="3C0E4317"/>
    <w:rsid w:val="3C8B7826"/>
    <w:rsid w:val="3C90253B"/>
    <w:rsid w:val="3FA0183A"/>
    <w:rsid w:val="3FDB6D73"/>
    <w:rsid w:val="42825162"/>
    <w:rsid w:val="435A24D0"/>
    <w:rsid w:val="44194BC4"/>
    <w:rsid w:val="445554AC"/>
    <w:rsid w:val="44C9573D"/>
    <w:rsid w:val="472E3BD0"/>
    <w:rsid w:val="4A3425C4"/>
    <w:rsid w:val="4C5B0FC3"/>
    <w:rsid w:val="4CF44F18"/>
    <w:rsid w:val="4E45017D"/>
    <w:rsid w:val="4F996CEF"/>
    <w:rsid w:val="5052188E"/>
    <w:rsid w:val="50F5163A"/>
    <w:rsid w:val="54364459"/>
    <w:rsid w:val="544F067F"/>
    <w:rsid w:val="54AB56D0"/>
    <w:rsid w:val="585225F3"/>
    <w:rsid w:val="58776FB0"/>
    <w:rsid w:val="59AB192B"/>
    <w:rsid w:val="5A1D0965"/>
    <w:rsid w:val="5A490EEA"/>
    <w:rsid w:val="5A697A69"/>
    <w:rsid w:val="5C2B09CF"/>
    <w:rsid w:val="5C367357"/>
    <w:rsid w:val="5C840D54"/>
    <w:rsid w:val="5CC418D6"/>
    <w:rsid w:val="5D6D185B"/>
    <w:rsid w:val="6027765D"/>
    <w:rsid w:val="628132A8"/>
    <w:rsid w:val="62F3066F"/>
    <w:rsid w:val="63753777"/>
    <w:rsid w:val="6AA05414"/>
    <w:rsid w:val="6AA61BD5"/>
    <w:rsid w:val="6AB4579C"/>
    <w:rsid w:val="6AB52FBC"/>
    <w:rsid w:val="6BD32E4D"/>
    <w:rsid w:val="70260CB0"/>
    <w:rsid w:val="7052056C"/>
    <w:rsid w:val="720F788D"/>
    <w:rsid w:val="723E42D0"/>
    <w:rsid w:val="72930C07"/>
    <w:rsid w:val="751402A4"/>
    <w:rsid w:val="782F4F2E"/>
    <w:rsid w:val="78497340"/>
    <w:rsid w:val="79DA536E"/>
    <w:rsid w:val="7A39438A"/>
    <w:rsid w:val="7B847266"/>
    <w:rsid w:val="7D1D5C9D"/>
    <w:rsid w:val="7DC120E2"/>
    <w:rsid w:val="7F6B3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outlineLvl w:val="0"/>
    </w:pPr>
    <w:rPr>
      <w:rFonts w:ascii="Times New Roman" w:hAnsi="Times New Roman" w:eastAsia="宋体" w:cstheme="majorBidi"/>
      <w:b/>
      <w:szCs w:val="48"/>
    </w:rPr>
  </w:style>
  <w:style w:type="paragraph" w:styleId="3">
    <w:name w:val="heading 2"/>
    <w:basedOn w:val="1"/>
    <w:next w:val="1"/>
    <w:link w:val="19"/>
    <w:unhideWhenUsed/>
    <w:qFormat/>
    <w:uiPriority w:val="9"/>
    <w:pPr>
      <w:keepNext/>
      <w:keepLines/>
      <w:spacing w:before="160" w:after="80"/>
      <w:outlineLvl w:val="1"/>
    </w:pPr>
    <w:rPr>
      <w:rFonts w:ascii="Calibri" w:hAnsi="Calibri" w:eastAsia="仿宋" w:cstheme="majorBidi"/>
      <w:color w:val="104862" w:themeColor="accent1" w:themeShade="BF"/>
      <w:sz w:val="21"/>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Hyperlink"/>
    <w:basedOn w:val="16"/>
    <w:qFormat/>
    <w:uiPriority w:val="0"/>
    <w:rPr>
      <w:color w:val="467886" w:themeColor="hyperlink"/>
      <w:u w:val="single"/>
      <w14:textFill>
        <w14:solidFill>
          <w14:schemeClr w14:val="hlink"/>
        </w14:solidFill>
      </w14:textFill>
    </w:rPr>
  </w:style>
  <w:style w:type="character" w:customStyle="1" w:styleId="18">
    <w:name w:val="标题 1 字符"/>
    <w:basedOn w:val="16"/>
    <w:link w:val="2"/>
    <w:qFormat/>
    <w:uiPriority w:val="9"/>
    <w:rPr>
      <w:rFonts w:ascii="Times New Roman" w:hAnsi="Times New Roman" w:eastAsia="宋体" w:cstheme="majorBidi"/>
      <w:b/>
      <w:color w:val="auto"/>
      <w:sz w:val="21"/>
      <w:szCs w:val="48"/>
    </w:rPr>
  </w:style>
  <w:style w:type="character" w:customStyle="1" w:styleId="19">
    <w:name w:val="标题 2 字符"/>
    <w:link w:val="3"/>
    <w:semiHidden/>
    <w:qFormat/>
    <w:uiPriority w:val="9"/>
    <w:rPr>
      <w:rFonts w:ascii="Calibri" w:hAnsi="Calibri" w:eastAsia="仿宋" w:cstheme="majorBidi"/>
      <w:color w:val="104862" w:themeColor="accent1" w:themeShade="BF"/>
      <w:kern w:val="2"/>
      <w:sz w:val="21"/>
      <w:szCs w:val="40"/>
      <w:lang w:val="en-US" w:eastAsia="zh-CN" w:bidi="ar-SA"/>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szCs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character" w:customStyle="1" w:styleId="36">
    <w:name w:val="页眉 字符"/>
    <w:basedOn w:val="16"/>
    <w:link w:val="12"/>
    <w:qFormat/>
    <w:uiPriority w:val="99"/>
    <w:rPr>
      <w:sz w:val="18"/>
      <w:szCs w:val="18"/>
    </w:rPr>
  </w:style>
  <w:style w:type="character" w:customStyle="1" w:styleId="37">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THU</Company>
  <Pages>9</Pages>
  <Words>1706</Words>
  <Characters>10159</Characters>
  <Lines>50</Lines>
  <Paragraphs>14</Paragraphs>
  <TotalTime>0</TotalTime>
  <ScaleCrop>false</ScaleCrop>
  <LinksUpToDate>false</LinksUpToDate>
  <CharactersWithSpaces>11562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2026-05-03T02:52:00Z</dcterms:created>
  <dc:creator>Xianlai Zeng</dc:creator>
  <cp:lastModifiedBy>Lenovo</cp:lastModifiedBy>
  <dcterms:modified xsi:type="dcterms:W3CDTF">2026-08-15T08:18:06Z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eyJoZGlkIjoiNzIzMzkwYTMxYjA3NGQ2ZDBhMjcwYmEyNTE4MTBlNDYiLCJ1c2VySWQiOiI2ODg2NzY2ODMifQ==</vt:lpwstr>
  </property>
  <property fmtid="{D5CDD505-2E9C-101B-9397-08002B2CF9AE}" pid="3" name="KSOProductBuildVer">
    <vt:lpwstr>2052-12.1.0.28043</vt:lpwstr>
  </property>
  <property fmtid="{D5CDD505-2E9C-101B-9397-08002B2CF9AE}" pid="4" name="ICV">
    <vt:lpwstr>6496500547FC4794AFF3201DCC109BCA_12</vt:lpwstr>
  </property>
</Properties>
</file>