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27485F" w14:textId="77777777" w:rsidR="00E85DB2" w:rsidRPr="007D0102" w:rsidRDefault="00E85DB2" w:rsidP="00E85DB2">
      <w:pPr>
        <w:spacing w:line="276" w:lineRule="auto"/>
        <w:jc w:val="both"/>
        <w:rPr>
          <w:b/>
          <w:color w:val="000000"/>
          <w:sz w:val="32"/>
          <w:lang w:val="en-GB"/>
        </w:rPr>
      </w:pPr>
      <w:r w:rsidRPr="007D0102">
        <w:rPr>
          <w:b/>
          <w:color w:val="000000"/>
          <w:sz w:val="32"/>
          <w:lang w:val="en-GB"/>
        </w:rPr>
        <w:t xml:space="preserve">Supporting Information </w:t>
      </w:r>
    </w:p>
    <w:p w14:paraId="36101B49" w14:textId="77777777" w:rsidR="00E85DB2" w:rsidRPr="007D0102" w:rsidRDefault="00E85DB2" w:rsidP="00E85DB2">
      <w:pPr>
        <w:spacing w:line="276" w:lineRule="auto"/>
        <w:jc w:val="both"/>
        <w:rPr>
          <w:color w:val="000000"/>
          <w:lang w:val="en-GB"/>
        </w:rPr>
      </w:pPr>
    </w:p>
    <w:p w14:paraId="22F390E5" w14:textId="77777777" w:rsidR="00E85DB2" w:rsidRPr="007D0102" w:rsidRDefault="00E85DB2" w:rsidP="00E85DB2">
      <w:pPr>
        <w:spacing w:line="276" w:lineRule="auto"/>
        <w:jc w:val="both"/>
        <w:rPr>
          <w:b/>
          <w:color w:val="000000"/>
          <w:lang w:val="en-GB"/>
        </w:rPr>
      </w:pPr>
    </w:p>
    <w:p w14:paraId="750A5EB4" w14:textId="1778ABD6" w:rsidR="00E85DB2" w:rsidRPr="007D0102" w:rsidRDefault="00E85DB2" w:rsidP="00E85DB2">
      <w:pPr>
        <w:spacing w:line="276" w:lineRule="auto"/>
        <w:jc w:val="both"/>
        <w:rPr>
          <w:b/>
          <w:color w:val="000000"/>
          <w:lang w:val="en-GB"/>
        </w:rPr>
      </w:pPr>
      <w:r w:rsidRPr="007D0102">
        <w:rPr>
          <w:b/>
          <w:color w:val="000000"/>
          <w:lang w:val="en-GB"/>
        </w:rPr>
        <w:t xml:space="preserve">Membrane </w:t>
      </w:r>
      <w:r w:rsidR="00C71E95">
        <w:rPr>
          <w:b/>
          <w:color w:val="000000"/>
          <w:lang w:val="en-GB"/>
        </w:rPr>
        <w:t>testing for bacterial structural colour formation</w:t>
      </w:r>
    </w:p>
    <w:p w14:paraId="29E02477" w14:textId="77777777" w:rsidR="00E85DB2" w:rsidRPr="007D0102" w:rsidRDefault="00E85DB2" w:rsidP="00E85DB2">
      <w:pPr>
        <w:spacing w:line="276" w:lineRule="auto"/>
        <w:jc w:val="both"/>
        <w:rPr>
          <w:b/>
          <w:color w:val="000000"/>
          <w:lang w:val="en-GB"/>
        </w:rPr>
      </w:pPr>
    </w:p>
    <w:p w14:paraId="16E3B37D" w14:textId="0B64F1C9" w:rsidR="00E85DB2" w:rsidRPr="007D0102" w:rsidRDefault="00E85DB2" w:rsidP="00E85DB2">
      <w:pPr>
        <w:spacing w:after="240" w:line="276" w:lineRule="auto"/>
        <w:jc w:val="both"/>
        <w:rPr>
          <w:highlight w:val="yellow"/>
          <w:lang w:val="en-GB"/>
        </w:rPr>
      </w:pPr>
      <w:r w:rsidRPr="007D0102">
        <w:rPr>
          <w:lang w:val="en-GB"/>
        </w:rPr>
        <w:t xml:space="preserve">We tested various membranes to show the versatility of our setup. Among them, we observed that </w:t>
      </w:r>
      <w:r w:rsidRPr="007D0102">
        <w:rPr>
          <w:color w:val="000000"/>
          <w:lang w:val="en-GB"/>
        </w:rPr>
        <w:t xml:space="preserve">both dialysis tubing and cellophane membranes successfully supported biofilm growth, yielding comparable optical performances, confirming that membrane selection does not significantly affect optical quality under the conditions tested. Cellophane membranes are </w:t>
      </w:r>
      <w:r w:rsidRPr="007D0102">
        <w:rPr>
          <w:lang w:val="en-GB"/>
        </w:rPr>
        <w:t xml:space="preserve">commercially available transparent thin films made from regenerated cellulose, with a chemical composition </w:t>
      </w:r>
      <w:r w:rsidR="001154BD">
        <w:rPr>
          <w:lang w:val="en-GB"/>
        </w:rPr>
        <w:t xml:space="preserve">analogous </w:t>
      </w:r>
      <w:r w:rsidRPr="007D0102">
        <w:rPr>
          <w:lang w:val="en-GB"/>
        </w:rPr>
        <w:t xml:space="preserve">to that of a dialysis membrane but </w:t>
      </w:r>
      <w:r w:rsidR="001154BD">
        <w:rPr>
          <w:lang w:val="en-GB"/>
        </w:rPr>
        <w:t xml:space="preserve">with </w:t>
      </w:r>
      <w:r w:rsidRPr="007D0102">
        <w:rPr>
          <w:lang w:val="en-GB"/>
        </w:rPr>
        <w:t>less well-defined porosity. Similarly, homegrown Bacterial Cellulose (BC) membranes (see also Methods) offer</w:t>
      </w:r>
      <w:r w:rsidR="00C71E95">
        <w:rPr>
          <w:lang w:val="en-GB"/>
        </w:rPr>
        <w:t>ed</w:t>
      </w:r>
      <w:r w:rsidRPr="007D0102">
        <w:rPr>
          <w:lang w:val="en-GB"/>
        </w:rPr>
        <w:t xml:space="preserve"> comparable results.</w:t>
      </w:r>
    </w:p>
    <w:p w14:paraId="3869761D" w14:textId="77777777" w:rsidR="00E85DB2" w:rsidRPr="007D0102" w:rsidRDefault="00E85DB2" w:rsidP="00E85DB2">
      <w:pPr>
        <w:spacing w:line="276" w:lineRule="auto"/>
        <w:jc w:val="both"/>
        <w:rPr>
          <w:b/>
          <w:color w:val="000000"/>
          <w:lang w:val="en-GB"/>
        </w:rPr>
      </w:pPr>
    </w:p>
    <w:p w14:paraId="40E4F6C0" w14:textId="77777777" w:rsidR="00E85DB2" w:rsidRPr="007D0102" w:rsidRDefault="00E85DB2" w:rsidP="00E85DB2">
      <w:pPr>
        <w:spacing w:line="276" w:lineRule="auto"/>
        <w:jc w:val="both"/>
        <w:rPr>
          <w:b/>
          <w:color w:val="000000"/>
          <w:lang w:val="en-GB"/>
        </w:rPr>
      </w:pPr>
    </w:p>
    <w:tbl>
      <w:tblPr>
        <w:tblStyle w:val="PlainTable2"/>
        <w:tblW w:w="9603" w:type="dxa"/>
        <w:tblInd w:w="-284" w:type="dxa"/>
        <w:tblLook w:val="0600" w:firstRow="0" w:lastRow="0" w:firstColumn="0" w:lastColumn="0" w:noHBand="1" w:noVBand="1"/>
      </w:tblPr>
      <w:tblGrid>
        <w:gridCol w:w="1984"/>
        <w:gridCol w:w="1416"/>
        <w:gridCol w:w="1551"/>
        <w:gridCol w:w="1551"/>
        <w:gridCol w:w="1545"/>
        <w:gridCol w:w="1556"/>
      </w:tblGrid>
      <w:tr w:rsidR="00E85DB2" w:rsidRPr="007D0102" w14:paraId="25D721A8" w14:textId="77777777">
        <w:trPr>
          <w:trHeight w:val="691"/>
        </w:trPr>
        <w:tc>
          <w:tcPr>
            <w:tcW w:w="1994" w:type="dxa"/>
            <w:hideMark/>
          </w:tcPr>
          <w:p w14:paraId="2ADAF0C7" w14:textId="77777777" w:rsidR="00E85DB2" w:rsidRPr="007D0102" w:rsidRDefault="00E85DB2">
            <w:pPr>
              <w:jc w:val="both"/>
              <w:rPr>
                <w:b/>
                <w:lang w:val="en-GB" w:eastAsia="en-US"/>
              </w:rPr>
            </w:pPr>
            <w:r w:rsidRPr="007D0102">
              <w:rPr>
                <w:b/>
                <w:color w:val="000000" w:themeColor="text1"/>
                <w:kern w:val="24"/>
                <w:lang w:val="en-GB" w:eastAsia="en-US"/>
              </w:rPr>
              <w:t>Membrane</w:t>
            </w:r>
          </w:p>
        </w:tc>
        <w:tc>
          <w:tcPr>
            <w:tcW w:w="1385" w:type="dxa"/>
            <w:hideMark/>
          </w:tcPr>
          <w:p w14:paraId="2C53D1A5" w14:textId="77777777" w:rsidR="00E85DB2" w:rsidRPr="007D0102" w:rsidRDefault="00E85DB2">
            <w:pPr>
              <w:jc w:val="both"/>
              <w:rPr>
                <w:b/>
                <w:lang w:val="en-GB" w:eastAsia="en-US"/>
              </w:rPr>
            </w:pPr>
            <w:r w:rsidRPr="007D0102">
              <w:rPr>
                <w:b/>
                <w:color w:val="000000" w:themeColor="text1"/>
                <w:kern w:val="24"/>
                <w:lang w:val="en-GB" w:eastAsia="en-US"/>
              </w:rPr>
              <w:t>Material</w:t>
            </w:r>
          </w:p>
        </w:tc>
        <w:tc>
          <w:tcPr>
            <w:tcW w:w="1556" w:type="dxa"/>
            <w:hideMark/>
          </w:tcPr>
          <w:p w14:paraId="269E6822" w14:textId="77777777" w:rsidR="00E85DB2" w:rsidRPr="007D0102" w:rsidRDefault="00E85DB2">
            <w:pPr>
              <w:jc w:val="both"/>
              <w:rPr>
                <w:b/>
                <w:lang w:val="en-GB" w:eastAsia="en-US"/>
              </w:rPr>
            </w:pPr>
            <w:r w:rsidRPr="007D0102">
              <w:rPr>
                <w:b/>
                <w:color w:val="000000" w:themeColor="text1"/>
                <w:kern w:val="24"/>
                <w:lang w:val="en-GB" w:eastAsia="en-US"/>
              </w:rPr>
              <w:t>Thickness</w:t>
            </w:r>
          </w:p>
        </w:tc>
        <w:tc>
          <w:tcPr>
            <w:tcW w:w="1556" w:type="dxa"/>
            <w:hideMark/>
          </w:tcPr>
          <w:p w14:paraId="260D94E1" w14:textId="77777777" w:rsidR="00E85DB2" w:rsidRPr="007D0102" w:rsidRDefault="00E85DB2">
            <w:pPr>
              <w:jc w:val="both"/>
              <w:rPr>
                <w:b/>
                <w:lang w:val="en-GB" w:eastAsia="en-US"/>
              </w:rPr>
            </w:pPr>
            <w:r w:rsidRPr="007D0102">
              <w:rPr>
                <w:b/>
                <w:color w:val="000000" w:themeColor="text1"/>
                <w:kern w:val="24"/>
                <w:lang w:val="en-GB" w:eastAsia="en-US"/>
              </w:rPr>
              <w:t>Size descriptor</w:t>
            </w:r>
          </w:p>
        </w:tc>
        <w:tc>
          <w:tcPr>
            <w:tcW w:w="1556" w:type="dxa"/>
            <w:hideMark/>
          </w:tcPr>
          <w:p w14:paraId="72153BE0" w14:textId="77777777" w:rsidR="00E85DB2" w:rsidRPr="007D0102" w:rsidRDefault="00E85DB2">
            <w:pPr>
              <w:jc w:val="both"/>
              <w:rPr>
                <w:b/>
                <w:lang w:val="en-GB" w:eastAsia="en-US"/>
              </w:rPr>
            </w:pPr>
            <w:r w:rsidRPr="007D0102">
              <w:rPr>
                <w:b/>
                <w:color w:val="000000" w:themeColor="text1"/>
                <w:kern w:val="24"/>
                <w:lang w:val="en-GB" w:eastAsia="en-US"/>
              </w:rPr>
              <w:t>Value</w:t>
            </w:r>
          </w:p>
        </w:tc>
        <w:tc>
          <w:tcPr>
            <w:tcW w:w="1556" w:type="dxa"/>
            <w:hideMark/>
          </w:tcPr>
          <w:p w14:paraId="33A6ECCC" w14:textId="77777777" w:rsidR="00E85DB2" w:rsidRPr="007D0102" w:rsidRDefault="00E85DB2">
            <w:pPr>
              <w:jc w:val="both"/>
              <w:rPr>
                <w:b/>
                <w:lang w:val="en-GB" w:eastAsia="en-US"/>
              </w:rPr>
            </w:pPr>
            <w:r w:rsidRPr="007D0102">
              <w:rPr>
                <w:b/>
                <w:color w:val="000000" w:themeColor="text1"/>
                <w:kern w:val="24"/>
                <w:lang w:val="en-GB" w:eastAsia="en-US"/>
              </w:rPr>
              <w:t>Reference</w:t>
            </w:r>
          </w:p>
        </w:tc>
      </w:tr>
      <w:tr w:rsidR="00E85DB2" w:rsidRPr="007D0102" w14:paraId="1D45B3E0" w14:textId="77777777">
        <w:trPr>
          <w:trHeight w:val="903"/>
        </w:trPr>
        <w:tc>
          <w:tcPr>
            <w:tcW w:w="1994" w:type="dxa"/>
            <w:hideMark/>
          </w:tcPr>
          <w:p w14:paraId="4932F1D0" w14:textId="77777777" w:rsidR="00E85DB2" w:rsidRPr="007D0102" w:rsidRDefault="00E85DB2">
            <w:pPr>
              <w:jc w:val="both"/>
              <w:rPr>
                <w:lang w:val="en-GB" w:eastAsia="en-US"/>
              </w:rPr>
            </w:pPr>
            <w:r w:rsidRPr="007D0102">
              <w:rPr>
                <w:color w:val="000000" w:themeColor="text1"/>
                <w:kern w:val="24"/>
                <w:lang w:val="en-GB" w:eastAsia="en-US"/>
              </w:rPr>
              <w:t>Bacterial cellulose (</w:t>
            </w:r>
            <w:r w:rsidRPr="007D0102">
              <w:rPr>
                <w:i/>
                <w:color w:val="000000" w:themeColor="text1"/>
                <w:kern w:val="24"/>
                <w:lang w:val="en-GB" w:eastAsia="en-US"/>
              </w:rPr>
              <w:t xml:space="preserve">K. </w:t>
            </w:r>
            <w:proofErr w:type="spellStart"/>
            <w:r w:rsidRPr="007D0102">
              <w:rPr>
                <w:i/>
                <w:color w:val="000000" w:themeColor="text1"/>
                <w:kern w:val="24"/>
                <w:lang w:val="en-GB" w:eastAsia="en-US"/>
              </w:rPr>
              <w:t>hansenii</w:t>
            </w:r>
            <w:proofErr w:type="spellEnd"/>
            <w:r w:rsidRPr="007D0102">
              <w:rPr>
                <w:color w:val="000000" w:themeColor="text1"/>
                <w:kern w:val="24"/>
                <w:lang w:val="en-GB" w:eastAsia="en-US"/>
              </w:rPr>
              <w:t>)</w:t>
            </w:r>
          </w:p>
        </w:tc>
        <w:tc>
          <w:tcPr>
            <w:tcW w:w="1385" w:type="dxa"/>
            <w:hideMark/>
          </w:tcPr>
          <w:p w14:paraId="427392DA" w14:textId="77777777" w:rsidR="00E85DB2" w:rsidRPr="007D0102" w:rsidRDefault="00E85DB2">
            <w:pPr>
              <w:jc w:val="both"/>
              <w:rPr>
                <w:lang w:val="en-GB" w:eastAsia="en-US"/>
              </w:rPr>
            </w:pPr>
            <w:r w:rsidRPr="007D0102">
              <w:rPr>
                <w:color w:val="000000" w:themeColor="text1"/>
                <w:kern w:val="24"/>
                <w:lang w:val="en-GB" w:eastAsia="en-US"/>
              </w:rPr>
              <w:t>Native BC</w:t>
            </w:r>
          </w:p>
        </w:tc>
        <w:tc>
          <w:tcPr>
            <w:tcW w:w="1556" w:type="dxa"/>
            <w:hideMark/>
          </w:tcPr>
          <w:p w14:paraId="66D58A50" w14:textId="77777777" w:rsidR="00E85DB2" w:rsidRPr="007D0102" w:rsidRDefault="00E85DB2">
            <w:pPr>
              <w:jc w:val="both"/>
              <w:rPr>
                <w:lang w:val="en-GB" w:eastAsia="en-US"/>
              </w:rPr>
            </w:pPr>
            <w:r w:rsidRPr="007D0102">
              <w:rPr>
                <w:color w:val="000000" w:themeColor="text1"/>
                <w:kern w:val="24"/>
                <w:lang w:val="en-GB" w:eastAsia="en-US"/>
              </w:rPr>
              <w:t>~500 µm</w:t>
            </w:r>
          </w:p>
        </w:tc>
        <w:tc>
          <w:tcPr>
            <w:tcW w:w="1556" w:type="dxa"/>
            <w:hideMark/>
          </w:tcPr>
          <w:p w14:paraId="29280617" w14:textId="77777777" w:rsidR="00E85DB2" w:rsidRPr="007D0102" w:rsidRDefault="00E85DB2">
            <w:pPr>
              <w:jc w:val="both"/>
              <w:rPr>
                <w:lang w:val="en-GB" w:eastAsia="en-US"/>
              </w:rPr>
            </w:pPr>
            <w:r w:rsidRPr="007D0102">
              <w:rPr>
                <w:color w:val="000000" w:themeColor="text1"/>
                <w:kern w:val="24"/>
                <w:lang w:val="en-GB" w:eastAsia="en-US"/>
              </w:rPr>
              <w:t>Effective pore size</w:t>
            </w:r>
          </w:p>
        </w:tc>
        <w:tc>
          <w:tcPr>
            <w:tcW w:w="1556" w:type="dxa"/>
            <w:hideMark/>
          </w:tcPr>
          <w:p w14:paraId="7F7E70D3" w14:textId="77777777" w:rsidR="00E85DB2" w:rsidRPr="007D0102" w:rsidRDefault="00E85DB2">
            <w:pPr>
              <w:jc w:val="both"/>
              <w:rPr>
                <w:lang w:val="en-GB" w:eastAsia="en-US"/>
              </w:rPr>
            </w:pPr>
            <w:r w:rsidRPr="007D0102">
              <w:rPr>
                <w:color w:val="000000" w:themeColor="text1"/>
                <w:kern w:val="24"/>
                <w:lang w:val="en-GB" w:eastAsia="en-US"/>
              </w:rPr>
              <w:t>~2–4 nm</w:t>
            </w:r>
          </w:p>
        </w:tc>
        <w:tc>
          <w:tcPr>
            <w:tcW w:w="1556" w:type="dxa"/>
            <w:hideMark/>
          </w:tcPr>
          <w:p w14:paraId="30BB5201" w14:textId="77777777" w:rsidR="00E85DB2" w:rsidRPr="007D0102" w:rsidRDefault="00E85DB2">
            <w:pPr>
              <w:jc w:val="both"/>
              <w:rPr>
                <w:lang w:val="en-GB" w:eastAsia="en-US"/>
              </w:rPr>
            </w:pPr>
            <w:r w:rsidRPr="007D0102">
              <w:rPr>
                <w:color w:val="000000" w:themeColor="text1"/>
                <w:kern w:val="24"/>
                <w:lang w:val="en-GB" w:eastAsia="en-US"/>
              </w:rPr>
              <w:t>[</w:t>
            </w:r>
            <w:r w:rsidRPr="007D0102">
              <w:rPr>
                <w:color w:val="000000" w:themeColor="text1"/>
                <w:kern w:val="24"/>
                <w:lang w:val="en-GB" w:eastAsia="en-US"/>
              </w:rPr>
              <w:fldChar w:fldCharType="begin"/>
            </w:r>
            <w:r>
              <w:rPr>
                <w:color w:val="000000" w:themeColor="text1"/>
                <w:kern w:val="24"/>
                <w:lang w:val="en-GB" w:eastAsia="en-US"/>
              </w:rPr>
              <w:instrText xml:space="preserve"> ADDIN ZOTERO_ITEM CSL_CITATION {"citationID":"cclXmlVq","properties":{"formattedCitation":"\\super 39\\nosupersub{}","plainCitation":"39","noteIndex":0},"citationItems":[{"id":2339,"uris":["http://zotero.org/users/14426708/items/HNXXAQIU"],"itemData":{"id":2339,"type":"article-journal","citation-key":"sokolnicki2006","container-title":"Journal of Membrane Science","DOI":"10.1016/j.memsci.2005.06.065","ISSN":"03767388","issue":"1-2","journalAbbreviation":"Journal of Membrane Science","language":"en","license":"https://www.elsevier.com/tdm/userlicense/1.0/","page":"15-27","source":"DOI.org (Crossref)","title":"Permeability of bacterial cellulose membranes","volume":"272","author":[{"family":"Sokolnicki","given":"Adam M."},{"family":"Fisher","given":"Robert J."},{"family":"Harrah","given":"Timothy P."},{"family":"Kaplan","given":"David L."}],"issued":{"date-parts":[["2006",3]]}}}],"schema":"https://github.com/citation-style-language/schema/raw/master/csl-citation.json"} </w:instrText>
            </w:r>
            <w:r w:rsidRPr="007D0102">
              <w:rPr>
                <w:color w:val="000000" w:themeColor="text1"/>
                <w:kern w:val="24"/>
                <w:lang w:val="en-GB" w:eastAsia="en-US"/>
              </w:rPr>
              <w:fldChar w:fldCharType="separate"/>
            </w:r>
            <w:r w:rsidRPr="00057D23">
              <w:rPr>
                <w:vertAlign w:val="superscript"/>
                <w:lang w:val="en-GB"/>
              </w:rPr>
              <w:t>39</w:t>
            </w:r>
            <w:r w:rsidRPr="007D0102">
              <w:rPr>
                <w:color w:val="000000" w:themeColor="text1"/>
                <w:kern w:val="24"/>
                <w:lang w:val="en-GB" w:eastAsia="en-US"/>
              </w:rPr>
              <w:fldChar w:fldCharType="end"/>
            </w:r>
            <w:r w:rsidRPr="007D0102">
              <w:rPr>
                <w:color w:val="000000" w:themeColor="text1"/>
                <w:kern w:val="24"/>
                <w:lang w:val="en-GB" w:eastAsia="en-US"/>
              </w:rPr>
              <w:t>]</w:t>
            </w:r>
          </w:p>
        </w:tc>
      </w:tr>
      <w:tr w:rsidR="00E85DB2" w:rsidRPr="007D0102" w14:paraId="57D08496" w14:textId="77777777">
        <w:trPr>
          <w:trHeight w:val="744"/>
        </w:trPr>
        <w:tc>
          <w:tcPr>
            <w:tcW w:w="1994" w:type="dxa"/>
            <w:hideMark/>
          </w:tcPr>
          <w:p w14:paraId="1612651B" w14:textId="77777777" w:rsidR="00E85DB2" w:rsidRPr="007D0102" w:rsidRDefault="00E85DB2">
            <w:pPr>
              <w:jc w:val="both"/>
              <w:rPr>
                <w:lang w:val="en-GB" w:eastAsia="en-US"/>
              </w:rPr>
            </w:pPr>
            <w:r w:rsidRPr="007D0102">
              <w:rPr>
                <w:color w:val="000000" w:themeColor="text1"/>
                <w:kern w:val="24"/>
                <w:lang w:val="en-GB" w:eastAsia="en-US"/>
              </w:rPr>
              <w:t>Dialysis membrane (Membra-Cel™)</w:t>
            </w:r>
          </w:p>
        </w:tc>
        <w:tc>
          <w:tcPr>
            <w:tcW w:w="1385" w:type="dxa"/>
            <w:hideMark/>
          </w:tcPr>
          <w:p w14:paraId="5ABD7048" w14:textId="77777777" w:rsidR="00E85DB2" w:rsidRPr="007D0102" w:rsidRDefault="00E85DB2">
            <w:pPr>
              <w:jc w:val="both"/>
              <w:rPr>
                <w:lang w:val="en-GB" w:eastAsia="en-US"/>
              </w:rPr>
            </w:pPr>
            <w:r w:rsidRPr="007D0102">
              <w:rPr>
                <w:color w:val="000000" w:themeColor="text1"/>
                <w:kern w:val="24"/>
                <w:lang w:val="en-GB" w:eastAsia="en-US"/>
              </w:rPr>
              <w:t>Regenerated cellulose</w:t>
            </w:r>
          </w:p>
        </w:tc>
        <w:tc>
          <w:tcPr>
            <w:tcW w:w="1556" w:type="dxa"/>
            <w:hideMark/>
          </w:tcPr>
          <w:p w14:paraId="30897231" w14:textId="77777777" w:rsidR="00E85DB2" w:rsidRPr="007D0102" w:rsidRDefault="00E85DB2">
            <w:pPr>
              <w:jc w:val="both"/>
              <w:rPr>
                <w:lang w:val="en-GB" w:eastAsia="en-US"/>
              </w:rPr>
            </w:pPr>
            <w:r w:rsidRPr="007D0102">
              <w:rPr>
                <w:color w:val="000000" w:themeColor="text1"/>
                <w:kern w:val="24"/>
                <w:lang w:val="en-GB" w:eastAsia="en-US"/>
              </w:rPr>
              <w:t>20 µm</w:t>
            </w:r>
          </w:p>
        </w:tc>
        <w:tc>
          <w:tcPr>
            <w:tcW w:w="1556" w:type="dxa"/>
            <w:hideMark/>
          </w:tcPr>
          <w:p w14:paraId="23EE9B31" w14:textId="77777777" w:rsidR="00E85DB2" w:rsidRPr="007D0102" w:rsidRDefault="00E85DB2">
            <w:pPr>
              <w:jc w:val="both"/>
              <w:rPr>
                <w:lang w:val="en-GB" w:eastAsia="en-US"/>
              </w:rPr>
            </w:pPr>
            <w:r w:rsidRPr="007D0102">
              <w:rPr>
                <w:color w:val="000000" w:themeColor="text1"/>
                <w:kern w:val="24"/>
                <w:lang w:val="en-GB" w:eastAsia="en-US"/>
              </w:rPr>
              <w:t>MWCO</w:t>
            </w:r>
          </w:p>
        </w:tc>
        <w:tc>
          <w:tcPr>
            <w:tcW w:w="1556" w:type="dxa"/>
            <w:hideMark/>
          </w:tcPr>
          <w:p w14:paraId="13C47507" w14:textId="77777777" w:rsidR="00E85DB2" w:rsidRPr="007D0102" w:rsidRDefault="00E85DB2">
            <w:pPr>
              <w:jc w:val="both"/>
              <w:rPr>
                <w:lang w:val="en-GB" w:eastAsia="en-US"/>
              </w:rPr>
            </w:pPr>
            <w:r w:rsidRPr="007D0102">
              <w:rPr>
                <w:color w:val="000000" w:themeColor="text1"/>
                <w:kern w:val="24"/>
                <w:lang w:val="en-GB" w:eastAsia="en-US"/>
              </w:rPr>
              <w:t>14.000 Da</w:t>
            </w:r>
          </w:p>
        </w:tc>
        <w:tc>
          <w:tcPr>
            <w:tcW w:w="1556" w:type="dxa"/>
            <w:hideMark/>
          </w:tcPr>
          <w:p w14:paraId="72CA594B" w14:textId="77777777" w:rsidR="00E85DB2" w:rsidRPr="007D0102" w:rsidRDefault="00E85DB2">
            <w:pPr>
              <w:jc w:val="both"/>
              <w:rPr>
                <w:lang w:val="en-GB" w:eastAsia="en-US"/>
              </w:rPr>
            </w:pPr>
            <w:r w:rsidRPr="007D0102">
              <w:rPr>
                <w:color w:val="000000" w:themeColor="text1"/>
                <w:kern w:val="24"/>
                <w:lang w:val="en-GB" w:eastAsia="en-US"/>
              </w:rPr>
              <w:t>Manufacture specifications</w:t>
            </w:r>
          </w:p>
        </w:tc>
      </w:tr>
      <w:tr w:rsidR="00E85DB2" w:rsidRPr="007D0102" w14:paraId="54D4E61C" w14:textId="77777777">
        <w:trPr>
          <w:trHeight w:val="850"/>
        </w:trPr>
        <w:tc>
          <w:tcPr>
            <w:tcW w:w="1994" w:type="dxa"/>
            <w:hideMark/>
          </w:tcPr>
          <w:p w14:paraId="757B4F85" w14:textId="77777777" w:rsidR="00E85DB2" w:rsidRPr="00057D23" w:rsidRDefault="00E85DB2">
            <w:pPr>
              <w:jc w:val="both"/>
              <w:rPr>
                <w:lang w:val="en-GB" w:eastAsia="en-US"/>
              </w:rPr>
            </w:pPr>
            <w:r w:rsidRPr="007D0102">
              <w:rPr>
                <w:color w:val="000000" w:themeColor="text1"/>
                <w:kern w:val="24"/>
                <w:lang w:val="en-GB" w:eastAsia="en-US"/>
              </w:rPr>
              <w:t>Cellophane sheets (Sigma Z377600)</w:t>
            </w:r>
          </w:p>
        </w:tc>
        <w:tc>
          <w:tcPr>
            <w:tcW w:w="1385" w:type="dxa"/>
            <w:hideMark/>
          </w:tcPr>
          <w:p w14:paraId="16A6AA23" w14:textId="77777777" w:rsidR="00E85DB2" w:rsidRPr="007D0102" w:rsidRDefault="00E85DB2">
            <w:pPr>
              <w:jc w:val="both"/>
              <w:rPr>
                <w:lang w:val="en-GB" w:eastAsia="en-US"/>
              </w:rPr>
            </w:pPr>
            <w:r w:rsidRPr="007D0102">
              <w:rPr>
                <w:color w:val="000000" w:themeColor="text1"/>
                <w:kern w:val="24"/>
                <w:lang w:val="en-GB" w:eastAsia="en-US"/>
              </w:rPr>
              <w:t>Regenerated cellulose</w:t>
            </w:r>
          </w:p>
        </w:tc>
        <w:tc>
          <w:tcPr>
            <w:tcW w:w="1556" w:type="dxa"/>
            <w:hideMark/>
          </w:tcPr>
          <w:p w14:paraId="12D9CE45" w14:textId="77777777" w:rsidR="00E85DB2" w:rsidRPr="007D0102" w:rsidRDefault="00E85DB2">
            <w:pPr>
              <w:jc w:val="both"/>
              <w:rPr>
                <w:lang w:val="en-GB" w:eastAsia="en-US"/>
              </w:rPr>
            </w:pPr>
            <w:r w:rsidRPr="007D0102">
              <w:rPr>
                <w:color w:val="000000" w:themeColor="text1"/>
                <w:kern w:val="24"/>
                <w:lang w:val="en-GB" w:eastAsia="en-US"/>
              </w:rPr>
              <w:t>Not specified</w:t>
            </w:r>
          </w:p>
        </w:tc>
        <w:tc>
          <w:tcPr>
            <w:tcW w:w="1556" w:type="dxa"/>
            <w:hideMark/>
          </w:tcPr>
          <w:p w14:paraId="48CAE078" w14:textId="77777777" w:rsidR="00E85DB2" w:rsidRPr="007D0102" w:rsidRDefault="00E85DB2">
            <w:pPr>
              <w:jc w:val="both"/>
              <w:rPr>
                <w:lang w:val="en-GB" w:eastAsia="en-US"/>
              </w:rPr>
            </w:pPr>
            <w:r w:rsidRPr="007D0102">
              <w:rPr>
                <w:color w:val="000000" w:themeColor="text1"/>
                <w:kern w:val="24"/>
                <w:lang w:val="en-GB" w:eastAsia="en-US"/>
              </w:rPr>
              <w:t>Pore size</w:t>
            </w:r>
          </w:p>
        </w:tc>
        <w:tc>
          <w:tcPr>
            <w:tcW w:w="1556" w:type="dxa"/>
            <w:hideMark/>
          </w:tcPr>
          <w:p w14:paraId="2A12264D" w14:textId="77777777" w:rsidR="00E85DB2" w:rsidRPr="007D0102" w:rsidRDefault="00E85DB2">
            <w:pPr>
              <w:jc w:val="both"/>
              <w:rPr>
                <w:lang w:val="en-GB" w:eastAsia="en-US"/>
              </w:rPr>
            </w:pPr>
            <w:r w:rsidRPr="007D0102">
              <w:rPr>
                <w:color w:val="000000" w:themeColor="text1"/>
                <w:kern w:val="24"/>
                <w:lang w:val="en-GB" w:eastAsia="en-US"/>
              </w:rPr>
              <w:t>~4 nm</w:t>
            </w:r>
          </w:p>
        </w:tc>
        <w:tc>
          <w:tcPr>
            <w:tcW w:w="1556" w:type="dxa"/>
            <w:hideMark/>
          </w:tcPr>
          <w:p w14:paraId="15540F1F" w14:textId="77777777" w:rsidR="00E85DB2" w:rsidRPr="007D0102" w:rsidRDefault="00E85DB2">
            <w:pPr>
              <w:jc w:val="both"/>
              <w:rPr>
                <w:lang w:val="en-GB" w:eastAsia="en-US"/>
              </w:rPr>
            </w:pPr>
            <w:r w:rsidRPr="007D0102">
              <w:rPr>
                <w:color w:val="000000" w:themeColor="text1"/>
                <w:kern w:val="24"/>
                <w:lang w:val="en-GB" w:eastAsia="en-US"/>
              </w:rPr>
              <w:t>[</w:t>
            </w:r>
            <w:r w:rsidRPr="007D0102">
              <w:rPr>
                <w:color w:val="000000" w:themeColor="text1"/>
                <w:kern w:val="24"/>
                <w:lang w:val="en-GB" w:eastAsia="en-US"/>
              </w:rPr>
              <w:fldChar w:fldCharType="begin"/>
            </w:r>
            <w:r>
              <w:rPr>
                <w:color w:val="000000" w:themeColor="text1"/>
                <w:kern w:val="24"/>
                <w:lang w:val="en-GB" w:eastAsia="en-US"/>
              </w:rPr>
              <w:instrText xml:space="preserve"> ADDIN ZOTERO_ITEM CSL_CITATION {"citationID":"OSwuED8S","properties":{"formattedCitation":"\\super 40\\nosupersub{}","plainCitation":"40","noteIndex":0},"citationItems":[{"id":2340,"uris":["http://zotero.org/users/14426708/items/KUIK5GJC"],"itemData":{"id":2340,"type":"article-journal","citation-key":"kazmi1973","container-title":"Journal of Pharmaceutical Sciences","DOI":"10.1002/jps.2600620814","ISSN":"00223549","issue":"8","journalAbbreviation":"Journal of Pharmaceutical Sciences","language":"en","license":"https://www.elsevier.com/tdm/userlicense/1.0/","page":"1299-1302","source":"DOI.org (Crossref)","title":"Cellophane as a Dialysis Membrane for Studying Nonionic Surfactants","volume":"62","author":[{"family":"Kazmi","given":"S.J.A."},{"family":"Mitchell","given":"A.G."}],"issued":{"date-parts":[["1973",8]]}}}],"schema":"https://github.com/citation-style-language/schema/raw/master/csl-citation.json"} </w:instrText>
            </w:r>
            <w:r w:rsidRPr="007D0102">
              <w:rPr>
                <w:color w:val="000000" w:themeColor="text1"/>
                <w:kern w:val="24"/>
                <w:lang w:val="en-GB" w:eastAsia="en-US"/>
              </w:rPr>
              <w:fldChar w:fldCharType="separate"/>
            </w:r>
            <w:r w:rsidRPr="00057D23">
              <w:rPr>
                <w:vertAlign w:val="superscript"/>
                <w:lang w:val="en-GB"/>
              </w:rPr>
              <w:t>40</w:t>
            </w:r>
            <w:r w:rsidRPr="007D0102">
              <w:rPr>
                <w:color w:val="000000" w:themeColor="text1"/>
                <w:kern w:val="24"/>
                <w:lang w:val="en-GB" w:eastAsia="en-US"/>
              </w:rPr>
              <w:fldChar w:fldCharType="end"/>
            </w:r>
            <w:r w:rsidRPr="007D0102">
              <w:rPr>
                <w:color w:val="000000" w:themeColor="text1"/>
                <w:kern w:val="24"/>
                <w:lang w:val="en-GB" w:eastAsia="en-US"/>
              </w:rPr>
              <w:t>]</w:t>
            </w:r>
          </w:p>
        </w:tc>
      </w:tr>
    </w:tbl>
    <w:p w14:paraId="068CB5D0" w14:textId="77777777" w:rsidR="00E85DB2" w:rsidRPr="007D0102" w:rsidRDefault="00E85DB2" w:rsidP="00E85DB2">
      <w:pPr>
        <w:spacing w:after="160" w:line="256" w:lineRule="auto"/>
        <w:jc w:val="both"/>
        <w:rPr>
          <w:sz w:val="22"/>
          <w:lang w:val="en-GB"/>
        </w:rPr>
      </w:pPr>
      <w:r w:rsidRPr="007D0102">
        <w:rPr>
          <w:b/>
          <w:sz w:val="22"/>
          <w:lang w:val="en-GB"/>
        </w:rPr>
        <w:t xml:space="preserve">Table S1. </w:t>
      </w:r>
      <w:r w:rsidRPr="007D0102">
        <w:rPr>
          <w:sz w:val="22"/>
          <w:lang w:val="en-GB"/>
        </w:rPr>
        <w:t>List of membranes used as support for the biofilm growth.</w:t>
      </w:r>
    </w:p>
    <w:p w14:paraId="5F27A6C8" w14:textId="77777777" w:rsidR="00E85DB2" w:rsidRPr="007D0102" w:rsidRDefault="00E85DB2" w:rsidP="00A42E9E">
      <w:pPr>
        <w:spacing w:line="276" w:lineRule="auto"/>
        <w:jc w:val="both"/>
        <w:rPr>
          <w:b/>
          <w:color w:val="000000"/>
          <w:lang w:val="en-GB"/>
        </w:rPr>
      </w:pPr>
    </w:p>
    <w:p w14:paraId="64CFC8A9" w14:textId="77777777" w:rsidR="00B93CA8" w:rsidRDefault="00B93CA8" w:rsidP="0084343A">
      <w:pPr>
        <w:spacing w:after="160" w:line="278" w:lineRule="auto"/>
        <w:jc w:val="both"/>
        <w:rPr>
          <w:b/>
          <w:lang w:val="en-GB"/>
        </w:rPr>
      </w:pPr>
      <w:r>
        <w:rPr>
          <w:b/>
          <w:lang w:val="en-GB"/>
        </w:rPr>
        <w:t>Cost estimates between agar-based and cellophane membrane-based cultivation methods</w:t>
      </w:r>
    </w:p>
    <w:p w14:paraId="1251EABE" w14:textId="3A9C529C" w:rsidR="00B93CA8" w:rsidRDefault="00B93CA8" w:rsidP="0084343A">
      <w:pPr>
        <w:spacing w:after="160"/>
        <w:jc w:val="both"/>
      </w:pPr>
      <w:r>
        <w:t xml:space="preserve">We give a simple, materials-only estimate of the substrate cost of the two culture routes. Only substrate-forming materials are counted; </w:t>
      </w:r>
      <w:r w:rsidR="001154BD">
        <w:t>labor</w:t>
      </w:r>
      <w:r>
        <w:t>, equipment and the nutrient medium (common to both methods) are excluded. The agar gelling agent is included, as it is discarded with every culture cycle.</w:t>
      </w:r>
    </w:p>
    <w:p w14:paraId="6BA72B5A" w14:textId="11B97116" w:rsidR="00B93CA8" w:rsidRDefault="00B93CA8" w:rsidP="0084343A">
      <w:pPr>
        <w:spacing w:after="160"/>
        <w:jc w:val="both"/>
      </w:pPr>
      <w:r>
        <w:t xml:space="preserve">We </w:t>
      </w:r>
      <w:r w:rsidR="001154BD">
        <w:t>us</w:t>
      </w:r>
      <w:r>
        <w:t xml:space="preserve">e 1 m² of biofilm as a reference and assume </w:t>
      </w:r>
      <w:r w:rsidR="001154BD">
        <w:t xml:space="preserve">that </w:t>
      </w:r>
      <w:r>
        <w:t>the two substrates yield</w:t>
      </w:r>
      <w:r w:rsidR="001154BD">
        <w:t xml:space="preserve"> comparably</w:t>
      </w:r>
      <w:r>
        <w:t xml:space="preserve"> per unit area. Covering this area by the conventional route </w:t>
      </w:r>
      <w:r w:rsidR="001154BD">
        <w:t>require</w:t>
      </w:r>
      <w:r>
        <w:t xml:space="preserve">s </w:t>
      </w:r>
      <w:r w:rsidR="001154BD">
        <w:t>an</w:t>
      </w:r>
      <w:r>
        <w:t xml:space="preserve"> order </w:t>
      </w:r>
      <w:r w:rsidR="001154BD">
        <w:t xml:space="preserve">of </w:t>
      </w:r>
      <w:r>
        <w:t xml:space="preserve">180 single-use 90 mm Petri dishes, each set with a thin agar gel (~0.25 g of agar) that is </w:t>
      </w:r>
      <w:r w:rsidR="001154BD">
        <w:t>discarded</w:t>
      </w:r>
      <w:r>
        <w:t xml:space="preserve"> after one cycle. The membrane route grows the same area on a </w:t>
      </w:r>
      <w:proofErr w:type="spellStart"/>
      <w:r w:rsidR="001154BD">
        <w:t>sterilised</w:t>
      </w:r>
      <w:proofErr w:type="spellEnd"/>
      <w:r w:rsidR="001154BD">
        <w:t>, reusable cellophane sheet, so its cost is counted here as a single-use cost and decreases</w:t>
      </w:r>
      <w:r>
        <w:t xml:space="preserve"> with each reuse.</w:t>
      </w:r>
    </w:p>
    <w:p w14:paraId="0736FB9B" w14:textId="11D1AD04" w:rsidR="00B93CA8" w:rsidRDefault="00B93CA8" w:rsidP="0084343A">
      <w:pPr>
        <w:spacing w:after="160"/>
        <w:jc w:val="both"/>
      </w:pPr>
      <w:r>
        <w:t>Using representative laboratory- and bulk/consumer-grade prices (commercial suppliers, June 2026), the costs break down as in Table S1. At laboratory grade</w:t>
      </w:r>
      <w:r w:rsidR="001154BD">
        <w:t>,</w:t>
      </w:r>
      <w:r>
        <w:t xml:space="preserve"> the Petri dishes (~€45) make up most of the cost</w:t>
      </w:r>
      <w:r w:rsidR="001154BD">
        <w:t>,</w:t>
      </w:r>
      <w:r>
        <w:t xml:space="preserve"> and the agar adds ~€15, so the agar route totals ~€60/m²; the single cellophane </w:t>
      </w:r>
      <w:r>
        <w:lastRenderedPageBreak/>
        <w:t>sheet is ~€12/m², about fivefold less. In bulk these fall to ~€19 (dishes) and ~€1 (agar) which adds up to ~€20/m² together, against ~€1/m² for cellophane, about twentyfold less.</w:t>
      </w:r>
    </w:p>
    <w:p w14:paraId="635F2FF7" w14:textId="6E63882E" w:rsidR="00B93CA8" w:rsidRDefault="00B93CA8" w:rsidP="00B93CA8">
      <w:pPr>
        <w:spacing w:before="60" w:after="80"/>
      </w:pPr>
    </w:p>
    <w:tbl>
      <w:tblPr>
        <w:tblStyle w:val="PlainTable2"/>
        <w:tblW w:w="9026" w:type="dxa"/>
        <w:tblLayout w:type="fixed"/>
        <w:tblLook w:val="04A0" w:firstRow="1" w:lastRow="0" w:firstColumn="1" w:lastColumn="0" w:noHBand="0" w:noVBand="1"/>
      </w:tblPr>
      <w:tblGrid>
        <w:gridCol w:w="3686"/>
        <w:gridCol w:w="539"/>
        <w:gridCol w:w="1729"/>
        <w:gridCol w:w="3072"/>
      </w:tblGrid>
      <w:tr w:rsidR="00B93CA8" w14:paraId="7C070C41" w14:textId="77777777" w:rsidTr="008434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bottom w:val="nil"/>
            </w:tcBorders>
          </w:tcPr>
          <w:p w14:paraId="55BFFB95" w14:textId="77777777" w:rsidR="00B93CA8" w:rsidRDefault="00B93CA8">
            <w:r>
              <w:t>Item (per m² of biofilm)</w:t>
            </w:r>
          </w:p>
        </w:tc>
        <w:tc>
          <w:tcPr>
            <w:tcW w:w="2268" w:type="dxa"/>
            <w:gridSpan w:val="2"/>
            <w:tcBorders>
              <w:bottom w:val="nil"/>
            </w:tcBorders>
          </w:tcPr>
          <w:p w14:paraId="41236FB3" w14:textId="77777777" w:rsidR="00B93CA8" w:rsidRDefault="00B93CA8">
            <w:pPr>
              <w:cnfStyle w:val="100000000000" w:firstRow="1" w:lastRow="0" w:firstColumn="0" w:lastColumn="0" w:oddVBand="0" w:evenVBand="0" w:oddHBand="0" w:evenHBand="0" w:firstRowFirstColumn="0" w:firstRowLastColumn="0" w:lastRowFirstColumn="0" w:lastRowLastColumn="0"/>
            </w:pPr>
            <w:r>
              <w:t>Laboratory grade</w:t>
            </w:r>
          </w:p>
        </w:tc>
        <w:tc>
          <w:tcPr>
            <w:tcW w:w="3072" w:type="dxa"/>
            <w:tcBorders>
              <w:bottom w:val="nil"/>
            </w:tcBorders>
          </w:tcPr>
          <w:p w14:paraId="07810770" w14:textId="77777777" w:rsidR="00B93CA8" w:rsidRDefault="00B93CA8">
            <w:pPr>
              <w:cnfStyle w:val="100000000000" w:firstRow="1" w:lastRow="0" w:firstColumn="0" w:lastColumn="0" w:oddVBand="0" w:evenVBand="0" w:oddHBand="0" w:evenHBand="0" w:firstRowFirstColumn="0" w:firstRowLastColumn="0" w:lastRowFirstColumn="0" w:lastRowLastColumn="0"/>
            </w:pPr>
            <w:r>
              <w:t>Bulk / consumer grade</w:t>
            </w:r>
          </w:p>
        </w:tc>
      </w:tr>
      <w:tr w:rsidR="00B93CA8" w:rsidRPr="00B93CA8" w14:paraId="3F7916DC" w14:textId="77777777" w:rsidTr="00843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gridSpan w:val="2"/>
            <w:tcBorders>
              <w:top w:val="nil"/>
              <w:bottom w:val="nil"/>
            </w:tcBorders>
          </w:tcPr>
          <w:p w14:paraId="356E1F23" w14:textId="77777777" w:rsidR="00B93CA8" w:rsidRPr="0084343A" w:rsidRDefault="00B93CA8">
            <w:pPr>
              <w:rPr>
                <w:b w:val="0"/>
                <w:bCs w:val="0"/>
              </w:rPr>
            </w:pPr>
            <w:r w:rsidRPr="00B93CA8">
              <w:t xml:space="preserve">Petri dishes (≈180, </w:t>
            </w:r>
            <w:proofErr w:type="gramStart"/>
            <w:r w:rsidRPr="00B93CA8">
              <w:t>single-use</w:t>
            </w:r>
            <w:proofErr w:type="gramEnd"/>
            <w:r w:rsidRPr="00B93CA8">
              <w:t>)</w:t>
            </w:r>
          </w:p>
        </w:tc>
        <w:tc>
          <w:tcPr>
            <w:tcW w:w="1729" w:type="dxa"/>
            <w:tcBorders>
              <w:top w:val="nil"/>
              <w:bottom w:val="nil"/>
            </w:tcBorders>
          </w:tcPr>
          <w:p w14:paraId="5CAD4F90" w14:textId="77777777" w:rsidR="00B93CA8" w:rsidRPr="00B93CA8" w:rsidRDefault="00B93CA8">
            <w:pPr>
              <w:cnfStyle w:val="000000100000" w:firstRow="0" w:lastRow="0" w:firstColumn="0" w:lastColumn="0" w:oddVBand="0" w:evenVBand="0" w:oddHBand="1" w:evenHBand="0" w:firstRowFirstColumn="0" w:firstRowLastColumn="0" w:lastRowFirstColumn="0" w:lastRowLastColumn="0"/>
            </w:pPr>
            <w:r w:rsidRPr="00B93CA8">
              <w:t>~€45</w:t>
            </w:r>
          </w:p>
        </w:tc>
        <w:tc>
          <w:tcPr>
            <w:tcW w:w="3072" w:type="dxa"/>
            <w:tcBorders>
              <w:top w:val="nil"/>
              <w:bottom w:val="nil"/>
            </w:tcBorders>
          </w:tcPr>
          <w:p w14:paraId="7FD23CF2" w14:textId="77777777" w:rsidR="00B93CA8" w:rsidRPr="00B93CA8" w:rsidRDefault="00B93CA8">
            <w:pPr>
              <w:cnfStyle w:val="000000100000" w:firstRow="0" w:lastRow="0" w:firstColumn="0" w:lastColumn="0" w:oddVBand="0" w:evenVBand="0" w:oddHBand="1" w:evenHBand="0" w:firstRowFirstColumn="0" w:firstRowLastColumn="0" w:lastRowFirstColumn="0" w:lastRowLastColumn="0"/>
            </w:pPr>
            <w:r w:rsidRPr="00B93CA8">
              <w:t>~€19</w:t>
            </w:r>
          </w:p>
        </w:tc>
      </w:tr>
      <w:tr w:rsidR="00B93CA8" w:rsidRPr="00B93CA8" w14:paraId="623E90AD" w14:textId="77777777" w:rsidTr="0084343A">
        <w:tc>
          <w:tcPr>
            <w:cnfStyle w:val="001000000000" w:firstRow="0" w:lastRow="0" w:firstColumn="1" w:lastColumn="0" w:oddVBand="0" w:evenVBand="0" w:oddHBand="0" w:evenHBand="0" w:firstRowFirstColumn="0" w:firstRowLastColumn="0" w:lastRowFirstColumn="0" w:lastRowLastColumn="0"/>
            <w:tcW w:w="4225" w:type="dxa"/>
            <w:gridSpan w:val="2"/>
            <w:tcBorders>
              <w:top w:val="nil"/>
              <w:bottom w:val="nil"/>
            </w:tcBorders>
          </w:tcPr>
          <w:p w14:paraId="236ED502" w14:textId="77777777" w:rsidR="00B93CA8" w:rsidRPr="0084343A" w:rsidRDefault="00B93CA8">
            <w:pPr>
              <w:rPr>
                <w:b w:val="0"/>
                <w:bCs w:val="0"/>
              </w:rPr>
            </w:pPr>
            <w:r w:rsidRPr="00B93CA8">
              <w:t>Agar gel (≈45 g)</w:t>
            </w:r>
          </w:p>
        </w:tc>
        <w:tc>
          <w:tcPr>
            <w:tcW w:w="1729" w:type="dxa"/>
            <w:tcBorders>
              <w:top w:val="nil"/>
              <w:bottom w:val="nil"/>
            </w:tcBorders>
          </w:tcPr>
          <w:p w14:paraId="6DEE7475" w14:textId="77777777" w:rsidR="00B93CA8" w:rsidRPr="00B93CA8" w:rsidRDefault="00B93CA8">
            <w:pPr>
              <w:cnfStyle w:val="000000000000" w:firstRow="0" w:lastRow="0" w:firstColumn="0" w:lastColumn="0" w:oddVBand="0" w:evenVBand="0" w:oddHBand="0" w:evenHBand="0" w:firstRowFirstColumn="0" w:firstRowLastColumn="0" w:lastRowFirstColumn="0" w:lastRowLastColumn="0"/>
            </w:pPr>
            <w:r w:rsidRPr="00B93CA8">
              <w:t>~€15</w:t>
            </w:r>
          </w:p>
        </w:tc>
        <w:tc>
          <w:tcPr>
            <w:tcW w:w="3072" w:type="dxa"/>
            <w:tcBorders>
              <w:top w:val="nil"/>
              <w:bottom w:val="nil"/>
            </w:tcBorders>
          </w:tcPr>
          <w:p w14:paraId="6FF69853" w14:textId="77777777" w:rsidR="00B93CA8" w:rsidRPr="00B93CA8" w:rsidRDefault="00B93CA8">
            <w:pPr>
              <w:cnfStyle w:val="000000000000" w:firstRow="0" w:lastRow="0" w:firstColumn="0" w:lastColumn="0" w:oddVBand="0" w:evenVBand="0" w:oddHBand="0" w:evenHBand="0" w:firstRowFirstColumn="0" w:firstRowLastColumn="0" w:lastRowFirstColumn="0" w:lastRowLastColumn="0"/>
            </w:pPr>
            <w:r w:rsidRPr="00B93CA8">
              <w:t>~€1</w:t>
            </w:r>
          </w:p>
        </w:tc>
      </w:tr>
      <w:tr w:rsidR="00B93CA8" w:rsidRPr="00B93CA8" w14:paraId="20DAD5AB" w14:textId="77777777" w:rsidTr="00843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gridSpan w:val="2"/>
            <w:tcBorders>
              <w:top w:val="nil"/>
              <w:bottom w:val="nil"/>
            </w:tcBorders>
          </w:tcPr>
          <w:p w14:paraId="154125AD" w14:textId="77777777" w:rsidR="00B93CA8" w:rsidRPr="0084343A" w:rsidRDefault="00B93CA8">
            <w:pPr>
              <w:rPr>
                <w:b w:val="0"/>
                <w:bCs w:val="0"/>
              </w:rPr>
            </w:pPr>
            <w:r w:rsidRPr="00B93CA8">
              <w:t>Agar method — total</w:t>
            </w:r>
          </w:p>
        </w:tc>
        <w:tc>
          <w:tcPr>
            <w:tcW w:w="1729" w:type="dxa"/>
            <w:tcBorders>
              <w:top w:val="nil"/>
              <w:bottom w:val="nil"/>
            </w:tcBorders>
          </w:tcPr>
          <w:p w14:paraId="7F4F15BE" w14:textId="77777777" w:rsidR="00B93CA8" w:rsidRPr="00B93CA8" w:rsidRDefault="00B93CA8">
            <w:pPr>
              <w:cnfStyle w:val="000000100000" w:firstRow="0" w:lastRow="0" w:firstColumn="0" w:lastColumn="0" w:oddVBand="0" w:evenVBand="0" w:oddHBand="1" w:evenHBand="0" w:firstRowFirstColumn="0" w:firstRowLastColumn="0" w:lastRowFirstColumn="0" w:lastRowLastColumn="0"/>
            </w:pPr>
            <w:r w:rsidRPr="0084343A">
              <w:t>~€60</w:t>
            </w:r>
          </w:p>
        </w:tc>
        <w:tc>
          <w:tcPr>
            <w:tcW w:w="3072" w:type="dxa"/>
            <w:tcBorders>
              <w:top w:val="nil"/>
              <w:bottom w:val="nil"/>
            </w:tcBorders>
          </w:tcPr>
          <w:p w14:paraId="18020732" w14:textId="77777777" w:rsidR="00B93CA8" w:rsidRPr="00B93CA8" w:rsidRDefault="00B93CA8">
            <w:pPr>
              <w:cnfStyle w:val="000000100000" w:firstRow="0" w:lastRow="0" w:firstColumn="0" w:lastColumn="0" w:oddVBand="0" w:evenVBand="0" w:oddHBand="1" w:evenHBand="0" w:firstRowFirstColumn="0" w:firstRowLastColumn="0" w:lastRowFirstColumn="0" w:lastRowLastColumn="0"/>
            </w:pPr>
            <w:r w:rsidRPr="0084343A">
              <w:t>~€20</w:t>
            </w:r>
          </w:p>
        </w:tc>
      </w:tr>
      <w:tr w:rsidR="00B93CA8" w:rsidRPr="00B93CA8" w14:paraId="612749FB" w14:textId="77777777" w:rsidTr="0084343A">
        <w:tc>
          <w:tcPr>
            <w:cnfStyle w:val="001000000000" w:firstRow="0" w:lastRow="0" w:firstColumn="1" w:lastColumn="0" w:oddVBand="0" w:evenVBand="0" w:oddHBand="0" w:evenHBand="0" w:firstRowFirstColumn="0" w:firstRowLastColumn="0" w:lastRowFirstColumn="0" w:lastRowLastColumn="0"/>
            <w:tcW w:w="4225" w:type="dxa"/>
            <w:gridSpan w:val="2"/>
            <w:tcBorders>
              <w:top w:val="nil"/>
              <w:bottom w:val="nil"/>
            </w:tcBorders>
          </w:tcPr>
          <w:p w14:paraId="0643C60F" w14:textId="77777777" w:rsidR="00B93CA8" w:rsidRPr="0084343A" w:rsidRDefault="00B93CA8">
            <w:pPr>
              <w:rPr>
                <w:b w:val="0"/>
                <w:bCs w:val="0"/>
              </w:rPr>
            </w:pPr>
            <w:r w:rsidRPr="00B93CA8">
              <w:t>Cellophane membrane (single use)</w:t>
            </w:r>
          </w:p>
        </w:tc>
        <w:tc>
          <w:tcPr>
            <w:tcW w:w="1729" w:type="dxa"/>
            <w:tcBorders>
              <w:top w:val="nil"/>
              <w:bottom w:val="nil"/>
            </w:tcBorders>
          </w:tcPr>
          <w:p w14:paraId="7111E51E" w14:textId="77777777" w:rsidR="00B93CA8" w:rsidRPr="00B93CA8" w:rsidRDefault="00B93CA8">
            <w:pPr>
              <w:cnfStyle w:val="000000000000" w:firstRow="0" w:lastRow="0" w:firstColumn="0" w:lastColumn="0" w:oddVBand="0" w:evenVBand="0" w:oddHBand="0" w:evenHBand="0" w:firstRowFirstColumn="0" w:firstRowLastColumn="0" w:lastRowFirstColumn="0" w:lastRowLastColumn="0"/>
            </w:pPr>
            <w:r w:rsidRPr="00B93CA8">
              <w:t>~€12</w:t>
            </w:r>
          </w:p>
        </w:tc>
        <w:tc>
          <w:tcPr>
            <w:tcW w:w="3072" w:type="dxa"/>
            <w:tcBorders>
              <w:top w:val="nil"/>
              <w:bottom w:val="nil"/>
            </w:tcBorders>
          </w:tcPr>
          <w:p w14:paraId="568FAE87" w14:textId="77777777" w:rsidR="00B93CA8" w:rsidRPr="00B93CA8" w:rsidRDefault="00B93CA8">
            <w:pPr>
              <w:cnfStyle w:val="000000000000" w:firstRow="0" w:lastRow="0" w:firstColumn="0" w:lastColumn="0" w:oddVBand="0" w:evenVBand="0" w:oddHBand="0" w:evenHBand="0" w:firstRowFirstColumn="0" w:firstRowLastColumn="0" w:lastRowFirstColumn="0" w:lastRowLastColumn="0"/>
            </w:pPr>
            <w:r w:rsidRPr="00B93CA8">
              <w:t>~€1</w:t>
            </w:r>
          </w:p>
        </w:tc>
      </w:tr>
      <w:tr w:rsidR="00B93CA8" w:rsidRPr="00B93CA8" w14:paraId="6E3F46C6" w14:textId="77777777" w:rsidTr="00843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gridSpan w:val="2"/>
            <w:tcBorders>
              <w:top w:val="nil"/>
              <w:bottom w:val="nil"/>
            </w:tcBorders>
          </w:tcPr>
          <w:p w14:paraId="3B4E1353" w14:textId="77777777" w:rsidR="00B93CA8" w:rsidRPr="0084343A" w:rsidRDefault="00B93CA8">
            <w:pPr>
              <w:rPr>
                <w:b w:val="0"/>
                <w:bCs w:val="0"/>
              </w:rPr>
            </w:pPr>
            <w:r w:rsidRPr="00B93CA8">
              <w:t>Cost reduction (agar ÷ cellophane)</w:t>
            </w:r>
          </w:p>
        </w:tc>
        <w:tc>
          <w:tcPr>
            <w:tcW w:w="1729" w:type="dxa"/>
            <w:tcBorders>
              <w:top w:val="nil"/>
              <w:bottom w:val="nil"/>
            </w:tcBorders>
          </w:tcPr>
          <w:p w14:paraId="3D483BA2" w14:textId="77777777" w:rsidR="00B93CA8" w:rsidRPr="00B93CA8" w:rsidRDefault="00B93CA8">
            <w:pPr>
              <w:cnfStyle w:val="000000100000" w:firstRow="0" w:lastRow="0" w:firstColumn="0" w:lastColumn="0" w:oddVBand="0" w:evenVBand="0" w:oddHBand="1" w:evenHBand="0" w:firstRowFirstColumn="0" w:firstRowLastColumn="0" w:lastRowFirstColumn="0" w:lastRowLastColumn="0"/>
            </w:pPr>
            <w:r w:rsidRPr="0084343A">
              <w:t>~5×</w:t>
            </w:r>
          </w:p>
        </w:tc>
        <w:tc>
          <w:tcPr>
            <w:tcW w:w="3072" w:type="dxa"/>
            <w:tcBorders>
              <w:top w:val="nil"/>
              <w:bottom w:val="nil"/>
            </w:tcBorders>
          </w:tcPr>
          <w:p w14:paraId="17247F95" w14:textId="77777777" w:rsidR="00B93CA8" w:rsidRPr="00B93CA8" w:rsidRDefault="00B93CA8">
            <w:pPr>
              <w:cnfStyle w:val="000000100000" w:firstRow="0" w:lastRow="0" w:firstColumn="0" w:lastColumn="0" w:oddVBand="0" w:evenVBand="0" w:oddHBand="1" w:evenHBand="0" w:firstRowFirstColumn="0" w:firstRowLastColumn="0" w:lastRowFirstColumn="0" w:lastRowLastColumn="0"/>
            </w:pPr>
            <w:r w:rsidRPr="0084343A">
              <w:t>~20×</w:t>
            </w:r>
          </w:p>
        </w:tc>
      </w:tr>
    </w:tbl>
    <w:p w14:paraId="0C8B1D5B" w14:textId="54F60D71" w:rsidR="00B93CA8" w:rsidRPr="0084343A" w:rsidRDefault="00B93CA8" w:rsidP="00B93CA8">
      <w:pPr>
        <w:spacing w:before="200" w:after="160"/>
        <w:rPr>
          <w:sz w:val="22"/>
          <w:szCs w:val="22"/>
        </w:rPr>
      </w:pPr>
      <w:r w:rsidRPr="0084343A">
        <w:rPr>
          <w:b/>
          <w:bCs/>
          <w:sz w:val="22"/>
          <w:szCs w:val="22"/>
        </w:rPr>
        <w:t>Table S2</w:t>
      </w:r>
      <w:r w:rsidRPr="0084343A">
        <w:rPr>
          <w:sz w:val="22"/>
          <w:szCs w:val="22"/>
        </w:rPr>
        <w:t>. Approximate substrate material cost per m² of biofilm (materials only; rounded order-of-magnitude estimates).</w:t>
      </w:r>
    </w:p>
    <w:p w14:paraId="4FF1F69D" w14:textId="77777777" w:rsidR="00B93CA8" w:rsidRDefault="00B93CA8" w:rsidP="00B93CA8">
      <w:pPr>
        <w:spacing w:before="200" w:after="160"/>
      </w:pPr>
      <w:r>
        <w:t xml:space="preserve">The advantage is therefore structural rather than incidental: most of the agar-route cost is the single-use Petri dish, which is discarded every cycle and is unaffected by reagent grade, whereas the cellophane membrane is inexpensive and reusable. </w:t>
      </w:r>
    </w:p>
    <w:p w14:paraId="108EB49D" w14:textId="587CA525" w:rsidR="00B93CA8" w:rsidRPr="0084343A" w:rsidRDefault="0084343A" w:rsidP="00B93CA8">
      <w:pPr>
        <w:spacing w:before="80"/>
        <w:rPr>
          <w:sz w:val="20"/>
          <w:szCs w:val="20"/>
        </w:rPr>
      </w:pPr>
      <w:r w:rsidRPr="0084343A">
        <w:rPr>
          <w:color w:val="444444"/>
          <w:sz w:val="20"/>
          <w:szCs w:val="20"/>
        </w:rPr>
        <w:t>*</w:t>
      </w:r>
      <w:r w:rsidR="00B93CA8" w:rsidRPr="0084343A">
        <w:rPr>
          <w:color w:val="444444"/>
          <w:sz w:val="20"/>
          <w:szCs w:val="20"/>
        </w:rPr>
        <w:t>Representative price sources (June 2026): bacteriological / food-grade agar (</w:t>
      </w:r>
      <w:hyperlink r:id="rId4">
        <w:r w:rsidR="00B93CA8" w:rsidRPr="0084343A">
          <w:rPr>
            <w:rStyle w:val="Hyperlink"/>
            <w:rFonts w:eastAsiaTheme="majorEastAsia"/>
            <w:sz w:val="20"/>
            <w:szCs w:val="20"/>
          </w:rPr>
          <w:t>rpicorp.com</w:t>
        </w:r>
      </w:hyperlink>
      <w:r w:rsidR="00B93CA8" w:rsidRPr="0084343A">
        <w:rPr>
          <w:color w:val="444444"/>
          <w:sz w:val="20"/>
          <w:szCs w:val="20"/>
        </w:rPr>
        <w:t>); sterile 90 mm Petri dishes (</w:t>
      </w:r>
      <w:hyperlink r:id="rId5">
        <w:r w:rsidR="00B93CA8" w:rsidRPr="0084343A">
          <w:rPr>
            <w:rStyle w:val="Hyperlink"/>
            <w:rFonts w:eastAsiaTheme="majorEastAsia"/>
            <w:sz w:val="20"/>
            <w:szCs w:val="20"/>
          </w:rPr>
          <w:t>thermofisher.com</w:t>
        </w:r>
      </w:hyperlink>
      <w:r w:rsidR="00B93CA8" w:rsidRPr="0084343A">
        <w:rPr>
          <w:color w:val="444444"/>
          <w:sz w:val="20"/>
          <w:szCs w:val="20"/>
        </w:rPr>
        <w:t>); regenerated-cellulose cellophane (</w:t>
      </w:r>
      <w:hyperlink r:id="rId6">
        <w:r w:rsidR="00B93CA8" w:rsidRPr="0084343A">
          <w:rPr>
            <w:rStyle w:val="Hyperlink"/>
            <w:rFonts w:eastAsiaTheme="majorEastAsia"/>
            <w:sz w:val="20"/>
            <w:szCs w:val="20"/>
          </w:rPr>
          <w:t>sigmaaldrich.com</w:t>
        </w:r>
      </w:hyperlink>
      <w:r w:rsidR="00B93CA8" w:rsidRPr="0084343A">
        <w:rPr>
          <w:color w:val="444444"/>
          <w:sz w:val="20"/>
          <w:szCs w:val="20"/>
        </w:rPr>
        <w:t>). Bulk/consumer-grade equivalents are available from general suppliers.</w:t>
      </w:r>
    </w:p>
    <w:p w14:paraId="0F3625AB" w14:textId="77777777" w:rsidR="00E85DB2" w:rsidRDefault="00E85DB2" w:rsidP="00E85DB2">
      <w:pPr>
        <w:spacing w:after="160" w:line="278" w:lineRule="auto"/>
        <w:rPr>
          <w:b/>
          <w:lang w:val="en-GB"/>
        </w:rPr>
      </w:pPr>
    </w:p>
    <w:p w14:paraId="7BC66F2F" w14:textId="77777777" w:rsidR="002B5DC7" w:rsidRDefault="002B5DC7" w:rsidP="00E85DB2">
      <w:pPr>
        <w:spacing w:after="160" w:line="278" w:lineRule="auto"/>
        <w:rPr>
          <w:b/>
          <w:lang w:val="en-GB"/>
        </w:rPr>
      </w:pPr>
    </w:p>
    <w:p w14:paraId="74B151F1" w14:textId="22A84B63" w:rsidR="009F48EC" w:rsidRDefault="009F48EC" w:rsidP="00E85DB2">
      <w:pPr>
        <w:spacing w:after="160" w:line="278" w:lineRule="auto"/>
        <w:rPr>
          <w:b/>
          <w:lang w:val="en-GB"/>
        </w:rPr>
      </w:pPr>
      <w:r>
        <w:rPr>
          <w:b/>
          <w:noProof/>
          <w:lang w:val="en-GB"/>
        </w:rPr>
        <w:drawing>
          <wp:inline distT="0" distB="0" distL="0" distR="0" wp14:anchorId="223B76ED" wp14:editId="6C44B388">
            <wp:extent cx="6157595" cy="14325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7595" cy="1432560"/>
                    </a:xfrm>
                    <a:prstGeom prst="rect">
                      <a:avLst/>
                    </a:prstGeom>
                    <a:noFill/>
                  </pic:spPr>
                </pic:pic>
              </a:graphicData>
            </a:graphic>
          </wp:inline>
        </w:drawing>
      </w:r>
    </w:p>
    <w:p w14:paraId="37967651" w14:textId="12340521" w:rsidR="002B5DC7" w:rsidRPr="0084343A" w:rsidRDefault="009F48EC" w:rsidP="009F48EC">
      <w:pPr>
        <w:spacing w:after="160" w:line="278" w:lineRule="auto"/>
        <w:rPr>
          <w:bCs/>
          <w:sz w:val="22"/>
          <w:szCs w:val="22"/>
          <w:lang w:val="en-GB"/>
        </w:rPr>
      </w:pPr>
      <w:r w:rsidRPr="00977C31">
        <w:rPr>
          <w:b/>
          <w:sz w:val="22"/>
          <w:szCs w:val="22"/>
          <w:lang w:val="en-GB"/>
        </w:rPr>
        <w:t>Figure S</w:t>
      </w:r>
      <w:r>
        <w:rPr>
          <w:b/>
          <w:sz w:val="22"/>
          <w:szCs w:val="22"/>
          <w:lang w:val="en-GB"/>
        </w:rPr>
        <w:t>3</w:t>
      </w:r>
      <w:r w:rsidRPr="00977C31">
        <w:rPr>
          <w:b/>
          <w:sz w:val="22"/>
          <w:szCs w:val="22"/>
          <w:lang w:val="en-GB"/>
        </w:rPr>
        <w:t>.</w:t>
      </w:r>
      <w:r>
        <w:rPr>
          <w:b/>
          <w:sz w:val="22"/>
          <w:szCs w:val="22"/>
          <w:lang w:val="en-GB"/>
        </w:rPr>
        <w:t xml:space="preserve"> </w:t>
      </w:r>
      <w:r>
        <w:rPr>
          <w:bCs/>
          <w:sz w:val="22"/>
          <w:szCs w:val="22"/>
          <w:lang w:val="en-GB"/>
        </w:rPr>
        <w:t xml:space="preserve">Biofilm of </w:t>
      </w:r>
      <w:r w:rsidR="00C71E95">
        <w:rPr>
          <w:bCs/>
          <w:sz w:val="22"/>
          <w:szCs w:val="22"/>
          <w:lang w:val="en-GB"/>
        </w:rPr>
        <w:t>living</w:t>
      </w:r>
      <w:r>
        <w:rPr>
          <w:bCs/>
          <w:sz w:val="22"/>
          <w:szCs w:val="22"/>
          <w:lang w:val="en-GB"/>
        </w:rPr>
        <w:t xml:space="preserve"> a) </w:t>
      </w:r>
      <w:r w:rsidRPr="0084343A">
        <w:rPr>
          <w:bCs/>
          <w:i/>
          <w:iCs/>
          <w:sz w:val="22"/>
          <w:szCs w:val="22"/>
          <w:lang w:val="en-GB"/>
        </w:rPr>
        <w:t>Flavobacterium</w:t>
      </w:r>
      <w:r>
        <w:rPr>
          <w:bCs/>
          <w:sz w:val="22"/>
          <w:szCs w:val="22"/>
          <w:lang w:val="en-GB"/>
        </w:rPr>
        <w:t xml:space="preserve"> IR1 M16 and b) </w:t>
      </w:r>
      <w:r w:rsidRPr="0084343A">
        <w:rPr>
          <w:bCs/>
          <w:i/>
          <w:iCs/>
          <w:sz w:val="22"/>
          <w:szCs w:val="22"/>
          <w:lang w:val="en-GB"/>
        </w:rPr>
        <w:t xml:space="preserve">C. </w:t>
      </w:r>
      <w:proofErr w:type="spellStart"/>
      <w:r w:rsidRPr="0084343A">
        <w:rPr>
          <w:bCs/>
          <w:i/>
          <w:iCs/>
          <w:sz w:val="22"/>
          <w:szCs w:val="22"/>
          <w:lang w:val="en-GB"/>
        </w:rPr>
        <w:t>lytica</w:t>
      </w:r>
      <w:proofErr w:type="spellEnd"/>
      <w:r>
        <w:rPr>
          <w:bCs/>
          <w:sz w:val="22"/>
          <w:szCs w:val="22"/>
          <w:lang w:val="en-GB"/>
        </w:rPr>
        <w:t xml:space="preserve"> PLYA2 grown on membranes. c) Same biofilm in b) after butyl glycol treatment.  </w:t>
      </w:r>
    </w:p>
    <w:p w14:paraId="38359C2E" w14:textId="2F141BD8" w:rsidR="009E41B0" w:rsidRPr="0084343A" w:rsidRDefault="002B5DC7" w:rsidP="00E85DB2">
      <w:pPr>
        <w:spacing w:after="160" w:line="278" w:lineRule="auto"/>
        <w:rPr>
          <w:b/>
          <w:lang w:val="en-GB"/>
        </w:rPr>
      </w:pPr>
      <w:r w:rsidRPr="0084343A">
        <w:rPr>
          <w:b/>
          <w:lang w:val="en-GB"/>
        </w:rPr>
        <w:t>Optical response is preserved at smaller sizes</w:t>
      </w:r>
    </w:p>
    <w:p w14:paraId="6AB9190B" w14:textId="7C7A65CE" w:rsidR="00CB5B35" w:rsidRPr="007D0102" w:rsidRDefault="00CB5B35" w:rsidP="00CB5B35">
      <w:pPr>
        <w:spacing w:line="276" w:lineRule="auto"/>
        <w:jc w:val="both"/>
        <w:rPr>
          <w:lang w:val="en-GB"/>
        </w:rPr>
      </w:pPr>
      <w:r w:rsidRPr="0084343A">
        <w:rPr>
          <w:lang w:val="en-GB"/>
        </w:rPr>
        <w:t xml:space="preserve">As </w:t>
      </w:r>
      <w:r w:rsidR="001154BD" w:rsidRPr="0084343A">
        <w:rPr>
          <w:lang w:val="en-GB"/>
        </w:rPr>
        <w:t>expected,</w:t>
      </w:r>
      <w:r w:rsidRPr="0084343A">
        <w:rPr>
          <w:lang w:val="en-GB"/>
        </w:rPr>
        <w:t xml:space="preserve"> and </w:t>
      </w:r>
      <w:r w:rsidR="0084343A">
        <w:rPr>
          <w:lang w:val="en-GB"/>
        </w:rPr>
        <w:t xml:space="preserve">as </w:t>
      </w:r>
      <w:r w:rsidRPr="0084343A">
        <w:rPr>
          <w:lang w:val="en-GB"/>
        </w:rPr>
        <w:t xml:space="preserve">shown in </w:t>
      </w:r>
      <w:r w:rsidRPr="0084343A">
        <w:rPr>
          <w:b/>
          <w:bCs/>
          <w:lang w:val="en-GB"/>
        </w:rPr>
        <w:t>Figure S4</w:t>
      </w:r>
      <w:r w:rsidRPr="0084343A">
        <w:rPr>
          <w:lang w:val="en-GB"/>
        </w:rPr>
        <w:t xml:space="preserve">, smaller particles </w:t>
      </w:r>
      <w:r w:rsidR="0084343A">
        <w:rPr>
          <w:lang w:val="en-GB"/>
        </w:rPr>
        <w:t>exhibit</w:t>
      </w:r>
      <w:r w:rsidRPr="0084343A">
        <w:rPr>
          <w:lang w:val="en-GB"/>
        </w:rPr>
        <w:t xml:space="preserve"> lower reflectivity, suggesting that the size-reduction process </w:t>
      </w:r>
      <w:r w:rsidR="0084343A">
        <w:rPr>
          <w:lang w:val="en-GB"/>
        </w:rPr>
        <w:t>ma</w:t>
      </w:r>
      <w:r w:rsidRPr="0084343A">
        <w:rPr>
          <w:lang w:val="en-GB"/>
        </w:rPr>
        <w:t xml:space="preserve">y affect the original thickness of the biofilm. However, the colouration is maintained </w:t>
      </w:r>
      <w:r w:rsidR="00C71E95">
        <w:rPr>
          <w:lang w:val="en-GB"/>
        </w:rPr>
        <w:t xml:space="preserve">overall </w:t>
      </w:r>
      <w:r w:rsidRPr="0084343A">
        <w:rPr>
          <w:lang w:val="en-GB"/>
        </w:rPr>
        <w:t xml:space="preserve">when viewed by eye. </w:t>
      </w:r>
    </w:p>
    <w:p w14:paraId="4806080B" w14:textId="77777777" w:rsidR="00CB5B35" w:rsidRDefault="00CB5B35" w:rsidP="00E85DB2">
      <w:pPr>
        <w:spacing w:after="160" w:line="278" w:lineRule="auto"/>
        <w:rPr>
          <w:b/>
          <w:lang w:val="en-GB"/>
        </w:rPr>
      </w:pPr>
    </w:p>
    <w:p w14:paraId="77B8240D" w14:textId="151E7F6B" w:rsidR="002B5DC7" w:rsidRDefault="002B5DC7" w:rsidP="00E85DB2">
      <w:pPr>
        <w:spacing w:after="160" w:line="278" w:lineRule="auto"/>
        <w:rPr>
          <w:b/>
          <w:lang w:val="en-GB"/>
        </w:rPr>
      </w:pPr>
      <w:r>
        <w:rPr>
          <w:b/>
          <w:noProof/>
          <w:lang w:val="en-GB"/>
        </w:rPr>
        <w:lastRenderedPageBreak/>
        <w:drawing>
          <wp:inline distT="0" distB="0" distL="0" distR="0" wp14:anchorId="40B7071C" wp14:editId="17BD8A02">
            <wp:extent cx="5231130" cy="3828415"/>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1130" cy="3828415"/>
                    </a:xfrm>
                    <a:prstGeom prst="rect">
                      <a:avLst/>
                    </a:prstGeom>
                    <a:noFill/>
                  </pic:spPr>
                </pic:pic>
              </a:graphicData>
            </a:graphic>
          </wp:inline>
        </w:drawing>
      </w:r>
    </w:p>
    <w:p w14:paraId="6446A3B3" w14:textId="2B5306F2" w:rsidR="002B5DC7" w:rsidRPr="0084343A" w:rsidRDefault="002B5DC7" w:rsidP="002B5DC7">
      <w:pPr>
        <w:spacing w:after="160" w:line="278" w:lineRule="auto"/>
        <w:rPr>
          <w:bCs/>
          <w:sz w:val="22"/>
          <w:szCs w:val="22"/>
          <w:lang w:val="en-GB"/>
        </w:rPr>
      </w:pPr>
      <w:r w:rsidRPr="0084343A">
        <w:rPr>
          <w:b/>
          <w:sz w:val="22"/>
          <w:szCs w:val="22"/>
          <w:lang w:val="en-GB"/>
        </w:rPr>
        <w:t>Figure S</w:t>
      </w:r>
      <w:r>
        <w:rPr>
          <w:b/>
          <w:sz w:val="22"/>
          <w:szCs w:val="22"/>
          <w:lang w:val="en-GB"/>
        </w:rPr>
        <w:t>4</w:t>
      </w:r>
      <w:r w:rsidRPr="0084343A">
        <w:rPr>
          <w:b/>
          <w:sz w:val="22"/>
          <w:szCs w:val="22"/>
          <w:lang w:val="en-GB"/>
        </w:rPr>
        <w:t xml:space="preserve">. </w:t>
      </w:r>
      <w:r w:rsidRPr="0084343A">
        <w:rPr>
          <w:bCs/>
          <w:sz w:val="22"/>
          <w:szCs w:val="22"/>
          <w:lang w:val="en-GB"/>
        </w:rPr>
        <w:t>a) Optical micrographs of red, green, and blue flakes (grown on agar plates) of different size and b-d) corresponding reflectance spectra, averaged over 10 flakes for each kind. The standard deviation is shown as lighter coloured contour of the relative averaged spectra. Measurements taken in dark field mode using a 20x objective. Spectra normalised to a white standard. Scalebars 100 µm.</w:t>
      </w:r>
    </w:p>
    <w:p w14:paraId="3DE9969D" w14:textId="77777777" w:rsidR="002B5DC7" w:rsidRDefault="002B5DC7" w:rsidP="00E85DB2">
      <w:pPr>
        <w:spacing w:after="160" w:line="278" w:lineRule="auto"/>
        <w:rPr>
          <w:b/>
          <w:lang w:val="en-GB"/>
        </w:rPr>
      </w:pPr>
    </w:p>
    <w:p w14:paraId="03BD3BDE" w14:textId="378F0E1D" w:rsidR="002B5DC7" w:rsidRDefault="00087CC0" w:rsidP="00E85DB2">
      <w:pPr>
        <w:spacing w:after="160" w:line="278" w:lineRule="auto"/>
        <w:rPr>
          <w:b/>
          <w:lang w:val="en-GB"/>
        </w:rPr>
      </w:pPr>
      <w:r>
        <w:rPr>
          <w:b/>
          <w:noProof/>
          <w:lang w:val="en-GB"/>
        </w:rPr>
        <w:drawing>
          <wp:inline distT="0" distB="0" distL="0" distR="0" wp14:anchorId="511967B5" wp14:editId="6E1BB22B">
            <wp:extent cx="6102350" cy="187769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2350" cy="1877695"/>
                    </a:xfrm>
                    <a:prstGeom prst="rect">
                      <a:avLst/>
                    </a:prstGeom>
                    <a:noFill/>
                  </pic:spPr>
                </pic:pic>
              </a:graphicData>
            </a:graphic>
          </wp:inline>
        </w:drawing>
      </w:r>
    </w:p>
    <w:p w14:paraId="4C2E8992" w14:textId="3ADA7DBD" w:rsidR="00087CC0" w:rsidRDefault="00087CC0" w:rsidP="0084343A">
      <w:pPr>
        <w:spacing w:after="160" w:line="278" w:lineRule="auto"/>
        <w:jc w:val="both"/>
        <w:rPr>
          <w:color w:val="000000" w:themeColor="text1"/>
          <w:sz w:val="22"/>
          <w:szCs w:val="22"/>
          <w:lang w:val="en-GB"/>
        </w:rPr>
      </w:pPr>
      <w:r>
        <w:rPr>
          <w:b/>
          <w:color w:val="000000" w:themeColor="text1"/>
          <w:sz w:val="22"/>
          <w:szCs w:val="22"/>
          <w:lang w:val="en-GB"/>
        </w:rPr>
        <w:t>Figure S5</w:t>
      </w:r>
      <w:r w:rsidRPr="00A15504">
        <w:rPr>
          <w:i/>
          <w:color w:val="000000" w:themeColor="text1"/>
          <w:sz w:val="22"/>
          <w:szCs w:val="22"/>
          <w:lang w:val="en-GB"/>
        </w:rPr>
        <w:t>.</w:t>
      </w:r>
      <w:r w:rsidRPr="00A15504">
        <w:rPr>
          <w:color w:val="000000" w:themeColor="text1"/>
          <w:sz w:val="22"/>
          <w:szCs w:val="22"/>
          <w:lang w:val="en-GB"/>
        </w:rPr>
        <w:t xml:space="preserve"> </w:t>
      </w:r>
      <w:r w:rsidRPr="001154BD">
        <w:rPr>
          <w:color w:val="000000" w:themeColor="text1"/>
          <w:sz w:val="22"/>
          <w:szCs w:val="22"/>
          <w:lang w:val="en-GB"/>
        </w:rPr>
        <w:t xml:space="preserve">Morphology of bacterial large pigment flakes (green colour). a) Overview of a large flake showing the intact macroscopic structure. b) Cross-section revealing the full biofilm thickness and the crystalline organisation of the cells. c) High-magnification view of the flake surface, confirming that </w:t>
      </w:r>
      <w:r w:rsidR="0084343A" w:rsidRPr="001154BD">
        <w:rPr>
          <w:color w:val="000000" w:themeColor="text1"/>
          <w:sz w:val="22"/>
          <w:szCs w:val="22"/>
          <w:lang w:val="en-GB"/>
        </w:rPr>
        <w:t xml:space="preserve">the </w:t>
      </w:r>
      <w:r w:rsidRPr="001154BD">
        <w:rPr>
          <w:color w:val="000000" w:themeColor="text1"/>
          <w:sz w:val="22"/>
          <w:szCs w:val="22"/>
          <w:lang w:val="en-GB"/>
        </w:rPr>
        <w:t>ordered nanostructure of the rod-shaped bacterial cells is retained within the plane of the film after fixation and mechanical fragmentation.</w:t>
      </w:r>
    </w:p>
    <w:p w14:paraId="1D6DC76F" w14:textId="189F7A4A" w:rsidR="00087CC0" w:rsidRDefault="00087CC0" w:rsidP="00E85DB2">
      <w:pPr>
        <w:spacing w:after="160" w:line="278" w:lineRule="auto"/>
        <w:rPr>
          <w:b/>
          <w:lang w:val="en-GB"/>
        </w:rPr>
      </w:pPr>
      <w:r>
        <w:rPr>
          <w:b/>
          <w:noProof/>
          <w:lang w:val="en-GB"/>
        </w:rPr>
        <w:lastRenderedPageBreak/>
        <w:drawing>
          <wp:inline distT="0" distB="0" distL="0" distR="0" wp14:anchorId="35C1D0A8" wp14:editId="28246E12">
            <wp:extent cx="6078220" cy="1694815"/>
            <wp:effectExtent l="0" t="0" r="0" b="63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78220" cy="1694815"/>
                    </a:xfrm>
                    <a:prstGeom prst="rect">
                      <a:avLst/>
                    </a:prstGeom>
                    <a:noFill/>
                  </pic:spPr>
                </pic:pic>
              </a:graphicData>
            </a:graphic>
          </wp:inline>
        </w:drawing>
      </w:r>
    </w:p>
    <w:p w14:paraId="6E3B1C6F" w14:textId="7AB67C20" w:rsidR="00087CC0" w:rsidRDefault="00087CC0" w:rsidP="0084343A">
      <w:pPr>
        <w:spacing w:after="160" w:line="278" w:lineRule="auto"/>
        <w:jc w:val="both"/>
        <w:rPr>
          <w:color w:val="000000" w:themeColor="text1"/>
          <w:sz w:val="22"/>
          <w:szCs w:val="22"/>
          <w:lang w:val="en-GB"/>
        </w:rPr>
      </w:pPr>
      <w:r>
        <w:rPr>
          <w:b/>
          <w:color w:val="000000" w:themeColor="text1"/>
          <w:sz w:val="22"/>
          <w:szCs w:val="22"/>
          <w:lang w:val="en-GB"/>
        </w:rPr>
        <w:t>Figure S6</w:t>
      </w:r>
      <w:r w:rsidRPr="00A15504">
        <w:rPr>
          <w:i/>
          <w:color w:val="000000" w:themeColor="text1"/>
          <w:sz w:val="22"/>
          <w:szCs w:val="22"/>
          <w:lang w:val="en-GB"/>
        </w:rPr>
        <w:t>.</w:t>
      </w:r>
      <w:r w:rsidRPr="00A15504">
        <w:rPr>
          <w:color w:val="000000" w:themeColor="text1"/>
          <w:sz w:val="22"/>
          <w:szCs w:val="22"/>
          <w:lang w:val="en-GB"/>
        </w:rPr>
        <w:t xml:space="preserve"> </w:t>
      </w:r>
      <w:r w:rsidRPr="001154BD">
        <w:rPr>
          <w:color w:val="000000" w:themeColor="text1"/>
          <w:sz w:val="22"/>
          <w:szCs w:val="22"/>
          <w:lang w:val="en-GB"/>
        </w:rPr>
        <w:t>Morphology of bacterial large pigment flakes (blue colour). a) Overview of a large flake showing the intact macroscopic structure. b) Cross-section revealing the full biofilm thickness and the crystalline organisation of the cells. c) High-magnification view of the flake surface, confirming that ordered nanostructure of the rod-shaped bacterial cells is retained within the plane of the film after fixation and mechanical fragmentation.</w:t>
      </w:r>
    </w:p>
    <w:p w14:paraId="2E7317A0" w14:textId="77777777" w:rsidR="00087CC0" w:rsidRDefault="00087CC0" w:rsidP="00E85DB2">
      <w:pPr>
        <w:spacing w:after="160" w:line="278" w:lineRule="auto"/>
        <w:rPr>
          <w:b/>
          <w:lang w:val="en-GB"/>
        </w:rPr>
      </w:pPr>
    </w:p>
    <w:p w14:paraId="32D96421" w14:textId="77777777" w:rsidR="00CB5B35" w:rsidRDefault="00CB5B35" w:rsidP="00CB5B35">
      <w:pPr>
        <w:spacing w:after="160" w:line="278" w:lineRule="auto"/>
        <w:rPr>
          <w:b/>
          <w:lang w:val="en-GB"/>
        </w:rPr>
      </w:pPr>
      <w:r w:rsidRPr="007D0102">
        <w:rPr>
          <w:b/>
          <w:lang w:val="en-GB"/>
        </w:rPr>
        <w:t>Collective response of flakes</w:t>
      </w:r>
    </w:p>
    <w:p w14:paraId="59341FC7" w14:textId="6F473273" w:rsidR="00CB5B35" w:rsidRPr="00A42E9E" w:rsidRDefault="00CB5B35" w:rsidP="00CB5B35">
      <w:pPr>
        <w:jc w:val="both"/>
      </w:pPr>
      <w:r w:rsidRPr="007D0102">
        <w:rPr>
          <w:lang w:val="en-GB"/>
        </w:rPr>
        <w:t xml:space="preserve">While the structural integrity of the free-standing films is preserved by critical-point drying, dehydration influences the estimation of the photonic crystal lattice constant, which can be </w:t>
      </w:r>
      <w:r w:rsidRPr="0084343A">
        <w:rPr>
          <w:lang w:val="en-GB"/>
        </w:rPr>
        <w:t xml:space="preserve">determined instead from the diffraction spots observed in the goniometry heatmaps, as previously reported in </w:t>
      </w:r>
      <w:r w:rsidRPr="0084343A">
        <w:rPr>
          <w:lang w:val="en-GB"/>
        </w:rPr>
        <w:fldChar w:fldCharType="begin"/>
      </w:r>
      <w:r w:rsidRPr="0084343A">
        <w:rPr>
          <w:lang w:val="en-GB"/>
        </w:rPr>
        <w:instrText xml:space="preserve"> ADDIN ZOTERO_ITEM CSL_CITATION {"citationID":"pixEWZyK","properties":{"formattedCitation":"\\super 26,27\\nosupersub{}","plainCitation":"26,27","noteIndex":0},"citationItems":[{"id":599,"uris":["http://zotero.org/users/14426708/items/IASBCSSR"],"itemData":{"id":599,"type":"article-journal","abstract":"Significance\n            We demonstrate the genetic modification of structural color in a living system by using bacteria Iridescent 1 (IR1) as a model system. IR1 colonies consist of rod-shaped bacteria that pack in a dense hexagonal arrangement through gliding and growth, thus interfering with light to give a bright, green, and glittering appearance. By generating IR1 mutants and mapping their optical properties, we show that genetic alterations can change colony organization and thus their visual appearance. The findings provide insight into the genes controlling structural color, which is important for evolutionary studies and for understanding biological formation at the nanoscale. At the same time, it is an important step toward directed engineering of photonic systems from living organisms.\n          , \n            \n              Naturally occurring photonic structures are responsible for the bright and vivid coloration in a large variety of living organisms. Despite efforts to understand their biological functions, development, and complex optical response, little is known of the underlying genes involved in the development of these nanostructures in any domain of life. Here, we used\n              Flavobacterium\n              colonies as a model system to demonstrate that genes responsible for gliding motility, cell shape, the stringent response, and tRNA modification contribute to the optical appearance of the colony. By structural and optical analysis, we obtained a detailed correlation of how genetic modifications alter structural color in bacterial colonies. Understanding of genotype and phenotype relations in this system opens the way to genetic engineering of on-demand living optical materials, for use as paints and living sensors.","citation-key":"johansen2018","container-title":"Proceedings of the National Academy of Sciences","DOI":"10.1073/pnas.1716214115","ISSN":"0027-8424, 1091-6490","issue":"11","journalAbbreviation":"Proc. Natl. Acad. Sci. U.S.A.","language":"en","page":"2652-2657","source":"DOI.org (Crossref)","title":"Genetic manipulation of structural color in bacterial colonies","volume":"115","author":[{"family":"Johansen","given":"Villads Egede"},{"family":"Catón","given":"Laura"},{"family":"Hamidjaja","given":"Raditijo"},{"family":"Oosterink","given":"Els"},{"family":"Wilts","given":"Bodo D."},{"family":"Rasmussen","given":"Torben Sølbeck"},{"family":"Sherlock","given":"Michael Mario"},{"family":"Ingham","given":"Colin J."},{"family":"Vignolini","given":"Silvia"}],"issued":{"date-parts":[["2018",3,13]]}}},{"id":598,"uris":["http://zotero.org/users/14426708/items/MUERLL8Z"],"itemData":{"id":598,"type":"article-journal","abstract":"Vivid colours found in living organisms are often the result of scattering from hierarchical nanostructures, where the interplay between order and disorder in their packing defines visual appearance. In the case of\n              Flavobacterium\n              IR1, the complex arrangement of the cells in polycrystalline three-dimensional lattices is found to be a distinctive fingerprint of colony organization. By combining analytical analysis of the angle-resolved scattering response of\n              in vivo\n              bacterial colonies with numerical modelling, we show that we can assess the inter-cell distance and cell diameter with a resolution below 10 nm, far better than what can be achieved with conventional electron microscopy, suffering from preparation artefacts. Retrieving the role of disorder at different length scales from the salient features in the scattering response enables a precise understanding of the structural organization of the bacteria.","citation-key":"schertel2020","container-title":"Journal of The Royal Society Interface","DOI":"10.1098/rsif.2020.0196","ISSN":"1742-5689, 1742-5662","issue":"166","journalAbbreviation":"J. R. Soc. Interface.","language":"en","page":"20200196","source":"DOI.org (Crossref)","title":"Complex photonic response reveals three-dimensional self-organization of structural coloured bacterial colonies","volume":"17","author":[{"family":"Schertel","given":"Lukas"},{"family":"Van De Kerkhof","given":"Gea T."},{"family":"Jacucci","given":"Gianni"},{"family":"Catón","given":"Laura"},{"family":"Ogawa","given":"Yu"},{"family":"Wilts","given":"Bodo D."},{"family":"Ingham","given":"Colin J."},{"family":"Vignolini","given":"Silvia"},{"family":"Johansen","given":"Villads E."}],"issued":{"date-parts":[["2020",5]]}}}],"schema":"https://github.com/citation-style-language/schema/raw/master/csl-citation.json"} </w:instrText>
      </w:r>
      <w:r w:rsidRPr="0084343A">
        <w:rPr>
          <w:lang w:val="en-GB"/>
        </w:rPr>
        <w:fldChar w:fldCharType="separate"/>
      </w:r>
      <w:r w:rsidRPr="0084343A">
        <w:rPr>
          <w:vertAlign w:val="superscript"/>
          <w:lang w:val="en-GB"/>
        </w:rPr>
        <w:t>26,27</w:t>
      </w:r>
      <w:r w:rsidRPr="0084343A">
        <w:rPr>
          <w:lang w:val="en-GB"/>
        </w:rPr>
        <w:fldChar w:fldCharType="end"/>
      </w:r>
      <w:r w:rsidRPr="0084343A">
        <w:rPr>
          <w:lang w:val="en-GB"/>
        </w:rPr>
        <w:t xml:space="preserve">. By matching the diffraction grating equation with the position of the spots in the goniometry heatmaps reported in </w:t>
      </w:r>
      <w:r w:rsidRPr="0084343A">
        <w:rPr>
          <w:b/>
          <w:bCs/>
          <w:lang w:val="en-GB"/>
        </w:rPr>
        <w:t>Figure S</w:t>
      </w:r>
      <w:r w:rsidR="00DD5FDF" w:rsidRPr="0084343A">
        <w:rPr>
          <w:b/>
          <w:bCs/>
          <w:lang w:val="en-GB"/>
        </w:rPr>
        <w:t>7</w:t>
      </w:r>
      <w:r w:rsidRPr="0084343A">
        <w:rPr>
          <w:b/>
          <w:bCs/>
          <w:lang w:val="en-GB"/>
        </w:rPr>
        <w:t xml:space="preserve"> a-c</w:t>
      </w:r>
      <w:r w:rsidRPr="0084343A">
        <w:rPr>
          <w:lang w:val="en-GB"/>
        </w:rPr>
        <w:t>, the periodicity is estimated to be of d = (425±5) nm for red biofilms and d = (380±15) nm for green biofilms, which reduces to d = (367±12) nm for blue biofilms, co</w:t>
      </w:r>
      <w:r w:rsidR="001154BD">
        <w:rPr>
          <w:lang w:val="en-GB"/>
        </w:rPr>
        <w:t>nsistent</w:t>
      </w:r>
      <w:r w:rsidRPr="0084343A">
        <w:rPr>
          <w:lang w:val="en-GB"/>
        </w:rPr>
        <w:t xml:space="preserve"> with a blueshift of the reflectance peak for smaller periodicities.</w:t>
      </w:r>
      <w:r w:rsidR="00DD5FDF" w:rsidRPr="0084343A">
        <w:rPr>
          <w:lang w:val="en-GB"/>
        </w:rPr>
        <w:t xml:space="preserve"> </w:t>
      </w:r>
      <w:r w:rsidR="002E79D0" w:rsidRPr="0084343A">
        <w:rPr>
          <w:lang w:val="en-GB"/>
        </w:rPr>
        <w:t>T</w:t>
      </w:r>
      <w:r w:rsidR="00DD5FDF" w:rsidRPr="0084343A" w:rsidDel="00CB5B35">
        <w:rPr>
          <w:lang w:val="en-GB"/>
        </w:rPr>
        <w:t>he angular-dependent response observed for the pigment</w:t>
      </w:r>
      <w:r w:rsidR="002E79D0" w:rsidRPr="0084343A">
        <w:rPr>
          <w:lang w:val="en-GB"/>
        </w:rPr>
        <w:t>s</w:t>
      </w:r>
      <w:r w:rsidR="007A6E88" w:rsidRPr="0084343A">
        <w:rPr>
          <w:lang w:val="en-GB"/>
        </w:rPr>
        <w:t xml:space="preserve"> (</w:t>
      </w:r>
      <w:r w:rsidR="007A6E88" w:rsidRPr="0084343A">
        <w:rPr>
          <w:b/>
          <w:bCs/>
          <w:lang w:val="en-GB"/>
        </w:rPr>
        <w:t>Figure S8</w:t>
      </w:r>
      <w:r w:rsidR="007A6E88" w:rsidRPr="0084343A">
        <w:rPr>
          <w:lang w:val="en-GB"/>
        </w:rPr>
        <w:t>)</w:t>
      </w:r>
      <w:r w:rsidR="00DD5FDF" w:rsidRPr="0084343A" w:rsidDel="00CB5B35">
        <w:rPr>
          <w:lang w:val="en-GB"/>
        </w:rPr>
        <w:t xml:space="preserve"> </w:t>
      </w:r>
      <w:r w:rsidR="002E79D0" w:rsidRPr="0084343A">
        <w:rPr>
          <w:lang w:val="en-GB"/>
        </w:rPr>
        <w:t xml:space="preserve">shows </w:t>
      </w:r>
      <w:r w:rsidR="001154BD">
        <w:rPr>
          <w:lang w:val="en-GB"/>
        </w:rPr>
        <w:t xml:space="preserve">features </w:t>
      </w:r>
      <w:r w:rsidR="002E79D0" w:rsidRPr="0084343A">
        <w:rPr>
          <w:lang w:val="en-GB"/>
        </w:rPr>
        <w:t xml:space="preserve">analogous </w:t>
      </w:r>
      <w:r w:rsidR="001154BD">
        <w:rPr>
          <w:lang w:val="en-GB"/>
        </w:rPr>
        <w:t>to those</w:t>
      </w:r>
      <w:r w:rsidR="002E79D0" w:rsidRPr="0084343A">
        <w:rPr>
          <w:lang w:val="en-GB"/>
        </w:rPr>
        <w:t xml:space="preserve"> of the biofilms </w:t>
      </w:r>
      <w:r w:rsidR="00DD5FDF" w:rsidRPr="0084343A" w:rsidDel="00CB5B35">
        <w:rPr>
          <w:lang w:val="en-GB"/>
        </w:rPr>
        <w:t xml:space="preserve">(see </w:t>
      </w:r>
      <w:r w:rsidR="00DD5FDF" w:rsidRPr="0084343A" w:rsidDel="00CB5B35">
        <w:rPr>
          <w:b/>
          <w:bCs/>
          <w:lang w:val="en-GB"/>
        </w:rPr>
        <w:t>Figure</w:t>
      </w:r>
      <w:r w:rsidR="002E79D0" w:rsidRPr="0084343A">
        <w:rPr>
          <w:b/>
          <w:bCs/>
          <w:lang w:val="en-GB"/>
        </w:rPr>
        <w:t>s</w:t>
      </w:r>
      <w:r w:rsidR="00DD5FDF" w:rsidRPr="0084343A" w:rsidDel="00CB5B35">
        <w:rPr>
          <w:b/>
          <w:bCs/>
          <w:lang w:val="en-GB"/>
        </w:rPr>
        <w:t xml:space="preserve"> S</w:t>
      </w:r>
      <w:r w:rsidR="007A6E88" w:rsidRPr="0084343A">
        <w:rPr>
          <w:b/>
          <w:bCs/>
          <w:lang w:val="en-GB"/>
        </w:rPr>
        <w:t>7</w:t>
      </w:r>
      <w:r w:rsidR="002E79D0" w:rsidRPr="0084343A">
        <w:rPr>
          <w:b/>
          <w:bCs/>
          <w:lang w:val="en-GB"/>
        </w:rPr>
        <w:t>d-i)</w:t>
      </w:r>
      <w:r w:rsidR="002E79D0" w:rsidRPr="0084343A">
        <w:rPr>
          <w:lang w:val="en-GB"/>
        </w:rPr>
        <w:t>. The diffraction spots are less defined for smaller sizes, as expected from the collective response of randomly oriented domains.</w:t>
      </w:r>
      <w:r w:rsidR="00DD5FDF" w:rsidRPr="0084343A" w:rsidDel="00CB5B35">
        <w:rPr>
          <w:lang w:val="en-GB"/>
        </w:rPr>
        <w:t xml:space="preserve"> </w:t>
      </w:r>
    </w:p>
    <w:p w14:paraId="3FB40BC1" w14:textId="77777777" w:rsidR="00CB5B35" w:rsidRPr="007D0102" w:rsidRDefault="00CB5B35" w:rsidP="00CB5B35">
      <w:pPr>
        <w:spacing w:after="160" w:line="278" w:lineRule="auto"/>
        <w:rPr>
          <w:b/>
          <w:lang w:val="en-GB"/>
        </w:rPr>
      </w:pPr>
    </w:p>
    <w:p w14:paraId="7933CB9E" w14:textId="77777777" w:rsidR="00CB5B35" w:rsidRPr="007D0102" w:rsidRDefault="00CB5B35" w:rsidP="00CB5B35">
      <w:pPr>
        <w:spacing w:after="160" w:line="256" w:lineRule="auto"/>
        <w:jc w:val="both"/>
        <w:rPr>
          <w:b/>
          <w:lang w:val="en-GB"/>
        </w:rPr>
      </w:pPr>
      <w:r w:rsidRPr="000B21A7">
        <w:rPr>
          <w:b/>
          <w:noProof/>
          <w:lang w:val="en-GB"/>
        </w:rPr>
        <w:lastRenderedPageBreak/>
        <w:drawing>
          <wp:inline distT="0" distB="0" distL="0" distR="0" wp14:anchorId="25832931" wp14:editId="33D0027C">
            <wp:extent cx="5735174" cy="4658264"/>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a:extLst>
                        <a:ext uri="{28A0092B-C50C-407E-A947-70E740481C1C}">
                          <a14:useLocalDpi xmlns:a14="http://schemas.microsoft.com/office/drawing/2010/main" val="0"/>
                        </a:ext>
                      </a:extLst>
                    </a:blip>
                    <a:srcRect l="1959"/>
                    <a:stretch/>
                  </pic:blipFill>
                  <pic:spPr bwMode="auto">
                    <a:xfrm>
                      <a:off x="0" y="0"/>
                      <a:ext cx="5739415" cy="4661708"/>
                    </a:xfrm>
                    <a:prstGeom prst="rect">
                      <a:avLst/>
                    </a:prstGeom>
                    <a:noFill/>
                    <a:ln>
                      <a:noFill/>
                    </a:ln>
                    <a:extLst>
                      <a:ext uri="{53640926-AAD7-44D8-BBD7-CCE9431645EC}">
                        <a14:shadowObscured xmlns:a14="http://schemas.microsoft.com/office/drawing/2010/main"/>
                      </a:ext>
                    </a:extLst>
                  </pic:spPr>
                </pic:pic>
              </a:graphicData>
            </a:graphic>
          </wp:inline>
        </w:drawing>
      </w:r>
    </w:p>
    <w:p w14:paraId="53176ACD" w14:textId="6D1C840B" w:rsidR="00CB5B35" w:rsidRPr="007D0102" w:rsidRDefault="00CB5B35" w:rsidP="00CB5B35">
      <w:pPr>
        <w:spacing w:line="276" w:lineRule="auto"/>
        <w:jc w:val="both"/>
        <w:rPr>
          <w:sz w:val="22"/>
          <w:lang w:val="en-GB"/>
        </w:rPr>
      </w:pPr>
      <w:r w:rsidRPr="007D0102">
        <w:rPr>
          <w:b/>
          <w:sz w:val="22"/>
          <w:lang w:val="en-GB"/>
        </w:rPr>
        <w:t>Figure S</w:t>
      </w:r>
      <w:r w:rsidR="00DD5FDF">
        <w:rPr>
          <w:b/>
          <w:sz w:val="22"/>
          <w:lang w:val="en-GB"/>
        </w:rPr>
        <w:t>7</w:t>
      </w:r>
      <w:r w:rsidRPr="007D0102">
        <w:rPr>
          <w:sz w:val="22"/>
          <w:lang w:val="en-GB"/>
        </w:rPr>
        <w:t>. Goniometry heatmaps for a-c) agar-supported biofilms and free-standing biofilms after size reduction with characteristic size of d-f) ~ 1 mm and g-</w:t>
      </w:r>
      <w:proofErr w:type="spellStart"/>
      <w:r w:rsidRPr="007D0102">
        <w:rPr>
          <w:sz w:val="22"/>
          <w:lang w:val="en-GB"/>
        </w:rPr>
        <w:t>i</w:t>
      </w:r>
      <w:proofErr w:type="spellEnd"/>
      <w:r w:rsidRPr="007D0102">
        <w:rPr>
          <w:sz w:val="22"/>
          <w:lang w:val="en-GB"/>
        </w:rPr>
        <w:t xml:space="preserve">) ~ 10-100 </w:t>
      </w:r>
      <w:proofErr w:type="spellStart"/>
      <w:r w:rsidRPr="007D0102">
        <w:rPr>
          <w:sz w:val="22"/>
          <w:lang w:val="en-GB"/>
        </w:rPr>
        <w:t>μm</w:t>
      </w:r>
      <w:proofErr w:type="spellEnd"/>
      <w:r w:rsidRPr="007D0102">
        <w:rPr>
          <w:sz w:val="22"/>
          <w:lang w:val="en-GB"/>
        </w:rPr>
        <w:t xml:space="preserve">. Scans are done on three different colours: red (a, d, g), green (b, e, h), and blue (c, f, </w:t>
      </w:r>
      <w:proofErr w:type="spellStart"/>
      <w:r w:rsidRPr="007D0102">
        <w:rPr>
          <w:sz w:val="22"/>
          <w:lang w:val="en-GB"/>
        </w:rPr>
        <w:t>i</w:t>
      </w:r>
      <w:proofErr w:type="spellEnd"/>
      <w:r w:rsidRPr="007D0102">
        <w:rPr>
          <w:sz w:val="22"/>
          <w:lang w:val="en-GB"/>
        </w:rPr>
        <w:t>). Intensity spectra are collected keeping the incident angle fixed at ϑ = 45°.</w:t>
      </w:r>
    </w:p>
    <w:p w14:paraId="446924CC" w14:textId="77777777" w:rsidR="00CB5B35" w:rsidRPr="007D0102" w:rsidRDefault="00CB5B35" w:rsidP="00CB5B35">
      <w:pPr>
        <w:autoSpaceDE w:val="0"/>
        <w:autoSpaceDN w:val="0"/>
        <w:adjustRightInd w:val="0"/>
        <w:jc w:val="both"/>
        <w:rPr>
          <w:lang w:val="en-GB"/>
        </w:rPr>
      </w:pPr>
    </w:p>
    <w:p w14:paraId="10B57649" w14:textId="77777777" w:rsidR="00CB5B35" w:rsidRPr="00057D23" w:rsidRDefault="00CB5B35" w:rsidP="00CB5B35">
      <w:pPr>
        <w:spacing w:line="276" w:lineRule="auto"/>
        <w:jc w:val="both"/>
        <w:rPr>
          <w:lang w:val="en-GB"/>
        </w:rPr>
      </w:pPr>
    </w:p>
    <w:p w14:paraId="1C878FA2" w14:textId="77777777" w:rsidR="00CB5B35" w:rsidRPr="007D0102" w:rsidRDefault="00CB5B35" w:rsidP="00CB5B35">
      <w:pPr>
        <w:spacing w:line="276" w:lineRule="auto"/>
        <w:jc w:val="both"/>
        <w:rPr>
          <w:lang w:val="en-GB"/>
        </w:rPr>
      </w:pPr>
      <w:r w:rsidRPr="000B21A7">
        <w:rPr>
          <w:noProof/>
          <w:lang w:val="en-GB"/>
        </w:rPr>
        <w:lastRenderedPageBreak/>
        <w:drawing>
          <wp:inline distT="0" distB="0" distL="0" distR="0" wp14:anchorId="4DFC260A" wp14:editId="5D4C230D">
            <wp:extent cx="5752352" cy="3838575"/>
            <wp:effectExtent l="0" t="0" r="127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l="299"/>
                    <a:stretch/>
                  </pic:blipFill>
                  <pic:spPr bwMode="auto">
                    <a:xfrm>
                      <a:off x="0" y="0"/>
                      <a:ext cx="5755192" cy="3840470"/>
                    </a:xfrm>
                    <a:prstGeom prst="rect">
                      <a:avLst/>
                    </a:prstGeom>
                    <a:noFill/>
                    <a:ln>
                      <a:noFill/>
                    </a:ln>
                    <a:extLst>
                      <a:ext uri="{53640926-AAD7-44D8-BBD7-CCE9431645EC}">
                        <a14:shadowObscured xmlns:a14="http://schemas.microsoft.com/office/drawing/2010/main"/>
                      </a:ext>
                    </a:extLst>
                  </pic:spPr>
                </pic:pic>
              </a:graphicData>
            </a:graphic>
          </wp:inline>
        </w:drawing>
      </w:r>
    </w:p>
    <w:p w14:paraId="179E0DC6" w14:textId="7A028EBB" w:rsidR="00CB5B35" w:rsidRPr="007D0102" w:rsidRDefault="00CB5B35" w:rsidP="00CB5B35">
      <w:pPr>
        <w:spacing w:line="276" w:lineRule="auto"/>
        <w:jc w:val="both"/>
        <w:rPr>
          <w:sz w:val="22"/>
          <w:lang w:val="en-GB"/>
        </w:rPr>
      </w:pPr>
      <w:r w:rsidRPr="007D0102">
        <w:rPr>
          <w:b/>
          <w:sz w:val="22"/>
          <w:lang w:val="en-GB"/>
        </w:rPr>
        <w:t>Figure S</w:t>
      </w:r>
      <w:r w:rsidR="00DD5FDF">
        <w:rPr>
          <w:b/>
          <w:sz w:val="22"/>
          <w:lang w:val="en-GB"/>
        </w:rPr>
        <w:t>8</w:t>
      </w:r>
      <w:r w:rsidRPr="007D0102">
        <w:rPr>
          <w:sz w:val="22"/>
          <w:lang w:val="en-GB"/>
        </w:rPr>
        <w:t xml:space="preserve">. Optical appearance of free-standing biofilms after size reduction for the three different colours. a-c) Red, blue, green flakes with characteristic size ~ 1 mm; d-f) red, blue, green flakes with characteristic size ~ 10-100 </w:t>
      </w:r>
      <w:proofErr w:type="spellStart"/>
      <w:r w:rsidRPr="007D0102">
        <w:rPr>
          <w:sz w:val="22"/>
          <w:lang w:val="en-GB"/>
        </w:rPr>
        <w:t>μm</w:t>
      </w:r>
      <w:proofErr w:type="spellEnd"/>
      <w:r w:rsidRPr="007D0102">
        <w:rPr>
          <w:sz w:val="22"/>
          <w:lang w:val="en-GB"/>
        </w:rPr>
        <w:t>. Images are acquired for an angle of observation and illumination of ~30°.</w:t>
      </w:r>
    </w:p>
    <w:p w14:paraId="59F2363B" w14:textId="77777777" w:rsidR="00087CC0" w:rsidRDefault="00087CC0" w:rsidP="00E85DB2">
      <w:pPr>
        <w:spacing w:after="160" w:line="278" w:lineRule="auto"/>
        <w:rPr>
          <w:b/>
          <w:lang w:val="en-GB"/>
        </w:rPr>
      </w:pPr>
    </w:p>
    <w:p w14:paraId="4C94F038" w14:textId="77777777" w:rsidR="003A43FE" w:rsidRPr="007D0102" w:rsidRDefault="003A43FE" w:rsidP="003A43FE">
      <w:pPr>
        <w:spacing w:after="160" w:line="278" w:lineRule="auto"/>
        <w:jc w:val="center"/>
        <w:rPr>
          <w:b/>
          <w:lang w:val="en-GB"/>
        </w:rPr>
      </w:pPr>
      <w:r w:rsidRPr="000B21A7">
        <w:rPr>
          <w:b/>
          <w:noProof/>
          <w:lang w:val="en-GB"/>
        </w:rPr>
        <w:lastRenderedPageBreak/>
        <w:drawing>
          <wp:inline distT="0" distB="0" distL="0" distR="0" wp14:anchorId="7D87F714" wp14:editId="641EBA2B">
            <wp:extent cx="3795551" cy="37781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a:extLst>
                        <a:ext uri="{28A0092B-C50C-407E-A947-70E740481C1C}">
                          <a14:useLocalDpi xmlns:a14="http://schemas.microsoft.com/office/drawing/2010/main" val="0"/>
                        </a:ext>
                      </a:extLst>
                    </a:blip>
                    <a:srcRect l="661" r="2413"/>
                    <a:stretch/>
                  </pic:blipFill>
                  <pic:spPr bwMode="auto">
                    <a:xfrm>
                      <a:off x="0" y="0"/>
                      <a:ext cx="3800092" cy="3782699"/>
                    </a:xfrm>
                    <a:prstGeom prst="rect">
                      <a:avLst/>
                    </a:prstGeom>
                    <a:noFill/>
                    <a:ln>
                      <a:noFill/>
                    </a:ln>
                    <a:extLst>
                      <a:ext uri="{53640926-AAD7-44D8-BBD7-CCE9431645EC}">
                        <a14:shadowObscured xmlns:a14="http://schemas.microsoft.com/office/drawing/2010/main"/>
                      </a:ext>
                    </a:extLst>
                  </pic:spPr>
                </pic:pic>
              </a:graphicData>
            </a:graphic>
          </wp:inline>
        </w:drawing>
      </w:r>
    </w:p>
    <w:p w14:paraId="08D07FCB" w14:textId="77777777" w:rsidR="003A43FE" w:rsidRPr="007D0102" w:rsidRDefault="003A43FE" w:rsidP="003A43FE">
      <w:pPr>
        <w:spacing w:after="160" w:line="278" w:lineRule="auto"/>
        <w:rPr>
          <w:b/>
          <w:lang w:val="en-GB"/>
        </w:rPr>
      </w:pPr>
    </w:p>
    <w:p w14:paraId="554BC7F7" w14:textId="3E48B81F" w:rsidR="00E85DB2" w:rsidRPr="007D0102" w:rsidRDefault="003A43FE" w:rsidP="00A42E9E">
      <w:pPr>
        <w:spacing w:after="160" w:line="278" w:lineRule="auto"/>
        <w:rPr>
          <w:b/>
          <w:lang w:val="en-GB"/>
        </w:rPr>
      </w:pPr>
      <w:r w:rsidRPr="007D0102">
        <w:rPr>
          <w:b/>
          <w:sz w:val="22"/>
          <w:szCs w:val="22"/>
          <w:lang w:val="en-GB"/>
        </w:rPr>
        <w:t>Figure S</w:t>
      </w:r>
      <w:r>
        <w:rPr>
          <w:b/>
          <w:sz w:val="22"/>
          <w:szCs w:val="22"/>
          <w:lang w:val="en-GB"/>
        </w:rPr>
        <w:t>9</w:t>
      </w:r>
      <w:r w:rsidRPr="007D0102">
        <w:rPr>
          <w:b/>
          <w:sz w:val="22"/>
          <w:szCs w:val="22"/>
          <w:lang w:val="en-GB"/>
        </w:rPr>
        <w:t>.</w:t>
      </w:r>
      <w:r w:rsidRPr="007D0102">
        <w:rPr>
          <w:bCs/>
          <w:sz w:val="22"/>
          <w:szCs w:val="22"/>
          <w:lang w:val="en-GB"/>
        </w:rPr>
        <w:t xml:space="preserve"> Optical appearance of bacteria pigment flakes after TEOS infiltration. a-b) Micrographs taken in bright field (a) and dark field (b) of a region of the flake shown in c), showing that the colour is preserved after the infiltration, with dark areas corresponding to different orientations of the colonies. d) Corresponding reflectance spectra. Reflectance normalised against a mirror for bright field and against a white standard for dark field.</w:t>
      </w:r>
    </w:p>
    <w:p w14:paraId="57433CA6" w14:textId="77777777" w:rsidR="00E85DB2" w:rsidRPr="00057D23" w:rsidRDefault="00E85DB2" w:rsidP="00E85DB2">
      <w:pPr>
        <w:spacing w:after="160" w:line="278" w:lineRule="auto"/>
        <w:rPr>
          <w:b/>
          <w:lang w:val="en-GB"/>
        </w:rPr>
      </w:pPr>
    </w:p>
    <w:p w14:paraId="497A980D" w14:textId="77777777" w:rsidR="00E85DB2" w:rsidRPr="007D0102" w:rsidRDefault="00E85DB2" w:rsidP="00E85DB2">
      <w:pPr>
        <w:spacing w:after="160" w:line="278" w:lineRule="auto"/>
        <w:rPr>
          <w:b/>
          <w:lang w:val="en-GB"/>
        </w:rPr>
      </w:pPr>
      <w:r w:rsidRPr="000B21A7">
        <w:rPr>
          <w:b/>
          <w:noProof/>
          <w:lang w:val="en-GB"/>
        </w:rPr>
        <w:lastRenderedPageBreak/>
        <w:drawing>
          <wp:inline distT="0" distB="0" distL="0" distR="0" wp14:anchorId="2B1AE5F1" wp14:editId="41F422FF">
            <wp:extent cx="5710076" cy="4421430"/>
            <wp:effectExtent l="0" t="0" r="508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
                      <a:extLst>
                        <a:ext uri="{28A0092B-C50C-407E-A947-70E740481C1C}">
                          <a14:useLocalDpi xmlns:a14="http://schemas.microsoft.com/office/drawing/2010/main" val="0"/>
                        </a:ext>
                      </a:extLst>
                    </a:blip>
                    <a:srcRect l="451"/>
                    <a:stretch/>
                  </pic:blipFill>
                  <pic:spPr bwMode="auto">
                    <a:xfrm>
                      <a:off x="0" y="0"/>
                      <a:ext cx="5717365" cy="4427074"/>
                    </a:xfrm>
                    <a:prstGeom prst="rect">
                      <a:avLst/>
                    </a:prstGeom>
                    <a:noFill/>
                    <a:ln>
                      <a:noFill/>
                    </a:ln>
                    <a:extLst>
                      <a:ext uri="{53640926-AAD7-44D8-BBD7-CCE9431645EC}">
                        <a14:shadowObscured xmlns:a14="http://schemas.microsoft.com/office/drawing/2010/main"/>
                      </a:ext>
                    </a:extLst>
                  </pic:spPr>
                </pic:pic>
              </a:graphicData>
            </a:graphic>
          </wp:inline>
        </w:drawing>
      </w:r>
    </w:p>
    <w:p w14:paraId="7F280C33" w14:textId="3C31BC8E" w:rsidR="00E85DB2" w:rsidRPr="007D0102" w:rsidRDefault="00E85DB2" w:rsidP="00E85DB2">
      <w:pPr>
        <w:pBdr>
          <w:top w:val="nil"/>
          <w:left w:val="nil"/>
          <w:bottom w:val="nil"/>
          <w:right w:val="nil"/>
          <w:between w:val="nil"/>
        </w:pBdr>
        <w:spacing w:line="276" w:lineRule="auto"/>
        <w:jc w:val="both"/>
        <w:rPr>
          <w:bCs/>
          <w:sz w:val="22"/>
          <w:szCs w:val="22"/>
          <w:lang w:val="en-GB"/>
        </w:rPr>
      </w:pPr>
      <w:r w:rsidRPr="007D0102">
        <w:rPr>
          <w:b/>
          <w:sz w:val="22"/>
          <w:szCs w:val="22"/>
          <w:lang w:val="en-GB"/>
        </w:rPr>
        <w:t>Figure S</w:t>
      </w:r>
      <w:r w:rsidR="003A43FE">
        <w:rPr>
          <w:b/>
          <w:sz w:val="22"/>
          <w:szCs w:val="22"/>
          <w:lang w:val="en-GB"/>
        </w:rPr>
        <w:t>10</w:t>
      </w:r>
      <w:r w:rsidRPr="007D0102">
        <w:rPr>
          <w:b/>
          <w:sz w:val="22"/>
          <w:szCs w:val="22"/>
          <w:lang w:val="en-GB"/>
        </w:rPr>
        <w:t xml:space="preserve">. </w:t>
      </w:r>
      <w:r w:rsidRPr="007D0102">
        <w:rPr>
          <w:bCs/>
          <w:sz w:val="22"/>
          <w:szCs w:val="22"/>
          <w:lang w:val="en-GB"/>
        </w:rPr>
        <w:t xml:space="preserve">SEM images of </w:t>
      </w:r>
      <w:r w:rsidRPr="007D0102">
        <w:rPr>
          <w:bCs/>
          <w:i/>
          <w:iCs/>
          <w:sz w:val="22"/>
          <w:szCs w:val="22"/>
          <w:lang w:val="en-GB"/>
        </w:rPr>
        <w:t xml:space="preserve">C. </w:t>
      </w:r>
      <w:proofErr w:type="spellStart"/>
      <w:r w:rsidRPr="007D0102">
        <w:rPr>
          <w:bCs/>
          <w:i/>
          <w:iCs/>
          <w:sz w:val="22"/>
          <w:szCs w:val="22"/>
          <w:lang w:val="en-GB"/>
        </w:rPr>
        <w:t>lytica</w:t>
      </w:r>
      <w:proofErr w:type="spellEnd"/>
      <w:r w:rsidRPr="007D0102">
        <w:rPr>
          <w:bCs/>
          <w:sz w:val="22"/>
          <w:szCs w:val="22"/>
          <w:lang w:val="en-GB"/>
        </w:rPr>
        <w:t xml:space="preserve"> PLYA2-BC calcinated composite biofilms. Images in</w:t>
      </w:r>
      <w:r w:rsidR="0039386C">
        <w:rPr>
          <w:bCs/>
          <w:sz w:val="22"/>
          <w:szCs w:val="22"/>
          <w:lang w:val="en-GB"/>
        </w:rPr>
        <w:t xml:space="preserve"> panels</w:t>
      </w:r>
      <w:r w:rsidRPr="007D0102">
        <w:rPr>
          <w:bCs/>
          <w:sz w:val="22"/>
          <w:szCs w:val="22"/>
          <w:lang w:val="en-GB"/>
        </w:rPr>
        <w:t xml:space="preserve"> </w:t>
      </w:r>
      <w:proofErr w:type="spellStart"/>
      <w:proofErr w:type="gramStart"/>
      <w:r w:rsidRPr="007D0102">
        <w:rPr>
          <w:bCs/>
          <w:sz w:val="22"/>
          <w:szCs w:val="22"/>
          <w:lang w:val="en-GB"/>
        </w:rPr>
        <w:t>a,b</w:t>
      </w:r>
      <w:proofErr w:type="spellEnd"/>
      <w:proofErr w:type="gramEnd"/>
      <w:r w:rsidRPr="007D0102">
        <w:rPr>
          <w:bCs/>
          <w:sz w:val="22"/>
          <w:szCs w:val="22"/>
          <w:lang w:val="en-GB"/>
        </w:rPr>
        <w:t xml:space="preserve">) show how the structurally coloured biofilm of PlyA2 grows inside the BC membrane, which cannot be removed prior to infiltration and calcination. Images in </w:t>
      </w:r>
      <w:proofErr w:type="spellStart"/>
      <w:proofErr w:type="gramStart"/>
      <w:r w:rsidRPr="007D0102">
        <w:rPr>
          <w:bCs/>
          <w:sz w:val="22"/>
          <w:szCs w:val="22"/>
          <w:lang w:val="en-GB"/>
        </w:rPr>
        <w:t>c,d</w:t>
      </w:r>
      <w:proofErr w:type="spellEnd"/>
      <w:proofErr w:type="gramEnd"/>
      <w:r w:rsidRPr="007D0102">
        <w:rPr>
          <w:bCs/>
          <w:sz w:val="22"/>
          <w:szCs w:val="22"/>
          <w:lang w:val="en-GB"/>
        </w:rPr>
        <w:t xml:space="preserve">) highlight different orientations of the </w:t>
      </w:r>
      <w:r w:rsidRPr="007D0102">
        <w:rPr>
          <w:bCs/>
          <w:i/>
          <w:iCs/>
          <w:sz w:val="22"/>
          <w:szCs w:val="22"/>
          <w:lang w:val="en-GB"/>
        </w:rPr>
        <w:t xml:space="preserve">C. </w:t>
      </w:r>
      <w:proofErr w:type="spellStart"/>
      <w:r w:rsidRPr="007D0102">
        <w:rPr>
          <w:bCs/>
          <w:i/>
          <w:iCs/>
          <w:sz w:val="22"/>
          <w:szCs w:val="22"/>
          <w:lang w:val="en-GB"/>
        </w:rPr>
        <w:t>lytica</w:t>
      </w:r>
      <w:proofErr w:type="spellEnd"/>
      <w:r w:rsidRPr="007D0102">
        <w:rPr>
          <w:bCs/>
          <w:i/>
          <w:iCs/>
          <w:sz w:val="22"/>
          <w:szCs w:val="22"/>
          <w:lang w:val="en-GB"/>
        </w:rPr>
        <w:t xml:space="preserve"> </w:t>
      </w:r>
      <w:r w:rsidRPr="007D0102">
        <w:rPr>
          <w:bCs/>
          <w:sz w:val="22"/>
          <w:szCs w:val="22"/>
          <w:lang w:val="en-GB"/>
        </w:rPr>
        <w:t>PLYA2 colonies in the biofilm being fully preserved after calcination.</w:t>
      </w:r>
    </w:p>
    <w:p w14:paraId="5F1CA2C8" w14:textId="1F7E8F00" w:rsidR="00246B70" w:rsidRPr="00A42E9E" w:rsidRDefault="00246B70">
      <w:pPr>
        <w:rPr>
          <w:bCs/>
          <w:sz w:val="22"/>
          <w:szCs w:val="22"/>
          <w:lang w:val="en-GB"/>
        </w:rPr>
      </w:pPr>
    </w:p>
    <w:sectPr w:rsidR="00246B70" w:rsidRPr="00A42E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DB2"/>
    <w:rsid w:val="00067FC9"/>
    <w:rsid w:val="00087CC0"/>
    <w:rsid w:val="001154BD"/>
    <w:rsid w:val="001E04DF"/>
    <w:rsid w:val="00246B70"/>
    <w:rsid w:val="00276BA4"/>
    <w:rsid w:val="002B5DC7"/>
    <w:rsid w:val="002E79D0"/>
    <w:rsid w:val="0039386C"/>
    <w:rsid w:val="003A43FE"/>
    <w:rsid w:val="003B2DF1"/>
    <w:rsid w:val="00652763"/>
    <w:rsid w:val="00712760"/>
    <w:rsid w:val="007A6E88"/>
    <w:rsid w:val="0084343A"/>
    <w:rsid w:val="00862BE0"/>
    <w:rsid w:val="009B2C9C"/>
    <w:rsid w:val="009E06B9"/>
    <w:rsid w:val="009E41B0"/>
    <w:rsid w:val="009F48EC"/>
    <w:rsid w:val="00A42E9E"/>
    <w:rsid w:val="00B108AA"/>
    <w:rsid w:val="00B93CA8"/>
    <w:rsid w:val="00C71E95"/>
    <w:rsid w:val="00CB5B35"/>
    <w:rsid w:val="00DD5FDF"/>
    <w:rsid w:val="00DF594C"/>
    <w:rsid w:val="00E23E50"/>
    <w:rsid w:val="00E7448A"/>
    <w:rsid w:val="00E85DB2"/>
    <w:rsid w:val="00FB7B94"/>
    <w:rsid w:val="00FF7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CF1C5"/>
  <w15:chartTrackingRefBased/>
  <w15:docId w15:val="{182E253F-3842-4188-B429-53EA8A67B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CC0"/>
    <w:pPr>
      <w:spacing w:after="0" w:line="240" w:lineRule="auto"/>
    </w:pPr>
    <w:rPr>
      <w:rFonts w:ascii="Times New Roman" w:eastAsia="Times New Roman" w:hAnsi="Times New Roman" w:cs="Times New Roman"/>
      <w:kern w:val="0"/>
      <w:lang w:val="en" w:eastAsia="en-GB"/>
      <w14:ligatures w14:val="none"/>
    </w:rPr>
  </w:style>
  <w:style w:type="paragraph" w:styleId="Heading1">
    <w:name w:val="heading 1"/>
    <w:basedOn w:val="Normal"/>
    <w:next w:val="Normal"/>
    <w:link w:val="Heading1Char"/>
    <w:uiPriority w:val="9"/>
    <w:qFormat/>
    <w:rsid w:val="00E85DB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E85DB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E85DB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E85DB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E85DB2"/>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E85DB2"/>
    <w:pPr>
      <w:keepNext/>
      <w:keepLines/>
      <w:spacing w:before="40" w:line="278" w:lineRule="auto"/>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E85DB2"/>
    <w:pPr>
      <w:keepNext/>
      <w:keepLines/>
      <w:spacing w:before="40" w:line="278" w:lineRule="auto"/>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E85DB2"/>
    <w:pPr>
      <w:keepNext/>
      <w:keepLines/>
      <w:spacing w:line="278" w:lineRule="auto"/>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E85DB2"/>
    <w:pPr>
      <w:keepNext/>
      <w:keepLines/>
      <w:spacing w:line="278" w:lineRule="auto"/>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DB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85DB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85DB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85DB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85DB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85DB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85DB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85DB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85DB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85DB2"/>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E85DB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85DB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E85DB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85DB2"/>
    <w:pPr>
      <w:spacing w:before="160" w:after="160" w:line="278" w:lineRule="auto"/>
      <w:jc w:val="center"/>
    </w:pPr>
    <w:rPr>
      <w:rFonts w:asciiTheme="minorHAnsi" w:eastAsiaTheme="minorHAnsi" w:hAnsiTheme="minorHAnsi" w:cstheme="minorBid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E85DB2"/>
    <w:rPr>
      <w:i/>
      <w:iCs/>
      <w:color w:val="404040" w:themeColor="text1" w:themeTint="BF"/>
      <w:lang w:val="en-GB"/>
    </w:rPr>
  </w:style>
  <w:style w:type="paragraph" w:styleId="ListParagraph">
    <w:name w:val="List Paragraph"/>
    <w:basedOn w:val="Normal"/>
    <w:uiPriority w:val="34"/>
    <w:qFormat/>
    <w:rsid w:val="00E85DB2"/>
    <w:pPr>
      <w:spacing w:after="160" w:line="278" w:lineRule="auto"/>
      <w:ind w:left="720"/>
      <w:contextualSpacing/>
    </w:pPr>
    <w:rPr>
      <w:rFonts w:asciiTheme="minorHAnsi" w:eastAsiaTheme="minorHAnsi" w:hAnsiTheme="minorHAnsi" w:cstheme="minorBidi"/>
      <w:kern w:val="2"/>
      <w:lang w:val="en-GB" w:eastAsia="en-US"/>
      <w14:ligatures w14:val="standardContextual"/>
    </w:rPr>
  </w:style>
  <w:style w:type="character" w:styleId="IntenseEmphasis">
    <w:name w:val="Intense Emphasis"/>
    <w:basedOn w:val="DefaultParagraphFont"/>
    <w:uiPriority w:val="21"/>
    <w:qFormat/>
    <w:rsid w:val="00E85DB2"/>
    <w:rPr>
      <w:i/>
      <w:iCs/>
      <w:color w:val="0F4761" w:themeColor="accent1" w:themeShade="BF"/>
    </w:rPr>
  </w:style>
  <w:style w:type="paragraph" w:styleId="IntenseQuote">
    <w:name w:val="Intense Quote"/>
    <w:basedOn w:val="Normal"/>
    <w:next w:val="Normal"/>
    <w:link w:val="IntenseQuoteChar"/>
    <w:uiPriority w:val="30"/>
    <w:qFormat/>
    <w:rsid w:val="00E85DB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E85DB2"/>
    <w:rPr>
      <w:i/>
      <w:iCs/>
      <w:color w:val="0F4761" w:themeColor="accent1" w:themeShade="BF"/>
      <w:lang w:val="en-GB"/>
    </w:rPr>
  </w:style>
  <w:style w:type="character" w:styleId="IntenseReference">
    <w:name w:val="Intense Reference"/>
    <w:basedOn w:val="DefaultParagraphFont"/>
    <w:uiPriority w:val="32"/>
    <w:qFormat/>
    <w:rsid w:val="00E85DB2"/>
    <w:rPr>
      <w:b/>
      <w:bCs/>
      <w:smallCaps/>
      <w:color w:val="0F4761" w:themeColor="accent1" w:themeShade="BF"/>
      <w:spacing w:val="5"/>
    </w:rPr>
  </w:style>
  <w:style w:type="table" w:styleId="PlainTable2">
    <w:name w:val="Plain Table 2"/>
    <w:basedOn w:val="TableNormal"/>
    <w:uiPriority w:val="42"/>
    <w:rsid w:val="00E85DB2"/>
    <w:pPr>
      <w:spacing w:after="0" w:line="240" w:lineRule="auto"/>
    </w:pPr>
    <w:rPr>
      <w:rFonts w:ascii="Times New Roman" w:eastAsia="Times New Roman" w:hAnsi="Times New Roman" w:cs="Times New Roman"/>
      <w:kern w:val="0"/>
      <w:lang w:val="en" w:eastAsia="en-GB"/>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uiPriority w:val="99"/>
    <w:semiHidden/>
    <w:unhideWhenUsed/>
    <w:rsid w:val="009E06B9"/>
    <w:rPr>
      <w:sz w:val="16"/>
      <w:szCs w:val="16"/>
    </w:rPr>
  </w:style>
  <w:style w:type="paragraph" w:styleId="CommentText">
    <w:name w:val="annotation text"/>
    <w:basedOn w:val="Normal"/>
    <w:link w:val="CommentTextChar"/>
    <w:uiPriority w:val="99"/>
    <w:unhideWhenUsed/>
    <w:rsid w:val="009E06B9"/>
    <w:rPr>
      <w:sz w:val="20"/>
      <w:szCs w:val="20"/>
    </w:rPr>
  </w:style>
  <w:style w:type="character" w:customStyle="1" w:styleId="CommentTextChar">
    <w:name w:val="Comment Text Char"/>
    <w:basedOn w:val="DefaultParagraphFont"/>
    <w:link w:val="CommentText"/>
    <w:uiPriority w:val="99"/>
    <w:rsid w:val="009E06B9"/>
    <w:rPr>
      <w:rFonts w:ascii="Times New Roman" w:eastAsia="Times New Roman" w:hAnsi="Times New Roman" w:cs="Times New Roman"/>
      <w:kern w:val="0"/>
      <w:sz w:val="20"/>
      <w:szCs w:val="20"/>
      <w:lang w:val="en" w:eastAsia="en-GB"/>
      <w14:ligatures w14:val="none"/>
    </w:rPr>
  </w:style>
  <w:style w:type="paragraph" w:styleId="Revision">
    <w:name w:val="Revision"/>
    <w:hidden/>
    <w:uiPriority w:val="99"/>
    <w:semiHidden/>
    <w:rsid w:val="00B93CA8"/>
    <w:pPr>
      <w:spacing w:after="0" w:line="240" w:lineRule="auto"/>
    </w:pPr>
    <w:rPr>
      <w:rFonts w:ascii="Times New Roman" w:eastAsia="Times New Roman" w:hAnsi="Times New Roman" w:cs="Times New Roman"/>
      <w:kern w:val="0"/>
      <w:lang w:val="en" w:eastAsia="en-GB"/>
      <w14:ligatures w14:val="none"/>
    </w:rPr>
  </w:style>
  <w:style w:type="character" w:styleId="Hyperlink">
    <w:name w:val="Hyperlink"/>
    <w:basedOn w:val="DefaultParagraphFont"/>
    <w:uiPriority w:val="99"/>
    <w:unhideWhenUsed/>
    <w:rsid w:val="00B93CA8"/>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DF594C"/>
    <w:rPr>
      <w:b/>
      <w:bCs/>
    </w:rPr>
  </w:style>
  <w:style w:type="character" w:customStyle="1" w:styleId="CommentSubjectChar">
    <w:name w:val="Comment Subject Char"/>
    <w:basedOn w:val="CommentTextChar"/>
    <w:link w:val="CommentSubject"/>
    <w:uiPriority w:val="99"/>
    <w:semiHidden/>
    <w:rsid w:val="00DF594C"/>
    <w:rPr>
      <w:rFonts w:ascii="Times New Roman" w:eastAsia="Times New Roman" w:hAnsi="Times New Roman" w:cs="Times New Roman"/>
      <w:b/>
      <w:bCs/>
      <w:kern w:val="0"/>
      <w:sz w:val="20"/>
      <w:szCs w:val="20"/>
      <w:lang w:val="en"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igmaaldrich.com/US/en/product/sigma/z377600" TargetMode="External"/><Relationship Id="rId11" Type="http://schemas.openxmlformats.org/officeDocument/2006/relationships/image" Target="media/image5.png"/><Relationship Id="rId5" Type="http://schemas.openxmlformats.org/officeDocument/2006/relationships/hyperlink" Target="https://www.thermofisher.com/order/catalog/product/101R20" TargetMode="Externa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hyperlink" Target="https://www.rpicorp.com/products/growth-media/powder/agar-bacteriological-grade-500-g.html" TargetMode="Externa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2186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Max-Planck-Institute of Colloids and Interfaces</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Murace</dc:creator>
  <cp:keywords/>
  <dc:description/>
  <cp:lastModifiedBy>silvia vignolini</cp:lastModifiedBy>
  <cp:revision>2</cp:revision>
  <dcterms:created xsi:type="dcterms:W3CDTF">2026-09-21T09:59:00Z</dcterms:created>
  <dcterms:modified xsi:type="dcterms:W3CDTF">2026-09-21T09:59:00Z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90e85587069818fb41eb24ef5b6a19ad7c4533d5590620d4c565916df6cd1705</vt:lpwstr>
  </property>
</Properties>
</file>