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559A7">
      <w:pPr>
        <w:ind w:firstLine="0" w:firstLineChars="0"/>
        <w:rPr>
          <w:rFonts w:cs="Times New Roman"/>
          <w:b/>
          <w:bCs/>
          <w:color w:val="000000" w:themeColor="text1"/>
          <w14:textFill>
            <w14:solidFill>
              <w14:schemeClr w14:val="tx1"/>
            </w14:solidFill>
          </w14:textFill>
        </w:rPr>
      </w:pPr>
      <w:r>
        <w:rPr>
          <w:rFonts w:hint="eastAsia" w:cs="Times New Roman"/>
          <w:b/>
          <w:bCs/>
          <w:color w:val="000000" w:themeColor="text1"/>
          <w14:textFill>
            <w14:solidFill>
              <w14:schemeClr w14:val="tx1"/>
            </w14:solidFill>
          </w14:textFill>
        </w:rPr>
        <w:t>Supplementary Material</w:t>
      </w:r>
    </w:p>
    <w:p w14:paraId="439DDC0F">
      <w:pPr>
        <w:ind w:firstLine="0" w:firstLineChars="0"/>
        <w:jc w:val="center"/>
        <w:rPr>
          <w:rFonts w:cs="Times New Roman"/>
          <w:b/>
          <w:bCs/>
          <w:i/>
          <w:iCs/>
        </w:rPr>
      </w:pPr>
    </w:p>
    <w:p w14:paraId="428C3488">
      <w:pPr>
        <w:ind w:firstLine="0" w:firstLineChars="0"/>
        <w:jc w:val="center"/>
        <w:rPr>
          <w:rFonts w:cs="Times New Roman"/>
          <w:b/>
          <w:bCs/>
        </w:rPr>
      </w:pPr>
      <w:r>
        <w:rPr>
          <w:rFonts w:cs="Times New Roman"/>
          <w:b/>
          <w:bCs/>
          <w:i/>
          <w:iCs/>
        </w:rPr>
        <w:t>Cetobacterium sinipercae</w:t>
      </w:r>
      <w:r>
        <w:rPr>
          <w:rFonts w:cs="Times New Roman"/>
          <w:b/>
          <w:bCs/>
        </w:rPr>
        <w:t xml:space="preserve"> sp. nov., isolated from Mandarin fish (</w:t>
      </w:r>
      <w:r>
        <w:rPr>
          <w:rFonts w:cs="Times New Roman"/>
          <w:b/>
          <w:bCs/>
          <w:i/>
          <w:iCs/>
        </w:rPr>
        <w:t>Siniperca chuatsi</w:t>
      </w:r>
      <w:r>
        <w:rPr>
          <w:rFonts w:cs="Times New Roman"/>
          <w:b/>
          <w:bCs/>
        </w:rPr>
        <w:t>)</w:t>
      </w:r>
    </w:p>
    <w:p w14:paraId="1100824D">
      <w:pPr>
        <w:widowControl/>
        <w:ind w:firstLine="0" w:firstLineChars="0"/>
        <w:jc w:val="center"/>
        <w:rPr>
          <w:rFonts w:cs="Times New Roman"/>
          <w:color w:val="000000"/>
          <w:kern w:val="0"/>
          <w:vertAlign w:val="superscript"/>
          <w:lang w:bidi="ar"/>
        </w:rPr>
      </w:pPr>
      <w:r>
        <w:rPr>
          <w:rFonts w:cs="Times New Roman"/>
          <w:color w:val="000000"/>
          <w:kern w:val="0"/>
          <w:lang w:bidi="ar"/>
        </w:rPr>
        <w:t>Jinhui Song</w:t>
      </w:r>
      <w:r>
        <w:rPr>
          <w:rFonts w:cs="Times New Roman"/>
          <w:color w:val="000000"/>
          <w:kern w:val="0"/>
          <w:vertAlign w:val="superscript"/>
          <w:lang w:bidi="ar"/>
        </w:rPr>
        <w:t>1</w:t>
      </w:r>
      <w:r>
        <w:rPr>
          <w:rFonts w:cs="Times New Roman"/>
          <w:color w:val="000000"/>
          <w:kern w:val="0"/>
          <w:lang w:bidi="ar"/>
        </w:rPr>
        <w:t>, Xiangyi Jin</w:t>
      </w:r>
      <w:r>
        <w:rPr>
          <w:rFonts w:cs="Times New Roman"/>
          <w:color w:val="000000"/>
          <w:kern w:val="0"/>
          <w:vertAlign w:val="superscript"/>
          <w:lang w:bidi="ar"/>
        </w:rPr>
        <w:t>1</w:t>
      </w:r>
      <w:r>
        <w:rPr>
          <w:rFonts w:cs="Times New Roman"/>
          <w:color w:val="000000"/>
          <w:kern w:val="0"/>
          <w:lang w:bidi="ar"/>
        </w:rPr>
        <w:t>, Qingqing Li</w:t>
      </w:r>
      <w:r>
        <w:rPr>
          <w:rFonts w:cs="Times New Roman"/>
          <w:color w:val="000000"/>
          <w:kern w:val="0"/>
          <w:vertAlign w:val="superscript"/>
          <w:lang w:bidi="ar"/>
        </w:rPr>
        <w:t>1</w:t>
      </w:r>
      <w:r>
        <w:rPr>
          <w:rFonts w:cs="Times New Roman"/>
          <w:color w:val="000000"/>
          <w:kern w:val="0"/>
          <w:lang w:bidi="ar"/>
        </w:rPr>
        <w:t>, Jinshan Li</w:t>
      </w:r>
      <w:r>
        <w:rPr>
          <w:rFonts w:cs="Times New Roman"/>
          <w:color w:val="000000"/>
          <w:kern w:val="0"/>
          <w:vertAlign w:val="superscript"/>
          <w:lang w:bidi="ar"/>
        </w:rPr>
        <w:t>2</w:t>
      </w:r>
      <w:r>
        <w:rPr>
          <w:rFonts w:cs="Times New Roman"/>
          <w:color w:val="000000"/>
          <w:kern w:val="0"/>
          <w:lang w:bidi="ar"/>
        </w:rPr>
        <w:t>, Yongmei Hu</w:t>
      </w:r>
      <w:r>
        <w:rPr>
          <w:rFonts w:cs="Times New Roman"/>
          <w:color w:val="000000"/>
          <w:kern w:val="0"/>
          <w:vertAlign w:val="superscript"/>
          <w:lang w:bidi="ar"/>
        </w:rPr>
        <w:t>1</w:t>
      </w:r>
      <w:r>
        <w:rPr>
          <w:rFonts w:cs="Times New Roman"/>
          <w:color w:val="000000"/>
          <w:kern w:val="0"/>
          <w:lang w:bidi="ar"/>
        </w:rPr>
        <w:t>, Nan Peng</w:t>
      </w:r>
      <w:r>
        <w:rPr>
          <w:rFonts w:cs="Times New Roman"/>
          <w:color w:val="000000"/>
          <w:kern w:val="0"/>
          <w:vertAlign w:val="superscript"/>
          <w:lang w:bidi="ar"/>
        </w:rPr>
        <w:t>1</w:t>
      </w:r>
      <w:r>
        <w:rPr>
          <w:rFonts w:cs="Times New Roman"/>
          <w:color w:val="000000"/>
          <w:kern w:val="0"/>
          <w:lang w:bidi="ar"/>
        </w:rPr>
        <w:t>, Shumiao Zhao</w:t>
      </w:r>
      <w:r>
        <w:rPr>
          <w:rFonts w:cs="Times New Roman"/>
          <w:color w:val="000000"/>
          <w:kern w:val="0"/>
          <w:vertAlign w:val="superscript"/>
          <w:lang w:bidi="ar"/>
        </w:rPr>
        <w:t>1, *</w:t>
      </w:r>
    </w:p>
    <w:p w14:paraId="13E27DE5">
      <w:pPr>
        <w:widowControl/>
        <w:ind w:firstLine="0" w:firstLineChars="0"/>
        <w:jc w:val="left"/>
        <w:rPr>
          <w:rFonts w:cs="Times New Roman"/>
          <w:color w:val="000000"/>
          <w:kern w:val="0"/>
          <w:vertAlign w:val="superscript"/>
          <w:lang w:bidi="ar"/>
        </w:rPr>
      </w:pPr>
    </w:p>
    <w:p w14:paraId="06438393">
      <w:pPr>
        <w:ind w:firstLine="0" w:firstLineChars="0"/>
        <w:rPr>
          <w:rFonts w:cs="Times New Roman"/>
          <w:b/>
          <w:bCs/>
        </w:rPr>
      </w:pPr>
      <w:r>
        <w:rPr>
          <w:rFonts w:cs="Times New Roman"/>
          <w:b/>
          <w:bCs/>
        </w:rPr>
        <w:t>Author affiliations</w:t>
      </w:r>
    </w:p>
    <w:p w14:paraId="58FB1B15">
      <w:pPr>
        <w:ind w:firstLine="0" w:firstLineChars="0"/>
        <w:rPr>
          <w:rFonts w:cs="Times New Roman"/>
        </w:rPr>
      </w:pPr>
      <w:r>
        <w:rPr>
          <w:rFonts w:cs="Times New Roman"/>
          <w:vertAlign w:val="superscript"/>
        </w:rPr>
        <w:t xml:space="preserve">1 </w:t>
      </w:r>
      <w:r>
        <w:rPr>
          <w:rFonts w:cs="Times New Roman"/>
        </w:rPr>
        <w:t>National Key Laboratory of Agricultural Microbiology, College of Life Science and Technology, Huazhong Agricultural University, Wuhan, 430070, PR China.</w:t>
      </w:r>
    </w:p>
    <w:p w14:paraId="73B20BAE">
      <w:pPr>
        <w:ind w:firstLine="0" w:firstLineChars="0"/>
        <w:rPr>
          <w:rFonts w:cs="Times New Roman"/>
        </w:rPr>
      </w:pPr>
      <w:r>
        <w:rPr>
          <w:rFonts w:cs="Times New Roman"/>
          <w:vertAlign w:val="superscript"/>
        </w:rPr>
        <w:t xml:space="preserve">2 </w:t>
      </w:r>
      <w:r>
        <w:rPr>
          <w:rFonts w:cs="Times New Roman"/>
        </w:rPr>
        <w:t>Experimental Teaching Center of Bioengineering, College of Life Science and Technology, Huazhong Agricultural University, Wuhan, 430070, PR China.</w:t>
      </w:r>
    </w:p>
    <w:p w14:paraId="27F8FCB2">
      <w:pPr>
        <w:ind w:firstLine="0" w:firstLineChars="0"/>
        <w:rPr>
          <w:rFonts w:cs="Times New Roman"/>
        </w:rPr>
      </w:pPr>
    </w:p>
    <w:p w14:paraId="4AC56AC1">
      <w:pPr>
        <w:widowControl/>
        <w:shd w:val="clear" w:color="auto" w:fill="FFFFFF"/>
        <w:ind w:firstLine="0" w:firstLineChars="0"/>
        <w:jc w:val="left"/>
        <w:rPr>
          <w:rFonts w:cs="Times New Roman"/>
        </w:rPr>
      </w:pPr>
      <w:r>
        <w:rPr>
          <w:rFonts w:cs="Times New Roman"/>
          <w:b/>
          <w:bCs/>
        </w:rPr>
        <w:t>*Correspondence:</w:t>
      </w:r>
      <w:r>
        <w:rPr>
          <w:rFonts w:cs="Times New Roman"/>
        </w:rPr>
        <w:t xml:space="preserve"> Shumiao Zhao</w:t>
      </w:r>
    </w:p>
    <w:p w14:paraId="440B2729">
      <w:pPr>
        <w:widowControl/>
        <w:shd w:val="clear" w:color="auto" w:fill="FFFFFF"/>
        <w:ind w:firstLine="0" w:firstLineChars="0"/>
        <w:jc w:val="left"/>
        <w:rPr>
          <w:rFonts w:cs="Times New Roman"/>
          <w:color w:val="212121"/>
          <w:kern w:val="0"/>
        </w:rPr>
      </w:pPr>
      <w:r>
        <w:rPr>
          <w:rFonts w:cs="Times New Roman"/>
          <w:color w:val="212121"/>
          <w:kern w:val="0"/>
        </w:rPr>
        <w:t xml:space="preserve">E-mail address: </w:t>
      </w:r>
      <w:r>
        <w:fldChar w:fldCharType="begin"/>
      </w:r>
      <w:r>
        <w:instrText xml:space="preserve"> HYPERLINK "mailto:shumiaozhao@mail.hzau.edu.cn" </w:instrText>
      </w:r>
      <w:r>
        <w:fldChar w:fldCharType="separate"/>
      </w:r>
      <w:r>
        <w:rPr>
          <w:rStyle w:val="12"/>
          <w:rFonts w:cs="Times New Roman"/>
          <w:kern w:val="0"/>
        </w:rPr>
        <w:t>shumi</w:t>
      </w:r>
      <w:r>
        <w:rPr>
          <w:rStyle w:val="12"/>
          <w:rFonts w:cs="Times New Roman"/>
        </w:rPr>
        <w:t>aozhao@mail.hzau.edu.cn</w:t>
      </w:r>
      <w:r>
        <w:rPr>
          <w:rStyle w:val="12"/>
          <w:rFonts w:cs="Times New Roman"/>
        </w:rPr>
        <w:br w:type="page"/>
      </w:r>
      <w:r>
        <w:rPr>
          <w:rStyle w:val="12"/>
          <w:rFonts w:cs="Times New Roman"/>
        </w:rPr>
        <w:fldChar w:fldCharType="end"/>
      </w:r>
    </w:p>
    <w:p w14:paraId="6B2F9F3C">
      <w:pPr>
        <w:ind w:firstLine="0" w:firstLineChars="0"/>
        <w:jc w:val="center"/>
        <w:rPr>
          <w:rFonts w:cs="Times New Roman"/>
        </w:rPr>
      </w:pPr>
      <w:r>
        <w:rPr>
          <w:rFonts w:cs="Times New Roman"/>
        </w:rPr>
        <w:drawing>
          <wp:inline distT="0" distB="0" distL="114300" distR="114300">
            <wp:extent cx="5486400" cy="3242310"/>
            <wp:effectExtent l="0" t="0" r="0" b="0"/>
            <wp:docPr id="6" name="图片 6" descr="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ML"/>
                    <pic:cNvPicPr>
                      <a:picLocks noChangeAspect="1"/>
                    </pic:cNvPicPr>
                  </pic:nvPicPr>
                  <pic:blipFill>
                    <a:blip r:embed="rId6"/>
                    <a:stretch>
                      <a:fillRect/>
                    </a:stretch>
                  </pic:blipFill>
                  <pic:spPr>
                    <a:xfrm>
                      <a:off x="0" y="0"/>
                      <a:ext cx="5490373" cy="3244897"/>
                    </a:xfrm>
                    <a:prstGeom prst="rect">
                      <a:avLst/>
                    </a:prstGeom>
                  </pic:spPr>
                </pic:pic>
              </a:graphicData>
            </a:graphic>
          </wp:inline>
        </w:drawing>
      </w:r>
    </w:p>
    <w:p w14:paraId="606424A4">
      <w:pPr>
        <w:spacing w:line="240" w:lineRule="auto"/>
        <w:ind w:firstLine="0" w:firstLineChars="0"/>
        <w:rPr>
          <w:rFonts w:cs="Times New Roman"/>
        </w:rPr>
      </w:pPr>
      <w:r>
        <w:rPr>
          <w:rFonts w:cs="Times New Roman"/>
          <w:b/>
          <w:bCs/>
        </w:rPr>
        <w:t>Fig. S1.</w:t>
      </w:r>
      <w:r>
        <w:rPr>
          <w:rFonts w:cs="Times New Roman"/>
        </w:rPr>
        <w:t xml:space="preserve"> Maximum-likelihood tree based on 16S rRNA gene sequences showing the position of strain SF1</w:t>
      </w:r>
      <w:r>
        <w:rPr>
          <w:rFonts w:cs="Times New Roman"/>
          <w:vertAlign w:val="superscript"/>
        </w:rPr>
        <w:t>T</w:t>
      </w:r>
      <w:r>
        <w:rPr>
          <w:rFonts w:cs="Times New Roman"/>
        </w:rPr>
        <w:t xml:space="preserve"> within closely related taxa. GenBank accession numbers of the 16S rRNA gene sequences are given in parentheses. Bootstrap values &gt;70% (1000 replicates) are shown at branch nodes. Bar, 0.02 substitutions per nucleotide position. </w:t>
      </w:r>
      <w:r>
        <w:rPr>
          <w:rFonts w:cs="Times New Roman"/>
          <w:i/>
          <w:iCs/>
        </w:rPr>
        <w:t>Escherichia coli</w:t>
      </w:r>
      <w:r>
        <w:rPr>
          <w:rFonts w:cs="Times New Roman"/>
        </w:rPr>
        <w:t xml:space="preserve"> ATCC 11775</w:t>
      </w:r>
      <w:r>
        <w:rPr>
          <w:rFonts w:cs="Times New Roman"/>
          <w:vertAlign w:val="superscript"/>
        </w:rPr>
        <w:t>T</w:t>
      </w:r>
      <w:r>
        <w:rPr>
          <w:rFonts w:cs="Times New Roman"/>
        </w:rPr>
        <w:t xml:space="preserve"> was used as an outgroup.</w:t>
      </w:r>
    </w:p>
    <w:p w14:paraId="4580E45B">
      <w:pPr>
        <w:ind w:firstLine="0" w:firstLineChars="0"/>
        <w:jc w:val="center"/>
        <w:rPr>
          <w:rFonts w:cs="Times New Roman"/>
        </w:rPr>
      </w:pPr>
      <w:r>
        <w:rPr>
          <w:rFonts w:cs="Times New Roman"/>
        </w:rPr>
        <w:drawing>
          <wp:inline distT="0" distB="0" distL="114300" distR="114300">
            <wp:extent cx="5396230" cy="3086100"/>
            <wp:effectExtent l="0" t="0" r="0" b="0"/>
            <wp:docPr id="5" name="图片 5" descr="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P"/>
                    <pic:cNvPicPr>
                      <a:picLocks noChangeAspect="1"/>
                    </pic:cNvPicPr>
                  </pic:nvPicPr>
                  <pic:blipFill>
                    <a:blip r:embed="rId7"/>
                    <a:stretch>
                      <a:fillRect/>
                    </a:stretch>
                  </pic:blipFill>
                  <pic:spPr>
                    <a:xfrm>
                      <a:off x="0" y="0"/>
                      <a:ext cx="5403691" cy="3090512"/>
                    </a:xfrm>
                    <a:prstGeom prst="rect">
                      <a:avLst/>
                    </a:prstGeom>
                  </pic:spPr>
                </pic:pic>
              </a:graphicData>
            </a:graphic>
          </wp:inline>
        </w:drawing>
      </w:r>
    </w:p>
    <w:p w14:paraId="32C852EB">
      <w:pPr>
        <w:spacing w:line="240" w:lineRule="auto"/>
        <w:ind w:firstLine="0" w:firstLineChars="0"/>
        <w:rPr>
          <w:rFonts w:hint="eastAsia" w:cs="Times New Roman"/>
        </w:rPr>
      </w:pPr>
      <w:r>
        <w:rPr>
          <w:rFonts w:cs="Times New Roman"/>
          <w:b/>
          <w:bCs/>
        </w:rPr>
        <w:t>Fig. S2.</w:t>
      </w:r>
      <w:r>
        <w:rPr>
          <w:rFonts w:cs="Times New Roman"/>
        </w:rPr>
        <w:t xml:space="preserve"> Maximum-parsimony phylogenetic tree based on 16S rRNA gene sequences showing the position of strain SF1</w:t>
      </w:r>
      <w:r>
        <w:rPr>
          <w:rFonts w:cs="Times New Roman"/>
          <w:vertAlign w:val="superscript"/>
        </w:rPr>
        <w:t>T</w:t>
      </w:r>
      <w:r>
        <w:rPr>
          <w:rFonts w:cs="Times New Roman"/>
        </w:rPr>
        <w:t xml:space="preserve"> within closely related taxa. GenBank accession numbers of the 16S rRNA gene sequences are given in parentheses. Bootstrap values &gt;70% (1000 replicates) are shown at branch nodes. Bar, 0.02 substitutions per nucleotide position. </w:t>
      </w:r>
      <w:r>
        <w:rPr>
          <w:rFonts w:cs="Times New Roman"/>
          <w:i/>
          <w:iCs/>
        </w:rPr>
        <w:t>Escherichia coli</w:t>
      </w:r>
      <w:r>
        <w:rPr>
          <w:rFonts w:cs="Times New Roman"/>
        </w:rPr>
        <w:t xml:space="preserve"> ATCC 11775</w:t>
      </w:r>
      <w:r>
        <w:rPr>
          <w:rFonts w:cs="Times New Roman"/>
          <w:vertAlign w:val="superscript"/>
        </w:rPr>
        <w:t>T</w:t>
      </w:r>
      <w:r>
        <w:rPr>
          <w:rFonts w:cs="Times New Roman"/>
        </w:rPr>
        <w:t xml:space="preserve"> was used as an outgroup.</w:t>
      </w:r>
    </w:p>
    <w:p w14:paraId="2D95D49A">
      <w:pPr>
        <w:widowControl/>
        <w:spacing w:line="240" w:lineRule="auto"/>
        <w:ind w:firstLine="0" w:firstLineChars="0"/>
        <w:jc w:val="left"/>
        <w:rPr>
          <w:rFonts w:cs="Times New Roman"/>
        </w:rPr>
      </w:pPr>
      <w:r>
        <w:rPr>
          <w:rFonts w:cs="Times New Roman"/>
        </w:rPr>
        <w:br w:type="page"/>
      </w:r>
    </w:p>
    <w:p w14:paraId="61FDAA8F">
      <w:pPr>
        <w:ind w:firstLine="0" w:firstLineChars="0"/>
        <w:jc w:val="center"/>
        <w:rPr>
          <w:rFonts w:hint="eastAsia" w:cs="Times New Roman"/>
        </w:rPr>
      </w:pPr>
      <w:r>
        <w:rPr>
          <w:rFonts w:hint="eastAsia" w:cs="Times New Roman"/>
        </w:rPr>
        <w:drawing>
          <wp:inline distT="0" distB="0" distL="0" distR="0">
            <wp:extent cx="5731510" cy="5725795"/>
            <wp:effectExtent l="0" t="0" r="254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31510" cy="5725795"/>
                    </a:xfrm>
                    <a:prstGeom prst="rect">
                      <a:avLst/>
                    </a:prstGeom>
                  </pic:spPr>
                </pic:pic>
              </a:graphicData>
            </a:graphic>
          </wp:inline>
        </w:drawing>
      </w:r>
    </w:p>
    <w:p w14:paraId="35C19F06">
      <w:pPr>
        <w:ind w:firstLine="0" w:firstLineChars="0"/>
        <w:rPr>
          <w:rFonts w:cs="Times New Roman"/>
        </w:rPr>
      </w:pPr>
      <w:r>
        <w:rPr>
          <w:rFonts w:cs="Times New Roman"/>
          <w:b/>
          <w:bCs/>
        </w:rPr>
        <w:t>Fig. S3.</w:t>
      </w:r>
      <w:r>
        <w:rPr>
          <w:rFonts w:cs="Times New Roman"/>
        </w:rPr>
        <w:t xml:space="preserve"> Two-dimensional TLC analysis of polar lipids from strain SF1</w:t>
      </w:r>
      <w:r>
        <w:rPr>
          <w:rFonts w:cs="Times New Roman"/>
          <w:vertAlign w:val="superscript"/>
        </w:rPr>
        <w:t>T</w:t>
      </w:r>
      <w:r>
        <w:rPr>
          <w:rFonts w:cs="Times New Roman"/>
        </w:rPr>
        <w:t>. The staining reagents used were as follows: (a) ninhydrin; (b) molybdenum blue; (c) α-naphthol; and (d) phosphomolybdic acid. PG, phosphatidylglycerol</w:t>
      </w:r>
      <w:r>
        <w:rPr>
          <w:rFonts w:hint="eastAsia" w:cs="Times New Roman"/>
        </w:rPr>
        <w:t>;</w:t>
      </w:r>
      <w:r>
        <w:rPr>
          <w:rFonts w:cs="Times New Roman"/>
        </w:rPr>
        <w:t xml:space="preserve"> DPG, diphosphatidylglycerol; PE, phosphatidylethanolamine; PME, phosphatidylmethylethanolamine; PL1-6, unidentified phospholipids; L1-2, unidentified lipid; APL1-2, unidentified aminophospholipids.</w:t>
      </w:r>
    </w:p>
    <w:p w14:paraId="501CE9D7">
      <w:pPr>
        <w:ind w:firstLine="0" w:firstLineChars="0"/>
        <w:jc w:val="center"/>
        <w:rPr>
          <w:rFonts w:hint="eastAsia" w:eastAsia="宋体" w:cs="Times New Roman"/>
          <w:lang w:eastAsia="zh-CN"/>
        </w:rPr>
      </w:pPr>
      <w:r>
        <w:rPr>
          <w:rFonts w:hint="eastAsia" w:eastAsia="宋体" w:cs="Times New Roman"/>
          <w:lang w:eastAsia="zh-CN"/>
        </w:rPr>
        <w:drawing>
          <wp:inline distT="0" distB="0" distL="114300" distR="114300">
            <wp:extent cx="3867785" cy="3032760"/>
            <wp:effectExtent l="0" t="0" r="3175" b="0"/>
            <wp:docPr id="2" name="图片 2" descr="抗氧化能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抗氧化能力"/>
                    <pic:cNvPicPr>
                      <a:picLocks noChangeAspect="1"/>
                    </pic:cNvPicPr>
                  </pic:nvPicPr>
                  <pic:blipFill>
                    <a:blip r:embed="rId9"/>
                    <a:stretch>
                      <a:fillRect/>
                    </a:stretch>
                  </pic:blipFill>
                  <pic:spPr>
                    <a:xfrm>
                      <a:off x="0" y="0"/>
                      <a:ext cx="3867785" cy="3032760"/>
                    </a:xfrm>
                    <a:prstGeom prst="rect">
                      <a:avLst/>
                    </a:prstGeom>
                  </pic:spPr>
                </pic:pic>
              </a:graphicData>
            </a:graphic>
          </wp:inline>
        </w:drawing>
      </w:r>
    </w:p>
    <w:p w14:paraId="5938B53D">
      <w:pPr>
        <w:ind w:firstLine="0" w:firstLineChars="0"/>
        <w:jc w:val="left"/>
        <w:rPr>
          <w:rFonts w:hint="eastAsia" w:eastAsia="宋体" w:cs="Times New Roman"/>
          <w:lang w:eastAsia="zh-CN"/>
        </w:rPr>
      </w:pPr>
      <w:r>
        <w:rPr>
          <w:rFonts w:cs="Times New Roman"/>
          <w:b/>
          <w:bCs/>
        </w:rPr>
        <w:t>Fig. S</w:t>
      </w:r>
      <w:r>
        <w:rPr>
          <w:rFonts w:hint="eastAsia" w:cs="Times New Roman"/>
          <w:b/>
          <w:bCs/>
          <w:lang w:val="en-US" w:eastAsia="zh-CN"/>
        </w:rPr>
        <w:t>4</w:t>
      </w:r>
      <w:r>
        <w:rPr>
          <w:rFonts w:cs="Times New Roman"/>
          <w:b/>
          <w:bCs/>
        </w:rPr>
        <w:t>.</w:t>
      </w:r>
      <w:r>
        <w:rPr>
          <w:rFonts w:cs="Times New Roman"/>
        </w:rPr>
        <w:t xml:space="preserve"> </w:t>
      </w:r>
      <w:r>
        <w:rPr>
          <w:rFonts w:hint="eastAsia" w:cs="Times New Roman"/>
        </w:rPr>
        <w:t xml:space="preserve">In </w:t>
      </w:r>
      <w:r>
        <w:rPr>
          <w:rFonts w:hint="eastAsia" w:cs="Times New Roman"/>
          <w:b w:val="0"/>
          <w:bCs w:val="0"/>
        </w:rPr>
        <w:t xml:space="preserve">vitro radical-scavenging activities of the cell-free supernatant and whole-cell suspension of strain </w:t>
      </w:r>
      <w:r>
        <w:rPr>
          <w:rFonts w:hint="default"/>
          <w:b w:val="0"/>
          <w:bCs w:val="0"/>
          <w:lang w:val="en-US" w:eastAsia="zh-CN"/>
        </w:rPr>
        <w:t>SF1ᵀ</w:t>
      </w:r>
      <w:r>
        <w:rPr>
          <w:rFonts w:hint="eastAsia" w:cs="Times New Roman"/>
          <w:b w:val="0"/>
          <w:bCs w:val="0"/>
        </w:rPr>
        <w:t xml:space="preserve"> against three free-radical systems. Bars represent the scavenging rates (%) of </w:t>
      </w:r>
      <w:r>
        <w:rPr>
          <w:rFonts w:hint="default"/>
          <w:b w:val="0"/>
          <w:bCs w:val="0"/>
          <w:lang w:val="en-US" w:eastAsia="zh-CN"/>
        </w:rPr>
        <w:t>DPPH·</w:t>
      </w:r>
      <w:r>
        <w:rPr>
          <w:rFonts w:hint="eastAsia" w:cs="Times New Roman"/>
          <w:b w:val="0"/>
          <w:bCs w:val="0"/>
        </w:rPr>
        <w:t>, superoxide anion (</w:t>
      </w:r>
      <w:r>
        <w:rPr>
          <w:rFonts w:hint="default"/>
          <w:b w:val="0"/>
          <w:bCs w:val="0"/>
          <w:lang w:val="en-US" w:eastAsia="zh-CN"/>
        </w:rPr>
        <w:t>O₂·⁻</w:t>
      </w:r>
      <w:r>
        <w:rPr>
          <w:rFonts w:hint="eastAsia" w:cs="Times New Roman"/>
          <w:b w:val="0"/>
          <w:bCs w:val="0"/>
        </w:rPr>
        <w:t>), and hydroxyl radical (</w:t>
      </w:r>
      <w:r>
        <w:rPr>
          <w:rFonts w:hint="default"/>
          <w:b w:val="0"/>
          <w:bCs w:val="0"/>
          <w:lang w:val="en-US" w:eastAsia="zh-CN"/>
        </w:rPr>
        <w:t>·OH</w:t>
      </w:r>
      <w:r>
        <w:rPr>
          <w:rFonts w:hint="eastAsia" w:cs="Times New Roman"/>
          <w:b w:val="0"/>
          <w:bCs w:val="0"/>
        </w:rPr>
        <w:t>) by the cell-free supernatant (</w:t>
      </w:r>
      <w:r>
        <w:rPr>
          <w:rFonts w:hint="eastAsia" w:cs="Times New Roman"/>
          <w:b w:val="0"/>
          <w:bCs w:val="0"/>
          <w:lang w:val="en-US" w:eastAsia="zh-CN"/>
        </w:rPr>
        <w:t>blue</w:t>
      </w:r>
      <w:r>
        <w:rPr>
          <w:rFonts w:hint="eastAsia" w:cs="Times New Roman"/>
          <w:b w:val="0"/>
          <w:bCs w:val="0"/>
        </w:rPr>
        <w:t xml:space="preserve"> bars) and whole-cell suspension (</w:t>
      </w:r>
      <w:r>
        <w:rPr>
          <w:rFonts w:hint="eastAsia" w:cs="Times New Roman"/>
          <w:b w:val="0"/>
          <w:bCs w:val="0"/>
          <w:lang w:val="en-US" w:eastAsia="zh-CN"/>
        </w:rPr>
        <w:t>red</w:t>
      </w:r>
      <w:r>
        <w:rPr>
          <w:rFonts w:hint="eastAsia" w:cs="Times New Roman"/>
          <w:b w:val="0"/>
          <w:bCs w:val="0"/>
        </w:rPr>
        <w:t xml:space="preserve"> bars) of strain </w:t>
      </w:r>
      <w:r>
        <w:rPr>
          <w:rFonts w:hint="default"/>
          <w:b w:val="0"/>
          <w:bCs w:val="0"/>
          <w:lang w:val="en-US" w:eastAsia="zh-CN"/>
        </w:rPr>
        <w:t>SF1ᵀ</w:t>
      </w:r>
      <w:r>
        <w:rPr>
          <w:rFonts w:hint="eastAsia" w:cs="Times New Roman"/>
          <w:b w:val="0"/>
          <w:bCs w:val="0"/>
        </w:rPr>
        <w:t xml:space="preserve">. Data are mean </w:t>
      </w:r>
      <w:r>
        <w:rPr>
          <w:rFonts w:hint="default" w:ascii="Times New Roman" w:hAnsi="Times New Roman" w:cs="Times New Roman"/>
          <w:b w:val="0"/>
          <w:bCs w:val="0"/>
        </w:rPr>
        <w:t>±</w:t>
      </w:r>
      <w:r>
        <w:rPr>
          <w:rFonts w:hint="eastAsia" w:cs="Times New Roman"/>
          <w:b w:val="0"/>
          <w:bCs w:val="0"/>
        </w:rPr>
        <w:t xml:space="preserve"> SD from three independent experiments.</w:t>
      </w:r>
    </w:p>
    <w:p w14:paraId="43BB286A">
      <w:pPr>
        <w:spacing w:line="240" w:lineRule="auto"/>
        <w:ind w:firstLine="0" w:firstLineChars="0"/>
        <w:rPr>
          <w:rFonts w:cs="Times New Roman"/>
        </w:rPr>
      </w:pPr>
    </w:p>
    <w:p w14:paraId="69E1DE60">
      <w:pPr>
        <w:widowControl/>
        <w:spacing w:line="240" w:lineRule="auto"/>
        <w:ind w:firstLine="0" w:firstLineChars="0"/>
        <w:jc w:val="left"/>
        <w:rPr>
          <w:rFonts w:cs="Times New Roman"/>
          <w:b/>
          <w:bCs/>
        </w:rPr>
      </w:pPr>
      <w:r>
        <w:rPr>
          <w:rFonts w:cs="Times New Roman"/>
          <w:b/>
          <w:bCs/>
        </w:rPr>
        <w:br w:type="page"/>
      </w:r>
    </w:p>
    <w:p w14:paraId="155A9D2E">
      <w:pPr>
        <w:ind w:firstLine="0" w:firstLineChars="0"/>
        <w:rPr>
          <w:rFonts w:cs="Times New Roman"/>
        </w:rPr>
      </w:pPr>
      <w:r>
        <w:rPr>
          <w:rFonts w:cs="Times New Roman"/>
          <w:b/>
          <w:bCs/>
        </w:rPr>
        <w:t>Table S1.</w:t>
      </w:r>
      <w:r>
        <w:rPr>
          <w:rFonts w:cs="Times New Roman"/>
        </w:rPr>
        <w:t xml:space="preserve"> General genomic features of strain SF1</w:t>
      </w:r>
      <w:r>
        <w:rPr>
          <w:rFonts w:cs="Times New Roman"/>
          <w:vertAlign w:val="superscript"/>
        </w:rPr>
        <w:t>T</w:t>
      </w:r>
      <w:r>
        <w:rPr>
          <w:rFonts w:cs="Times New Roman"/>
        </w:rPr>
        <w:t xml:space="preserve"> and closely related type strains of the genus </w:t>
      </w:r>
      <w:r>
        <w:rPr>
          <w:rFonts w:cs="Times New Roman"/>
          <w:i/>
          <w:iCs/>
        </w:rPr>
        <w:t>Cetobacterium</w:t>
      </w:r>
    </w:p>
    <w:p w14:paraId="65A384AF">
      <w:pPr>
        <w:ind w:firstLine="0" w:firstLineChars="0"/>
        <w:rPr>
          <w:rFonts w:cs="Times New Roman"/>
        </w:rPr>
      </w:pPr>
      <w:r>
        <w:rPr>
          <w:rFonts w:cs="Times New Roman"/>
        </w:rPr>
        <w:t>Taxa: 1, SF1</w:t>
      </w:r>
      <w:r>
        <w:rPr>
          <w:rFonts w:cs="Times New Roman"/>
          <w:vertAlign w:val="superscript"/>
        </w:rPr>
        <w:t>T</w:t>
      </w:r>
      <w:r>
        <w:rPr>
          <w:rFonts w:cs="Times New Roman"/>
        </w:rPr>
        <w:t xml:space="preserve">; 2, </w:t>
      </w:r>
      <w:r>
        <w:rPr>
          <w:rFonts w:cs="Times New Roman"/>
          <w:i/>
          <w:iCs/>
        </w:rPr>
        <w:t>C. ceti</w:t>
      </w:r>
      <w:r>
        <w:rPr>
          <w:rFonts w:cs="Times New Roman"/>
        </w:rPr>
        <w:t xml:space="preserve"> NCFB 3026</w:t>
      </w:r>
      <w:r>
        <w:rPr>
          <w:rFonts w:cs="Times New Roman"/>
          <w:vertAlign w:val="superscript"/>
        </w:rPr>
        <w:t>T</w:t>
      </w:r>
      <w:r>
        <w:rPr>
          <w:rFonts w:cs="Times New Roman"/>
        </w:rPr>
        <w:t xml:space="preserve">; 3, </w:t>
      </w:r>
      <w:r>
        <w:rPr>
          <w:rFonts w:cs="Times New Roman"/>
          <w:i/>
          <w:iCs/>
        </w:rPr>
        <w:t>C. somerae</w:t>
      </w:r>
      <w:r>
        <w:rPr>
          <w:rFonts w:cs="Times New Roman"/>
          <w:b/>
          <w:bCs/>
        </w:rPr>
        <w:t xml:space="preserve"> </w:t>
      </w:r>
      <w:r>
        <w:rPr>
          <w:rFonts w:cs="Times New Roman"/>
        </w:rPr>
        <w:t>WAL 14325</w:t>
      </w:r>
      <w:r>
        <w:rPr>
          <w:rFonts w:cs="Times New Roman"/>
          <w:vertAlign w:val="superscript"/>
        </w:rPr>
        <w:t>T</w:t>
      </w:r>
    </w:p>
    <w:p w14:paraId="417C3079">
      <w:pPr>
        <w:ind w:firstLine="0" w:firstLineChars="0"/>
        <w:rPr>
          <w:rFonts w:cs="Times New Roman"/>
        </w:rPr>
      </w:pPr>
      <w:r>
        <w:rPr>
          <w:rFonts w:cs="Times New Roman"/>
        </w:rPr>
        <w:t>The genomic features were obtained from the NCBI prokaryotic genome annotation pipeline (www.ncbi.nlm.nih.gov/genome/annotation_prok/). *, complete; †, draft.</w:t>
      </w:r>
      <w:r>
        <w:rPr>
          <w:rFonts w:hint="eastAsia" w:cs="Times New Roman"/>
        </w:rPr>
        <w:t xml:space="preserve"> ND, No data. </w:t>
      </w:r>
    </w:p>
    <w:tbl>
      <w:tblPr>
        <w:tblStyle w:val="10"/>
        <w:tblW w:w="4997" w:type="pct"/>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3476"/>
        <w:gridCol w:w="1920"/>
        <w:gridCol w:w="1920"/>
        <w:gridCol w:w="1920"/>
      </w:tblGrid>
      <w:tr w14:paraId="34864B7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blHeader/>
        </w:trPr>
        <w:tc>
          <w:tcPr>
            <w:tcW w:w="1881" w:type="pct"/>
            <w:tcBorders>
              <w:top w:val="single" w:color="auto" w:sz="8" w:space="0"/>
              <w:bottom w:val="single" w:color="auto" w:sz="8" w:space="0"/>
            </w:tcBorders>
            <w:vAlign w:val="center"/>
          </w:tcPr>
          <w:p w14:paraId="39A5E29D">
            <w:pPr>
              <w:ind w:firstLine="0" w:firstLineChars="0"/>
              <w:rPr>
                <w:rFonts w:cs="Times New Roman"/>
              </w:rPr>
            </w:pPr>
            <w:r>
              <w:rPr>
                <w:rFonts w:cs="Times New Roman"/>
              </w:rPr>
              <w:t>Feature</w:t>
            </w:r>
          </w:p>
        </w:tc>
        <w:tc>
          <w:tcPr>
            <w:tcW w:w="1039" w:type="pct"/>
            <w:tcBorders>
              <w:top w:val="single" w:color="auto" w:sz="8" w:space="0"/>
              <w:bottom w:val="single" w:color="auto" w:sz="8" w:space="0"/>
            </w:tcBorders>
            <w:vAlign w:val="center"/>
          </w:tcPr>
          <w:p w14:paraId="0E00C3F4">
            <w:pPr>
              <w:ind w:firstLine="0" w:firstLineChars="0"/>
              <w:jc w:val="center"/>
              <w:rPr>
                <w:rFonts w:cs="Times New Roman"/>
              </w:rPr>
            </w:pPr>
            <w:r>
              <w:rPr>
                <w:rFonts w:cs="Times New Roman"/>
              </w:rPr>
              <w:t>1</w:t>
            </w:r>
          </w:p>
        </w:tc>
        <w:tc>
          <w:tcPr>
            <w:tcW w:w="1039" w:type="pct"/>
            <w:tcBorders>
              <w:top w:val="single" w:color="auto" w:sz="8" w:space="0"/>
              <w:bottom w:val="single" w:color="auto" w:sz="8" w:space="0"/>
            </w:tcBorders>
            <w:vAlign w:val="center"/>
          </w:tcPr>
          <w:p w14:paraId="7C3FA41B">
            <w:pPr>
              <w:ind w:firstLine="0" w:firstLineChars="0"/>
              <w:jc w:val="center"/>
              <w:rPr>
                <w:rFonts w:cs="Times New Roman"/>
              </w:rPr>
            </w:pPr>
            <w:r>
              <w:rPr>
                <w:rFonts w:cs="Times New Roman"/>
              </w:rPr>
              <w:t>2</w:t>
            </w:r>
          </w:p>
        </w:tc>
        <w:tc>
          <w:tcPr>
            <w:tcW w:w="1039" w:type="pct"/>
            <w:tcBorders>
              <w:top w:val="single" w:color="auto" w:sz="8" w:space="0"/>
              <w:bottom w:val="single" w:color="auto" w:sz="8" w:space="0"/>
            </w:tcBorders>
            <w:vAlign w:val="center"/>
          </w:tcPr>
          <w:p w14:paraId="02BB1A56">
            <w:pPr>
              <w:ind w:firstLine="0" w:firstLineChars="0"/>
              <w:jc w:val="center"/>
              <w:rPr>
                <w:rFonts w:cs="Times New Roman"/>
              </w:rPr>
            </w:pPr>
            <w:r>
              <w:rPr>
                <w:rFonts w:cs="Times New Roman"/>
              </w:rPr>
              <w:t>3</w:t>
            </w:r>
          </w:p>
        </w:tc>
      </w:tr>
      <w:tr w14:paraId="3028580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tcBorders>
              <w:top w:val="single" w:color="auto" w:sz="8" w:space="0"/>
            </w:tcBorders>
            <w:shd w:val="clear" w:color="auto" w:fill="auto"/>
            <w:vAlign w:val="center"/>
          </w:tcPr>
          <w:p w14:paraId="621F8DAB">
            <w:pPr>
              <w:ind w:firstLine="0" w:firstLineChars="0"/>
              <w:rPr>
                <w:rFonts w:cs="Times New Roman"/>
              </w:rPr>
            </w:pPr>
            <w:r>
              <w:rPr>
                <w:rFonts w:cs="Times New Roman"/>
              </w:rPr>
              <w:t>Genome size</w:t>
            </w:r>
            <w:r>
              <w:rPr>
                <w:rFonts w:hint="eastAsia" w:cs="Times New Roman"/>
              </w:rPr>
              <w:t xml:space="preserve"> </w:t>
            </w:r>
            <w:r>
              <w:rPr>
                <w:rFonts w:cs="Times New Roman"/>
              </w:rPr>
              <w:t>(Mb)</w:t>
            </w:r>
          </w:p>
        </w:tc>
        <w:tc>
          <w:tcPr>
            <w:tcW w:w="1039" w:type="pct"/>
            <w:tcBorders>
              <w:top w:val="single" w:color="auto" w:sz="8" w:space="0"/>
            </w:tcBorders>
            <w:shd w:val="clear" w:color="auto" w:fill="auto"/>
            <w:vAlign w:val="center"/>
          </w:tcPr>
          <w:p w14:paraId="790AADFC">
            <w:pPr>
              <w:ind w:firstLine="0" w:firstLineChars="0"/>
              <w:jc w:val="center"/>
              <w:rPr>
                <w:rFonts w:cs="Times New Roman"/>
              </w:rPr>
            </w:pPr>
            <w:r>
              <w:rPr>
                <w:rFonts w:cs="Times New Roman"/>
              </w:rPr>
              <w:t>2.5</w:t>
            </w:r>
          </w:p>
        </w:tc>
        <w:tc>
          <w:tcPr>
            <w:tcW w:w="1039" w:type="pct"/>
            <w:tcBorders>
              <w:top w:val="single" w:color="auto" w:sz="8" w:space="0"/>
            </w:tcBorders>
            <w:shd w:val="clear" w:color="auto" w:fill="auto"/>
            <w:vAlign w:val="center"/>
          </w:tcPr>
          <w:p w14:paraId="0E0E38A0">
            <w:pPr>
              <w:ind w:firstLine="0" w:firstLineChars="0"/>
              <w:jc w:val="center"/>
              <w:rPr>
                <w:rFonts w:cs="Times New Roman"/>
              </w:rPr>
            </w:pPr>
            <w:r>
              <w:rPr>
                <w:rFonts w:cs="Times New Roman"/>
              </w:rPr>
              <w:t>2.6</w:t>
            </w:r>
          </w:p>
        </w:tc>
        <w:tc>
          <w:tcPr>
            <w:tcW w:w="1039" w:type="pct"/>
            <w:tcBorders>
              <w:top w:val="single" w:color="auto" w:sz="8" w:space="0"/>
            </w:tcBorders>
            <w:shd w:val="clear" w:color="auto" w:fill="auto"/>
            <w:vAlign w:val="center"/>
          </w:tcPr>
          <w:p w14:paraId="312129D6">
            <w:pPr>
              <w:ind w:firstLine="0" w:firstLineChars="0"/>
              <w:jc w:val="center"/>
              <w:rPr>
                <w:rFonts w:cs="Times New Roman"/>
              </w:rPr>
            </w:pPr>
            <w:r>
              <w:rPr>
                <w:rFonts w:hint="eastAsia" w:cs="Times New Roman"/>
              </w:rPr>
              <w:t>3.1</w:t>
            </w:r>
          </w:p>
        </w:tc>
      </w:tr>
      <w:tr w14:paraId="26EB4CD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7107E9F6">
            <w:pPr>
              <w:ind w:firstLine="0" w:firstLineChars="0"/>
              <w:rPr>
                <w:rFonts w:cs="Times New Roman"/>
              </w:rPr>
            </w:pPr>
            <w:r>
              <w:rPr>
                <w:rFonts w:cs="Times New Roman"/>
              </w:rPr>
              <w:t xml:space="preserve">GC </w:t>
            </w:r>
            <w:r>
              <w:rPr>
                <w:rFonts w:cs="Times New Roman"/>
                <w:color w:val="000000"/>
              </w:rPr>
              <w:t>content</w:t>
            </w:r>
            <w:r>
              <w:rPr>
                <w:rFonts w:cs="Times New Roman"/>
              </w:rPr>
              <w:t xml:space="preserve"> (%)</w:t>
            </w:r>
          </w:p>
        </w:tc>
        <w:tc>
          <w:tcPr>
            <w:tcW w:w="1039" w:type="pct"/>
            <w:vAlign w:val="center"/>
          </w:tcPr>
          <w:p w14:paraId="67FE6ADF">
            <w:pPr>
              <w:ind w:firstLine="0" w:firstLineChars="0"/>
              <w:jc w:val="center"/>
              <w:rPr>
                <w:rFonts w:cs="Times New Roman"/>
              </w:rPr>
            </w:pPr>
            <w:r>
              <w:rPr>
                <w:rFonts w:cs="Times New Roman"/>
              </w:rPr>
              <w:t>28.93</w:t>
            </w:r>
          </w:p>
        </w:tc>
        <w:tc>
          <w:tcPr>
            <w:tcW w:w="1039" w:type="pct"/>
            <w:shd w:val="clear" w:color="auto" w:fill="auto"/>
            <w:vAlign w:val="center"/>
          </w:tcPr>
          <w:p w14:paraId="5DC33E18">
            <w:pPr>
              <w:ind w:firstLine="0" w:firstLineChars="0"/>
              <w:jc w:val="center"/>
              <w:rPr>
                <w:rFonts w:cs="Times New Roman"/>
              </w:rPr>
            </w:pPr>
            <w:r>
              <w:rPr>
                <w:rFonts w:cs="Times New Roman"/>
              </w:rPr>
              <w:t>28.24</w:t>
            </w:r>
          </w:p>
        </w:tc>
        <w:tc>
          <w:tcPr>
            <w:tcW w:w="1039" w:type="pct"/>
            <w:shd w:val="clear" w:color="auto" w:fill="auto"/>
            <w:vAlign w:val="center"/>
          </w:tcPr>
          <w:p w14:paraId="688F53D8">
            <w:pPr>
              <w:ind w:firstLine="0" w:firstLineChars="0"/>
              <w:jc w:val="center"/>
              <w:rPr>
                <w:rFonts w:cs="Times New Roman"/>
              </w:rPr>
            </w:pPr>
            <w:r>
              <w:rPr>
                <w:rFonts w:cs="Times New Roman"/>
              </w:rPr>
              <w:t>28.58</w:t>
            </w:r>
          </w:p>
        </w:tc>
      </w:tr>
      <w:tr w14:paraId="23484E8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81" w:type="pct"/>
            <w:shd w:val="clear" w:color="auto" w:fill="auto"/>
            <w:vAlign w:val="center"/>
          </w:tcPr>
          <w:p w14:paraId="6C567C93">
            <w:pPr>
              <w:ind w:firstLine="0" w:firstLineChars="0"/>
              <w:rPr>
                <w:rFonts w:cs="Times New Roman"/>
              </w:rPr>
            </w:pPr>
            <w:r>
              <w:rPr>
                <w:rFonts w:cs="Times New Roman"/>
              </w:rPr>
              <w:t>Genome statu</w:t>
            </w:r>
            <w:r>
              <w:rPr>
                <w:rFonts w:hint="eastAsia" w:cs="Times New Roman"/>
              </w:rPr>
              <w:t xml:space="preserve">s </w:t>
            </w:r>
            <w:r>
              <w:rPr>
                <w:rFonts w:cs="Times New Roman"/>
              </w:rPr>
              <w:t>(No. of contigs)</w:t>
            </w:r>
          </w:p>
        </w:tc>
        <w:tc>
          <w:tcPr>
            <w:tcW w:w="1039" w:type="pct"/>
            <w:shd w:val="clear" w:color="auto" w:fill="auto"/>
            <w:vAlign w:val="center"/>
          </w:tcPr>
          <w:p w14:paraId="09F97AD4">
            <w:pPr>
              <w:ind w:firstLine="0" w:firstLineChars="0"/>
              <w:jc w:val="center"/>
              <w:rPr>
                <w:rFonts w:cs="Times New Roman"/>
              </w:rPr>
            </w:pPr>
            <w:r>
              <w:rPr>
                <w:rFonts w:cs="Times New Roman"/>
              </w:rPr>
              <w:t>9*</w:t>
            </w:r>
          </w:p>
        </w:tc>
        <w:tc>
          <w:tcPr>
            <w:tcW w:w="1039" w:type="pct"/>
            <w:shd w:val="clear" w:color="auto" w:fill="auto"/>
            <w:vAlign w:val="center"/>
          </w:tcPr>
          <w:p w14:paraId="14A64271">
            <w:pPr>
              <w:ind w:firstLine="0" w:firstLineChars="0"/>
              <w:jc w:val="center"/>
              <w:rPr>
                <w:rFonts w:cs="Times New Roman"/>
              </w:rPr>
            </w:pPr>
            <w:r>
              <w:rPr>
                <w:rFonts w:cs="Times New Roman"/>
              </w:rPr>
              <w:t>61†</w:t>
            </w:r>
          </w:p>
        </w:tc>
        <w:tc>
          <w:tcPr>
            <w:tcW w:w="1039" w:type="pct"/>
            <w:shd w:val="clear" w:color="auto" w:fill="auto"/>
            <w:vAlign w:val="center"/>
          </w:tcPr>
          <w:p w14:paraId="528ECE60">
            <w:pPr>
              <w:ind w:firstLine="0" w:firstLineChars="0"/>
              <w:jc w:val="center"/>
              <w:rPr>
                <w:rFonts w:cs="Times New Roman"/>
              </w:rPr>
            </w:pPr>
            <w:r>
              <w:rPr>
                <w:rFonts w:cs="Times New Roman"/>
              </w:rPr>
              <w:t>8*</w:t>
            </w:r>
          </w:p>
        </w:tc>
      </w:tr>
      <w:tr w14:paraId="664A9C8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shd w:val="clear" w:color="auto" w:fill="auto"/>
            <w:vAlign w:val="center"/>
          </w:tcPr>
          <w:p w14:paraId="4361961D">
            <w:pPr>
              <w:ind w:firstLine="0" w:firstLineChars="0"/>
              <w:rPr>
                <w:rFonts w:cs="Times New Roman"/>
              </w:rPr>
            </w:pPr>
            <w:r>
              <w:rPr>
                <w:rFonts w:cs="Times New Roman"/>
              </w:rPr>
              <w:t>No. of total genes</w:t>
            </w:r>
          </w:p>
        </w:tc>
        <w:tc>
          <w:tcPr>
            <w:tcW w:w="1039" w:type="pct"/>
            <w:shd w:val="clear" w:color="auto" w:fill="auto"/>
            <w:vAlign w:val="center"/>
          </w:tcPr>
          <w:p w14:paraId="664DE2CE">
            <w:pPr>
              <w:ind w:firstLine="0" w:firstLineChars="0"/>
              <w:jc w:val="center"/>
              <w:rPr>
                <w:rFonts w:cs="Times New Roman"/>
              </w:rPr>
            </w:pPr>
            <w:r>
              <w:rPr>
                <w:rFonts w:cs="Times New Roman"/>
              </w:rPr>
              <w:t>2470</w:t>
            </w:r>
          </w:p>
        </w:tc>
        <w:tc>
          <w:tcPr>
            <w:tcW w:w="1039" w:type="pct"/>
            <w:shd w:val="clear" w:color="auto" w:fill="auto"/>
            <w:vAlign w:val="center"/>
          </w:tcPr>
          <w:p w14:paraId="0463BDB7">
            <w:pPr>
              <w:ind w:firstLine="0" w:firstLineChars="0"/>
              <w:jc w:val="center"/>
              <w:rPr>
                <w:rFonts w:cs="Times New Roman"/>
              </w:rPr>
            </w:pPr>
            <w:r>
              <w:rPr>
                <w:rFonts w:hint="eastAsia" w:cs="Times New Roman"/>
              </w:rPr>
              <w:t>2641</w:t>
            </w:r>
          </w:p>
        </w:tc>
        <w:tc>
          <w:tcPr>
            <w:tcW w:w="1039" w:type="pct"/>
            <w:shd w:val="clear" w:color="auto" w:fill="auto"/>
            <w:vAlign w:val="center"/>
          </w:tcPr>
          <w:p w14:paraId="7DEEAFF8">
            <w:pPr>
              <w:ind w:firstLine="0" w:firstLineChars="0"/>
              <w:jc w:val="center"/>
              <w:rPr>
                <w:rFonts w:cs="Times New Roman"/>
              </w:rPr>
            </w:pPr>
            <w:r>
              <w:rPr>
                <w:rFonts w:cs="Times New Roman"/>
              </w:rPr>
              <w:t>2973</w:t>
            </w:r>
          </w:p>
        </w:tc>
      </w:tr>
      <w:tr w14:paraId="199BF5D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3D9E43B4">
            <w:pPr>
              <w:ind w:firstLine="0" w:firstLineChars="0"/>
              <w:rPr>
                <w:rFonts w:cs="Times New Roman"/>
              </w:rPr>
            </w:pPr>
            <w:r>
              <w:rPr>
                <w:rFonts w:cs="Times New Roman"/>
              </w:rPr>
              <w:t>No. of protein-coding genes</w:t>
            </w:r>
          </w:p>
        </w:tc>
        <w:tc>
          <w:tcPr>
            <w:tcW w:w="1039" w:type="pct"/>
            <w:vAlign w:val="center"/>
          </w:tcPr>
          <w:p w14:paraId="5F56ED8D">
            <w:pPr>
              <w:ind w:firstLine="0" w:firstLineChars="0"/>
              <w:jc w:val="center"/>
              <w:rPr>
                <w:rFonts w:cs="Times New Roman"/>
              </w:rPr>
            </w:pPr>
            <w:r>
              <w:rPr>
                <w:rFonts w:cs="Times New Roman"/>
              </w:rPr>
              <w:t>2322</w:t>
            </w:r>
          </w:p>
        </w:tc>
        <w:tc>
          <w:tcPr>
            <w:tcW w:w="1039" w:type="pct"/>
            <w:vAlign w:val="center"/>
          </w:tcPr>
          <w:p w14:paraId="1C22F755">
            <w:pPr>
              <w:ind w:firstLine="0" w:firstLineChars="0"/>
              <w:jc w:val="center"/>
              <w:rPr>
                <w:rFonts w:cs="Times New Roman"/>
              </w:rPr>
            </w:pPr>
            <w:r>
              <w:rPr>
                <w:rFonts w:hint="eastAsia" w:cs="Times New Roman"/>
              </w:rPr>
              <w:t>2503</w:t>
            </w:r>
          </w:p>
        </w:tc>
        <w:tc>
          <w:tcPr>
            <w:tcW w:w="1039" w:type="pct"/>
            <w:vAlign w:val="center"/>
          </w:tcPr>
          <w:p w14:paraId="3BC8F964">
            <w:pPr>
              <w:ind w:firstLine="0" w:firstLineChars="0"/>
              <w:jc w:val="center"/>
              <w:rPr>
                <w:rFonts w:cs="Times New Roman"/>
              </w:rPr>
            </w:pPr>
            <w:r>
              <w:rPr>
                <w:rFonts w:cs="Times New Roman"/>
              </w:rPr>
              <w:t>2898</w:t>
            </w:r>
          </w:p>
        </w:tc>
      </w:tr>
      <w:tr w14:paraId="05CDA23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4D3F654D">
            <w:pPr>
              <w:ind w:firstLine="0" w:firstLineChars="0"/>
              <w:rPr>
                <w:rFonts w:cs="Times New Roman"/>
              </w:rPr>
            </w:pPr>
            <w:r>
              <w:rPr>
                <w:rFonts w:cs="Times New Roman"/>
              </w:rPr>
              <w:t>No. of 5S rRNA</w:t>
            </w:r>
          </w:p>
        </w:tc>
        <w:tc>
          <w:tcPr>
            <w:tcW w:w="1039" w:type="pct"/>
            <w:vAlign w:val="center"/>
          </w:tcPr>
          <w:p w14:paraId="4C84AE04">
            <w:pPr>
              <w:ind w:firstLine="0" w:firstLineChars="0"/>
              <w:jc w:val="center"/>
              <w:rPr>
                <w:rFonts w:cs="Times New Roman"/>
              </w:rPr>
            </w:pPr>
            <w:r>
              <w:rPr>
                <w:rFonts w:cs="Times New Roman"/>
              </w:rPr>
              <w:t>13</w:t>
            </w:r>
          </w:p>
        </w:tc>
        <w:tc>
          <w:tcPr>
            <w:tcW w:w="1039" w:type="pct"/>
            <w:vAlign w:val="center"/>
          </w:tcPr>
          <w:p w14:paraId="4050BE86">
            <w:pPr>
              <w:ind w:firstLine="0" w:firstLineChars="0"/>
              <w:jc w:val="center"/>
              <w:rPr>
                <w:rFonts w:cs="Times New Roman"/>
              </w:rPr>
            </w:pPr>
            <w:r>
              <w:rPr>
                <w:rFonts w:hint="eastAsia" w:cs="Times New Roman"/>
              </w:rPr>
              <w:t>ND</w:t>
            </w:r>
          </w:p>
        </w:tc>
        <w:tc>
          <w:tcPr>
            <w:tcW w:w="1039" w:type="pct"/>
            <w:shd w:val="clear" w:color="auto" w:fill="auto"/>
            <w:vAlign w:val="center"/>
          </w:tcPr>
          <w:p w14:paraId="799EA22B">
            <w:pPr>
              <w:ind w:firstLine="0" w:firstLineChars="0"/>
              <w:jc w:val="center"/>
              <w:rPr>
                <w:rFonts w:cs="Times New Roman"/>
              </w:rPr>
            </w:pPr>
            <w:r>
              <w:rPr>
                <w:rFonts w:hint="eastAsia" w:cs="Times New Roman"/>
              </w:rPr>
              <w:t>13</w:t>
            </w:r>
          </w:p>
        </w:tc>
      </w:tr>
      <w:tr w14:paraId="2B5D8D5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707BE5B7">
            <w:pPr>
              <w:ind w:firstLine="0" w:firstLineChars="0"/>
              <w:rPr>
                <w:rFonts w:cs="Times New Roman"/>
              </w:rPr>
            </w:pPr>
            <w:r>
              <w:rPr>
                <w:rFonts w:cs="Times New Roman"/>
              </w:rPr>
              <w:t>No. of 16S rRNA</w:t>
            </w:r>
          </w:p>
        </w:tc>
        <w:tc>
          <w:tcPr>
            <w:tcW w:w="1039" w:type="pct"/>
            <w:vAlign w:val="center"/>
          </w:tcPr>
          <w:p w14:paraId="1E32B7BE">
            <w:pPr>
              <w:ind w:firstLine="0" w:firstLineChars="0"/>
              <w:jc w:val="center"/>
              <w:rPr>
                <w:rFonts w:cs="Times New Roman"/>
              </w:rPr>
            </w:pPr>
            <w:r>
              <w:rPr>
                <w:rFonts w:cs="Times New Roman"/>
              </w:rPr>
              <w:t>12</w:t>
            </w:r>
          </w:p>
        </w:tc>
        <w:tc>
          <w:tcPr>
            <w:tcW w:w="1039" w:type="pct"/>
            <w:vAlign w:val="center"/>
          </w:tcPr>
          <w:p w14:paraId="00A3B106">
            <w:pPr>
              <w:ind w:firstLine="0" w:firstLineChars="0"/>
              <w:jc w:val="center"/>
              <w:rPr>
                <w:rFonts w:cs="Times New Roman"/>
              </w:rPr>
            </w:pPr>
            <w:r>
              <w:rPr>
                <w:rFonts w:hint="eastAsia" w:cs="Times New Roman"/>
              </w:rPr>
              <w:t>ND</w:t>
            </w:r>
          </w:p>
        </w:tc>
        <w:tc>
          <w:tcPr>
            <w:tcW w:w="1039" w:type="pct"/>
            <w:shd w:val="clear" w:color="auto" w:fill="auto"/>
            <w:vAlign w:val="center"/>
          </w:tcPr>
          <w:p w14:paraId="41C551A3">
            <w:pPr>
              <w:ind w:firstLine="0" w:firstLineChars="0"/>
              <w:jc w:val="center"/>
              <w:rPr>
                <w:rFonts w:cs="Times New Roman"/>
              </w:rPr>
            </w:pPr>
            <w:r>
              <w:rPr>
                <w:rFonts w:hint="eastAsia" w:cs="Times New Roman"/>
              </w:rPr>
              <w:t>12</w:t>
            </w:r>
          </w:p>
        </w:tc>
      </w:tr>
      <w:tr w14:paraId="714F063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31F8F76C">
            <w:pPr>
              <w:ind w:firstLine="0" w:firstLineChars="0"/>
              <w:rPr>
                <w:rFonts w:cs="Times New Roman"/>
              </w:rPr>
            </w:pPr>
            <w:r>
              <w:rPr>
                <w:rFonts w:cs="Times New Roman"/>
              </w:rPr>
              <w:t>No. of 23S rRNA</w:t>
            </w:r>
          </w:p>
        </w:tc>
        <w:tc>
          <w:tcPr>
            <w:tcW w:w="1039" w:type="pct"/>
            <w:vAlign w:val="center"/>
          </w:tcPr>
          <w:p w14:paraId="1A09B0CE">
            <w:pPr>
              <w:ind w:firstLine="0" w:firstLineChars="0"/>
              <w:jc w:val="center"/>
              <w:rPr>
                <w:rFonts w:cs="Times New Roman"/>
              </w:rPr>
            </w:pPr>
            <w:r>
              <w:rPr>
                <w:rFonts w:cs="Times New Roman"/>
              </w:rPr>
              <w:t>12</w:t>
            </w:r>
          </w:p>
        </w:tc>
        <w:tc>
          <w:tcPr>
            <w:tcW w:w="1039" w:type="pct"/>
            <w:vAlign w:val="center"/>
          </w:tcPr>
          <w:p w14:paraId="7BB0E3FA">
            <w:pPr>
              <w:ind w:firstLine="0" w:firstLineChars="0"/>
              <w:jc w:val="center"/>
              <w:rPr>
                <w:rFonts w:cs="Times New Roman"/>
              </w:rPr>
            </w:pPr>
            <w:r>
              <w:rPr>
                <w:rFonts w:hint="eastAsia" w:cs="Times New Roman"/>
              </w:rPr>
              <w:t>ND</w:t>
            </w:r>
          </w:p>
        </w:tc>
        <w:tc>
          <w:tcPr>
            <w:tcW w:w="1039" w:type="pct"/>
            <w:shd w:val="clear" w:color="auto" w:fill="auto"/>
            <w:vAlign w:val="center"/>
          </w:tcPr>
          <w:p w14:paraId="60558E1B">
            <w:pPr>
              <w:ind w:firstLine="0" w:firstLineChars="0"/>
              <w:jc w:val="center"/>
              <w:rPr>
                <w:rFonts w:cs="Times New Roman"/>
              </w:rPr>
            </w:pPr>
            <w:r>
              <w:rPr>
                <w:rFonts w:hint="eastAsia" w:cs="Times New Roman"/>
              </w:rPr>
              <w:t>12</w:t>
            </w:r>
          </w:p>
        </w:tc>
      </w:tr>
      <w:tr w14:paraId="5EB4381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2A6A3F19">
            <w:pPr>
              <w:ind w:firstLine="0" w:firstLineChars="0"/>
              <w:rPr>
                <w:rFonts w:cs="Times New Roman"/>
              </w:rPr>
            </w:pPr>
            <w:r>
              <w:rPr>
                <w:rFonts w:cs="Times New Roman"/>
              </w:rPr>
              <w:t>No. of tRNA</w:t>
            </w:r>
          </w:p>
        </w:tc>
        <w:tc>
          <w:tcPr>
            <w:tcW w:w="1039" w:type="pct"/>
            <w:vAlign w:val="center"/>
          </w:tcPr>
          <w:p w14:paraId="4CA8BC7A">
            <w:pPr>
              <w:ind w:firstLine="0" w:firstLineChars="0"/>
              <w:jc w:val="center"/>
              <w:rPr>
                <w:rFonts w:cs="Times New Roman"/>
              </w:rPr>
            </w:pPr>
            <w:r>
              <w:rPr>
                <w:rFonts w:cs="Times New Roman"/>
              </w:rPr>
              <w:t>10</w:t>
            </w:r>
            <w:r>
              <w:rPr>
                <w:rFonts w:hint="eastAsia" w:cs="Times New Roman"/>
              </w:rPr>
              <w:t>1</w:t>
            </w:r>
          </w:p>
        </w:tc>
        <w:tc>
          <w:tcPr>
            <w:tcW w:w="1039" w:type="pct"/>
            <w:vAlign w:val="center"/>
          </w:tcPr>
          <w:p w14:paraId="29667AB8">
            <w:pPr>
              <w:ind w:firstLine="0" w:firstLineChars="0"/>
              <w:jc w:val="center"/>
              <w:rPr>
                <w:rFonts w:cs="Times New Roman"/>
              </w:rPr>
            </w:pPr>
            <w:r>
              <w:rPr>
                <w:rFonts w:hint="eastAsia" w:cs="Times New Roman"/>
              </w:rPr>
              <w:t>ND</w:t>
            </w:r>
          </w:p>
        </w:tc>
        <w:tc>
          <w:tcPr>
            <w:tcW w:w="1039" w:type="pct"/>
            <w:shd w:val="clear" w:color="auto" w:fill="auto"/>
            <w:vAlign w:val="center"/>
          </w:tcPr>
          <w:p w14:paraId="24222A58">
            <w:pPr>
              <w:ind w:firstLine="0" w:firstLineChars="0"/>
              <w:jc w:val="center"/>
              <w:rPr>
                <w:rFonts w:cs="Times New Roman"/>
              </w:rPr>
            </w:pPr>
            <w:r>
              <w:rPr>
                <w:rFonts w:hint="eastAsia" w:cs="Times New Roman"/>
              </w:rPr>
              <w:t>84</w:t>
            </w:r>
          </w:p>
        </w:tc>
      </w:tr>
      <w:tr w14:paraId="024D4D2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53389E2E">
            <w:pPr>
              <w:ind w:firstLine="0" w:firstLineChars="0"/>
              <w:rPr>
                <w:rFonts w:cs="Times New Roman"/>
              </w:rPr>
            </w:pPr>
            <w:r>
              <w:rPr>
                <w:rFonts w:cs="Times New Roman"/>
              </w:rPr>
              <w:t>No. of non-coding RNA genes</w:t>
            </w:r>
          </w:p>
        </w:tc>
        <w:tc>
          <w:tcPr>
            <w:tcW w:w="1039" w:type="pct"/>
            <w:vAlign w:val="center"/>
          </w:tcPr>
          <w:p w14:paraId="1D4A69FC">
            <w:pPr>
              <w:ind w:firstLine="0" w:firstLineChars="0"/>
              <w:jc w:val="center"/>
              <w:rPr>
                <w:rFonts w:cs="Times New Roman"/>
              </w:rPr>
            </w:pPr>
            <w:r>
              <w:rPr>
                <w:rFonts w:hint="eastAsia" w:cs="Times New Roman"/>
              </w:rPr>
              <w:t>3</w:t>
            </w:r>
          </w:p>
        </w:tc>
        <w:tc>
          <w:tcPr>
            <w:tcW w:w="1039" w:type="pct"/>
            <w:vAlign w:val="center"/>
          </w:tcPr>
          <w:p w14:paraId="2C9A0F3B">
            <w:pPr>
              <w:ind w:firstLine="0" w:firstLineChars="0"/>
              <w:jc w:val="center"/>
              <w:rPr>
                <w:rFonts w:cs="Times New Roman"/>
              </w:rPr>
            </w:pPr>
            <w:r>
              <w:rPr>
                <w:rFonts w:hint="eastAsia" w:cs="Times New Roman"/>
              </w:rPr>
              <w:t>ND</w:t>
            </w:r>
          </w:p>
        </w:tc>
        <w:tc>
          <w:tcPr>
            <w:tcW w:w="1039" w:type="pct"/>
            <w:shd w:val="clear" w:color="auto" w:fill="auto"/>
            <w:vAlign w:val="center"/>
          </w:tcPr>
          <w:p w14:paraId="1E22F2C6">
            <w:pPr>
              <w:ind w:firstLine="0" w:firstLineChars="0"/>
              <w:jc w:val="center"/>
              <w:rPr>
                <w:rFonts w:cs="Times New Roman"/>
              </w:rPr>
            </w:pPr>
            <w:r>
              <w:rPr>
                <w:rFonts w:hint="eastAsia" w:cs="Times New Roman"/>
              </w:rPr>
              <w:t>3</w:t>
            </w:r>
          </w:p>
        </w:tc>
      </w:tr>
      <w:tr w14:paraId="56535A6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881" w:type="pct"/>
            <w:vAlign w:val="center"/>
          </w:tcPr>
          <w:p w14:paraId="77AB42FA">
            <w:pPr>
              <w:ind w:firstLine="0" w:firstLineChars="0"/>
              <w:rPr>
                <w:rFonts w:cs="Times New Roman"/>
              </w:rPr>
            </w:pPr>
            <w:r>
              <w:rPr>
                <w:rFonts w:cs="Times New Roman"/>
              </w:rPr>
              <w:t>No. of pseudogenes</w:t>
            </w:r>
          </w:p>
        </w:tc>
        <w:tc>
          <w:tcPr>
            <w:tcW w:w="1039" w:type="pct"/>
            <w:vAlign w:val="center"/>
          </w:tcPr>
          <w:p w14:paraId="2F863299">
            <w:pPr>
              <w:ind w:firstLine="0" w:firstLineChars="0"/>
              <w:jc w:val="center"/>
              <w:rPr>
                <w:rFonts w:cs="Times New Roman"/>
              </w:rPr>
            </w:pPr>
            <w:r>
              <w:rPr>
                <w:rFonts w:hint="eastAsia" w:cs="Times New Roman"/>
              </w:rPr>
              <w:t>7</w:t>
            </w:r>
          </w:p>
        </w:tc>
        <w:tc>
          <w:tcPr>
            <w:tcW w:w="1039" w:type="pct"/>
            <w:vAlign w:val="center"/>
          </w:tcPr>
          <w:p w14:paraId="3651383A">
            <w:pPr>
              <w:ind w:firstLine="0" w:firstLineChars="0"/>
              <w:jc w:val="center"/>
              <w:rPr>
                <w:rFonts w:cs="Times New Roman"/>
              </w:rPr>
            </w:pPr>
            <w:r>
              <w:rPr>
                <w:rFonts w:hint="eastAsia" w:cs="Times New Roman"/>
              </w:rPr>
              <w:t>ND</w:t>
            </w:r>
          </w:p>
        </w:tc>
        <w:tc>
          <w:tcPr>
            <w:tcW w:w="1039" w:type="pct"/>
            <w:shd w:val="clear" w:color="auto" w:fill="auto"/>
            <w:vAlign w:val="center"/>
          </w:tcPr>
          <w:p w14:paraId="33B39CFC">
            <w:pPr>
              <w:ind w:firstLine="0" w:firstLineChars="0"/>
              <w:jc w:val="center"/>
              <w:rPr>
                <w:rFonts w:cs="Times New Roman"/>
              </w:rPr>
            </w:pPr>
            <w:r>
              <w:rPr>
                <w:rFonts w:hint="eastAsia" w:cs="Times New Roman"/>
              </w:rPr>
              <w:t>37</w:t>
            </w:r>
          </w:p>
        </w:tc>
      </w:tr>
    </w:tbl>
    <w:p w14:paraId="6EF3866B">
      <w:pPr>
        <w:ind w:firstLine="482"/>
        <w:rPr>
          <w:rFonts w:cs="Times New Roman"/>
          <w:b/>
          <w:bCs/>
        </w:rPr>
      </w:pPr>
      <w:r>
        <w:rPr>
          <w:rFonts w:hint="eastAsia" w:cs="Times New Roman"/>
          <w:b/>
          <w:bCs/>
        </w:rPr>
        <w:br w:type="page"/>
      </w:r>
    </w:p>
    <w:p w14:paraId="6418EA62">
      <w:pPr>
        <w:ind w:firstLine="0" w:firstLineChars="0"/>
        <w:rPr>
          <w:rFonts w:cs="Times New Roman"/>
        </w:rPr>
      </w:pPr>
      <w:r>
        <w:rPr>
          <w:rFonts w:hint="eastAsia" w:cs="Times New Roman"/>
          <w:b/>
          <w:bCs/>
        </w:rPr>
        <w:t xml:space="preserve">Table S2. </w:t>
      </w:r>
      <w:r>
        <w:rPr>
          <w:rFonts w:hint="eastAsia" w:cs="Times New Roman"/>
        </w:rPr>
        <w:t>Biochemical characteristics of strain SF1</w:t>
      </w:r>
      <w:r>
        <w:rPr>
          <w:rFonts w:hint="eastAsia" w:cs="Times New Roman"/>
          <w:sz w:val="22"/>
          <w:szCs w:val="22"/>
          <w:vertAlign w:val="superscript"/>
        </w:rPr>
        <w:t>T</w:t>
      </w:r>
      <w:r>
        <w:rPr>
          <w:rFonts w:hint="eastAsia" w:cs="Times New Roman"/>
        </w:rPr>
        <w:t xml:space="preserve">. </w:t>
      </w:r>
      <w:r>
        <w:rPr>
          <w:rFonts w:cs="Times New Roman"/>
        </w:rPr>
        <w:t>+, Positive; −, Negative; W, Weakly positive</w:t>
      </w:r>
    </w:p>
    <w:tbl>
      <w:tblPr>
        <w:tblStyle w:val="9"/>
        <w:tblW w:w="5000" w:type="pct"/>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1692"/>
        <w:gridCol w:w="314"/>
        <w:gridCol w:w="1718"/>
        <w:gridCol w:w="314"/>
        <w:gridCol w:w="1406"/>
        <w:gridCol w:w="314"/>
        <w:gridCol w:w="1316"/>
        <w:gridCol w:w="314"/>
        <w:gridCol w:w="1540"/>
        <w:gridCol w:w="314"/>
      </w:tblGrid>
      <w:tr w14:paraId="489939A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blHeader/>
        </w:trPr>
        <w:tc>
          <w:tcPr>
            <w:tcW w:w="1085" w:type="pct"/>
            <w:gridSpan w:val="2"/>
            <w:tcBorders>
              <w:top w:val="single" w:color="auto" w:sz="8" w:space="0"/>
              <w:bottom w:val="single" w:color="auto" w:sz="8" w:space="0"/>
            </w:tcBorders>
            <w:shd w:val="clear" w:color="auto" w:fill="auto"/>
            <w:noWrap/>
            <w:vAlign w:val="center"/>
          </w:tcPr>
          <w:p w14:paraId="0538695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API ZYM</w:t>
            </w:r>
          </w:p>
        </w:tc>
        <w:tc>
          <w:tcPr>
            <w:tcW w:w="1099" w:type="pct"/>
            <w:gridSpan w:val="2"/>
            <w:tcBorders>
              <w:top w:val="single" w:color="auto" w:sz="8" w:space="0"/>
              <w:bottom w:val="single" w:color="auto" w:sz="8" w:space="0"/>
            </w:tcBorders>
            <w:shd w:val="clear" w:color="auto" w:fill="auto"/>
            <w:noWrap/>
            <w:vAlign w:val="center"/>
          </w:tcPr>
          <w:p w14:paraId="64D8B92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Rapid ID 32A</w:t>
            </w:r>
          </w:p>
        </w:tc>
        <w:tc>
          <w:tcPr>
            <w:tcW w:w="2815" w:type="pct"/>
            <w:gridSpan w:val="6"/>
            <w:tcBorders>
              <w:top w:val="single" w:color="auto" w:sz="8" w:space="0"/>
              <w:bottom w:val="single" w:color="auto" w:sz="8" w:space="0"/>
            </w:tcBorders>
            <w:shd w:val="clear" w:color="auto" w:fill="auto"/>
            <w:noWrap/>
            <w:vAlign w:val="center"/>
          </w:tcPr>
          <w:p w14:paraId="12B0A9A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AN Microplate</w:t>
            </w:r>
          </w:p>
        </w:tc>
      </w:tr>
      <w:tr w14:paraId="5CF2CF6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tcBorders>
              <w:top w:val="single" w:color="auto" w:sz="8" w:space="0"/>
            </w:tcBorders>
            <w:shd w:val="clear" w:color="auto" w:fill="auto"/>
            <w:noWrap/>
            <w:vAlign w:val="center"/>
          </w:tcPr>
          <w:p w14:paraId="08EBD7E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Alkaline phosphatase</w:t>
            </w:r>
          </w:p>
        </w:tc>
        <w:tc>
          <w:tcPr>
            <w:tcW w:w="169" w:type="pct"/>
            <w:tcBorders>
              <w:top w:val="single" w:color="auto" w:sz="8" w:space="0"/>
            </w:tcBorders>
            <w:shd w:val="clear" w:color="auto" w:fill="auto"/>
            <w:noWrap/>
            <w:vAlign w:val="center"/>
          </w:tcPr>
          <w:p w14:paraId="1AF5D48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tcBorders>
              <w:top w:val="single" w:color="auto" w:sz="8" w:space="0"/>
            </w:tcBorders>
            <w:shd w:val="clear" w:color="auto" w:fill="auto"/>
            <w:noWrap/>
            <w:vAlign w:val="center"/>
          </w:tcPr>
          <w:p w14:paraId="3BFBBDF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Urease</w:t>
            </w:r>
          </w:p>
        </w:tc>
        <w:tc>
          <w:tcPr>
            <w:tcW w:w="169" w:type="pct"/>
            <w:tcBorders>
              <w:top w:val="single" w:color="auto" w:sz="8" w:space="0"/>
            </w:tcBorders>
            <w:shd w:val="clear" w:color="auto" w:fill="auto"/>
            <w:noWrap/>
            <w:vAlign w:val="center"/>
          </w:tcPr>
          <w:p w14:paraId="505199B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tcBorders>
              <w:top w:val="single" w:color="auto" w:sz="8" w:space="0"/>
            </w:tcBorders>
            <w:shd w:val="clear" w:color="auto" w:fill="auto"/>
            <w:noWrap/>
            <w:vAlign w:val="center"/>
          </w:tcPr>
          <w:p w14:paraId="25ADCADC">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Water</w:t>
            </w:r>
          </w:p>
        </w:tc>
        <w:tc>
          <w:tcPr>
            <w:tcW w:w="169" w:type="pct"/>
            <w:tcBorders>
              <w:top w:val="single" w:color="auto" w:sz="8" w:space="0"/>
            </w:tcBorders>
            <w:shd w:val="clear" w:color="auto" w:fill="auto"/>
            <w:noWrap/>
            <w:vAlign w:val="center"/>
          </w:tcPr>
          <w:p w14:paraId="1B0314E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tcBorders>
              <w:top w:val="single" w:color="auto" w:sz="8" w:space="0"/>
            </w:tcBorders>
            <w:shd w:val="clear" w:color="auto" w:fill="auto"/>
            <w:noWrap/>
            <w:vAlign w:val="center"/>
          </w:tcPr>
          <w:p w14:paraId="3F9CC41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D-Mannose</w:t>
            </w:r>
          </w:p>
        </w:tc>
        <w:tc>
          <w:tcPr>
            <w:tcW w:w="169" w:type="pct"/>
            <w:tcBorders>
              <w:top w:val="single" w:color="auto" w:sz="8" w:space="0"/>
            </w:tcBorders>
            <w:shd w:val="clear" w:color="auto" w:fill="auto"/>
            <w:noWrap/>
            <w:vAlign w:val="center"/>
          </w:tcPr>
          <w:p w14:paraId="705AA621">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tcBorders>
              <w:top w:val="single" w:color="auto" w:sz="8" w:space="0"/>
            </w:tcBorders>
            <w:shd w:val="clear" w:color="auto" w:fill="auto"/>
            <w:noWrap/>
            <w:vAlign w:val="center"/>
          </w:tcPr>
          <w:p w14:paraId="42A08F7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Pyruvic acid</w:t>
            </w:r>
          </w:p>
        </w:tc>
        <w:tc>
          <w:tcPr>
            <w:tcW w:w="169" w:type="pct"/>
            <w:tcBorders>
              <w:top w:val="single" w:color="auto" w:sz="8" w:space="0"/>
            </w:tcBorders>
            <w:shd w:val="clear" w:color="auto" w:fill="auto"/>
            <w:noWrap/>
            <w:vAlign w:val="center"/>
          </w:tcPr>
          <w:p w14:paraId="110A8FA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6486ACD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2AF38C18">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Esterase (C4)</w:t>
            </w:r>
          </w:p>
        </w:tc>
        <w:tc>
          <w:tcPr>
            <w:tcW w:w="169" w:type="pct"/>
            <w:shd w:val="clear" w:color="auto" w:fill="auto"/>
            <w:noWrap/>
            <w:vAlign w:val="center"/>
          </w:tcPr>
          <w:p w14:paraId="3F57FFB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6DC62D3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Arginine dihydrolase</w:t>
            </w:r>
          </w:p>
        </w:tc>
        <w:tc>
          <w:tcPr>
            <w:tcW w:w="169" w:type="pct"/>
            <w:shd w:val="clear" w:color="auto" w:fill="auto"/>
            <w:noWrap/>
            <w:vAlign w:val="center"/>
          </w:tcPr>
          <w:p w14:paraId="7361A91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760" w:type="pct"/>
            <w:shd w:val="clear" w:color="auto" w:fill="auto"/>
            <w:noWrap/>
            <w:vAlign w:val="center"/>
          </w:tcPr>
          <w:p w14:paraId="6F921E3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N-Acetyl-D-galactosamine</w:t>
            </w:r>
          </w:p>
        </w:tc>
        <w:tc>
          <w:tcPr>
            <w:tcW w:w="169" w:type="pct"/>
            <w:shd w:val="clear" w:color="auto" w:fill="auto"/>
            <w:noWrap/>
            <w:vAlign w:val="center"/>
          </w:tcPr>
          <w:p w14:paraId="1B5F518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3391A1A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D-Melezitose</w:t>
            </w:r>
          </w:p>
        </w:tc>
        <w:tc>
          <w:tcPr>
            <w:tcW w:w="169" w:type="pct"/>
            <w:shd w:val="clear" w:color="auto" w:fill="auto"/>
            <w:noWrap/>
            <w:vAlign w:val="center"/>
          </w:tcPr>
          <w:p w14:paraId="5609F45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4C7A5C1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Pyruvic acid methyl ester</w:t>
            </w:r>
          </w:p>
        </w:tc>
        <w:tc>
          <w:tcPr>
            <w:tcW w:w="169" w:type="pct"/>
            <w:shd w:val="clear" w:color="auto" w:fill="auto"/>
            <w:noWrap/>
            <w:vAlign w:val="center"/>
          </w:tcPr>
          <w:p w14:paraId="5A7D3A4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r>
      <w:tr w14:paraId="0173D6D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1A06A31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Esterase lipase (C8)</w:t>
            </w:r>
          </w:p>
        </w:tc>
        <w:tc>
          <w:tcPr>
            <w:tcW w:w="169" w:type="pct"/>
            <w:shd w:val="clear" w:color="auto" w:fill="auto"/>
            <w:noWrap/>
            <w:vAlign w:val="center"/>
          </w:tcPr>
          <w:p w14:paraId="2F56354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1781EF8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α-galactosidase</w:t>
            </w:r>
          </w:p>
        </w:tc>
        <w:tc>
          <w:tcPr>
            <w:tcW w:w="169" w:type="pct"/>
            <w:shd w:val="clear" w:color="auto" w:fill="auto"/>
            <w:noWrap/>
            <w:vAlign w:val="center"/>
          </w:tcPr>
          <w:p w14:paraId="2826550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0DE2E12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N-Acetyl-D-glucosamine</w:t>
            </w:r>
          </w:p>
        </w:tc>
        <w:tc>
          <w:tcPr>
            <w:tcW w:w="169" w:type="pct"/>
            <w:shd w:val="clear" w:color="auto" w:fill="auto"/>
            <w:noWrap/>
            <w:vAlign w:val="center"/>
          </w:tcPr>
          <w:p w14:paraId="7B95235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6E7DA20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D-Melibiose</w:t>
            </w:r>
          </w:p>
        </w:tc>
        <w:tc>
          <w:tcPr>
            <w:tcW w:w="169" w:type="pct"/>
            <w:shd w:val="clear" w:color="auto" w:fill="auto"/>
            <w:noWrap/>
            <w:vAlign w:val="center"/>
          </w:tcPr>
          <w:p w14:paraId="3C9096C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7D695E7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D-Glucaric acid</w:t>
            </w:r>
          </w:p>
        </w:tc>
        <w:tc>
          <w:tcPr>
            <w:tcW w:w="169" w:type="pct"/>
            <w:shd w:val="clear" w:color="auto" w:fill="auto"/>
            <w:noWrap/>
            <w:vAlign w:val="center"/>
          </w:tcPr>
          <w:p w14:paraId="051E138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2C764B1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0B55E19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Lipase (C14)</w:t>
            </w:r>
          </w:p>
        </w:tc>
        <w:tc>
          <w:tcPr>
            <w:tcW w:w="169" w:type="pct"/>
            <w:shd w:val="clear" w:color="auto" w:fill="auto"/>
            <w:noWrap/>
            <w:vAlign w:val="center"/>
          </w:tcPr>
          <w:p w14:paraId="1F1FE4D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32B0B6E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β-galactosidase</w:t>
            </w:r>
          </w:p>
        </w:tc>
        <w:tc>
          <w:tcPr>
            <w:tcW w:w="169" w:type="pct"/>
            <w:shd w:val="clear" w:color="auto" w:fill="auto"/>
            <w:noWrap/>
            <w:vAlign w:val="center"/>
          </w:tcPr>
          <w:p w14:paraId="5578C33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5BE1041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N-Acetyl-β-D-mannosamine</w:t>
            </w:r>
          </w:p>
        </w:tc>
        <w:tc>
          <w:tcPr>
            <w:tcW w:w="169" w:type="pct"/>
            <w:shd w:val="clear" w:color="auto" w:fill="auto"/>
            <w:noWrap/>
            <w:vAlign w:val="center"/>
          </w:tcPr>
          <w:p w14:paraId="0915E1DD">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06FE19F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3-Methyl-D-glucose</w:t>
            </w:r>
          </w:p>
        </w:tc>
        <w:tc>
          <w:tcPr>
            <w:tcW w:w="169" w:type="pct"/>
            <w:shd w:val="clear" w:color="auto" w:fill="auto"/>
            <w:noWrap/>
            <w:vAlign w:val="center"/>
          </w:tcPr>
          <w:p w14:paraId="2C1576A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0EF5920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Succinamic acid</w:t>
            </w:r>
          </w:p>
        </w:tc>
        <w:tc>
          <w:tcPr>
            <w:tcW w:w="169" w:type="pct"/>
            <w:shd w:val="clear" w:color="auto" w:fill="auto"/>
            <w:noWrap/>
            <w:vAlign w:val="center"/>
          </w:tcPr>
          <w:p w14:paraId="6872E75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2952FB1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B015588">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Leucine arylamidase</w:t>
            </w:r>
          </w:p>
        </w:tc>
        <w:tc>
          <w:tcPr>
            <w:tcW w:w="169" w:type="pct"/>
            <w:shd w:val="clear" w:color="auto" w:fill="auto"/>
            <w:noWrap/>
            <w:vAlign w:val="center"/>
          </w:tcPr>
          <w:p w14:paraId="353AAFAD">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7D86918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β-galactosidase-6-phos-phatase</w:t>
            </w:r>
          </w:p>
        </w:tc>
        <w:tc>
          <w:tcPr>
            <w:tcW w:w="169" w:type="pct"/>
            <w:shd w:val="clear" w:color="auto" w:fill="auto"/>
            <w:noWrap/>
            <w:vAlign w:val="center"/>
          </w:tcPr>
          <w:p w14:paraId="34E5A91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1AC8D6F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Adonitol</w:t>
            </w:r>
          </w:p>
        </w:tc>
        <w:tc>
          <w:tcPr>
            <w:tcW w:w="169" w:type="pct"/>
            <w:shd w:val="clear" w:color="auto" w:fill="auto"/>
            <w:noWrap/>
            <w:vAlign w:val="center"/>
          </w:tcPr>
          <w:p w14:paraId="4C23815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0B78FBC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α-Methyl-D-galactoside</w:t>
            </w:r>
          </w:p>
        </w:tc>
        <w:tc>
          <w:tcPr>
            <w:tcW w:w="169" w:type="pct"/>
            <w:shd w:val="clear" w:color="auto" w:fill="auto"/>
            <w:noWrap/>
            <w:vAlign w:val="center"/>
          </w:tcPr>
          <w:p w14:paraId="7390D1C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12D0138C">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Succinic acid</w:t>
            </w:r>
          </w:p>
        </w:tc>
        <w:tc>
          <w:tcPr>
            <w:tcW w:w="169" w:type="pct"/>
            <w:shd w:val="clear" w:color="auto" w:fill="auto"/>
            <w:noWrap/>
            <w:vAlign w:val="center"/>
          </w:tcPr>
          <w:p w14:paraId="7000F20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3F42AAA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32D2AC9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Valine arylamidase</w:t>
            </w:r>
          </w:p>
        </w:tc>
        <w:tc>
          <w:tcPr>
            <w:tcW w:w="169" w:type="pct"/>
            <w:shd w:val="clear" w:color="auto" w:fill="auto"/>
            <w:noWrap/>
            <w:vAlign w:val="center"/>
          </w:tcPr>
          <w:p w14:paraId="1B18487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40EC4B5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α-glucosidase</w:t>
            </w:r>
          </w:p>
        </w:tc>
        <w:tc>
          <w:tcPr>
            <w:tcW w:w="169" w:type="pct"/>
            <w:shd w:val="clear" w:color="auto" w:fill="auto"/>
            <w:noWrap/>
            <w:vAlign w:val="center"/>
          </w:tcPr>
          <w:p w14:paraId="5803A71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6C48502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Amygdalin</w:t>
            </w:r>
          </w:p>
        </w:tc>
        <w:tc>
          <w:tcPr>
            <w:tcW w:w="169" w:type="pct"/>
            <w:shd w:val="clear" w:color="auto" w:fill="auto"/>
            <w:noWrap/>
            <w:vAlign w:val="center"/>
          </w:tcPr>
          <w:p w14:paraId="3A43ED6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559F3C2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β-Methyl-D-galactoside</w:t>
            </w:r>
          </w:p>
        </w:tc>
        <w:tc>
          <w:tcPr>
            <w:tcW w:w="169" w:type="pct"/>
            <w:shd w:val="clear" w:color="auto" w:fill="auto"/>
            <w:noWrap/>
            <w:vAlign w:val="center"/>
          </w:tcPr>
          <w:p w14:paraId="53B1E62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478C0078">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Succinic acid monomethyl ester</w:t>
            </w:r>
          </w:p>
        </w:tc>
        <w:tc>
          <w:tcPr>
            <w:tcW w:w="169" w:type="pct"/>
            <w:shd w:val="clear" w:color="auto" w:fill="auto"/>
            <w:noWrap/>
            <w:vAlign w:val="center"/>
          </w:tcPr>
          <w:p w14:paraId="0536452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178C47D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4F807160">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Cystine arylamidase</w:t>
            </w:r>
          </w:p>
        </w:tc>
        <w:tc>
          <w:tcPr>
            <w:tcW w:w="169" w:type="pct"/>
            <w:shd w:val="clear" w:color="auto" w:fill="auto"/>
            <w:noWrap/>
            <w:vAlign w:val="center"/>
          </w:tcPr>
          <w:p w14:paraId="5FA1024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621E28B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β-glucosidase</w:t>
            </w:r>
          </w:p>
        </w:tc>
        <w:tc>
          <w:tcPr>
            <w:tcW w:w="169" w:type="pct"/>
            <w:shd w:val="clear" w:color="auto" w:fill="auto"/>
            <w:noWrap/>
            <w:vAlign w:val="center"/>
          </w:tcPr>
          <w:p w14:paraId="6F6887D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4E9FF06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D-Arabitol</w:t>
            </w:r>
          </w:p>
        </w:tc>
        <w:tc>
          <w:tcPr>
            <w:tcW w:w="169" w:type="pct"/>
            <w:shd w:val="clear" w:color="auto" w:fill="auto"/>
            <w:noWrap/>
            <w:vAlign w:val="center"/>
          </w:tcPr>
          <w:p w14:paraId="0F5F089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1A94F6F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α-Methyl-D-glucoside</w:t>
            </w:r>
          </w:p>
        </w:tc>
        <w:tc>
          <w:tcPr>
            <w:tcW w:w="169" w:type="pct"/>
            <w:shd w:val="clear" w:color="auto" w:fill="auto"/>
            <w:noWrap/>
            <w:vAlign w:val="center"/>
          </w:tcPr>
          <w:p w14:paraId="5250BB6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550B3476">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Meso-tartaric acid</w:t>
            </w:r>
          </w:p>
        </w:tc>
        <w:tc>
          <w:tcPr>
            <w:tcW w:w="169" w:type="pct"/>
            <w:shd w:val="clear" w:color="auto" w:fill="auto"/>
            <w:noWrap/>
            <w:vAlign w:val="center"/>
          </w:tcPr>
          <w:p w14:paraId="1943A0A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34DA4ED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239C67AC">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Trypsin</w:t>
            </w:r>
          </w:p>
        </w:tc>
        <w:tc>
          <w:tcPr>
            <w:tcW w:w="169" w:type="pct"/>
            <w:shd w:val="clear" w:color="auto" w:fill="auto"/>
            <w:noWrap/>
            <w:vAlign w:val="center"/>
          </w:tcPr>
          <w:p w14:paraId="6773C58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929" w:type="pct"/>
            <w:shd w:val="clear" w:color="auto" w:fill="auto"/>
            <w:noWrap/>
            <w:vAlign w:val="center"/>
          </w:tcPr>
          <w:p w14:paraId="10B2F9F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α-arabinosidase</w:t>
            </w:r>
          </w:p>
        </w:tc>
        <w:tc>
          <w:tcPr>
            <w:tcW w:w="169" w:type="pct"/>
            <w:shd w:val="clear" w:color="auto" w:fill="auto"/>
            <w:noWrap/>
            <w:vAlign w:val="center"/>
          </w:tcPr>
          <w:p w14:paraId="0AECE296">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0866472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Arbutin</w:t>
            </w:r>
          </w:p>
        </w:tc>
        <w:tc>
          <w:tcPr>
            <w:tcW w:w="169" w:type="pct"/>
            <w:shd w:val="clear" w:color="auto" w:fill="auto"/>
            <w:noWrap/>
            <w:vAlign w:val="center"/>
          </w:tcPr>
          <w:p w14:paraId="0427F1B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0272C7B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β-Methyl-D-glucoside</w:t>
            </w:r>
          </w:p>
        </w:tc>
        <w:tc>
          <w:tcPr>
            <w:tcW w:w="169" w:type="pct"/>
            <w:shd w:val="clear" w:color="auto" w:fill="auto"/>
            <w:noWrap/>
            <w:vAlign w:val="center"/>
          </w:tcPr>
          <w:p w14:paraId="160AA08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776CEFA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Urocanic acid</w:t>
            </w:r>
          </w:p>
        </w:tc>
        <w:tc>
          <w:tcPr>
            <w:tcW w:w="169" w:type="pct"/>
            <w:shd w:val="clear" w:color="auto" w:fill="auto"/>
            <w:noWrap/>
            <w:vAlign w:val="center"/>
          </w:tcPr>
          <w:p w14:paraId="47884E5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5BE6882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08E6B5FC">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α-Chymotrypsin</w:t>
            </w:r>
          </w:p>
        </w:tc>
        <w:tc>
          <w:tcPr>
            <w:tcW w:w="169" w:type="pct"/>
            <w:shd w:val="clear" w:color="auto" w:fill="auto"/>
            <w:noWrap/>
            <w:vAlign w:val="center"/>
          </w:tcPr>
          <w:p w14:paraId="7DA6867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21A9CA5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β-glucuronidase</w:t>
            </w:r>
          </w:p>
        </w:tc>
        <w:tc>
          <w:tcPr>
            <w:tcW w:w="169" w:type="pct"/>
            <w:shd w:val="clear" w:color="auto" w:fill="auto"/>
            <w:noWrap/>
            <w:vAlign w:val="center"/>
          </w:tcPr>
          <w:p w14:paraId="4FCA7B66">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03B7D51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D-Cellobiose</w:t>
            </w:r>
          </w:p>
        </w:tc>
        <w:tc>
          <w:tcPr>
            <w:tcW w:w="169" w:type="pct"/>
            <w:shd w:val="clear" w:color="auto" w:fill="auto"/>
            <w:noWrap/>
            <w:vAlign w:val="center"/>
          </w:tcPr>
          <w:p w14:paraId="5C0293A6">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363892C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Palatinose</w:t>
            </w:r>
          </w:p>
        </w:tc>
        <w:tc>
          <w:tcPr>
            <w:tcW w:w="169" w:type="pct"/>
            <w:shd w:val="clear" w:color="auto" w:fill="auto"/>
            <w:noWrap/>
            <w:vAlign w:val="center"/>
          </w:tcPr>
          <w:p w14:paraId="1F939A6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833" w:type="pct"/>
            <w:shd w:val="clear" w:color="auto" w:fill="auto"/>
            <w:noWrap/>
            <w:vAlign w:val="center"/>
          </w:tcPr>
          <w:p w14:paraId="7F732F1C">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Alaninamide</w:t>
            </w:r>
          </w:p>
        </w:tc>
        <w:tc>
          <w:tcPr>
            <w:tcW w:w="169" w:type="pct"/>
            <w:shd w:val="clear" w:color="auto" w:fill="auto"/>
            <w:noWrap/>
            <w:vAlign w:val="center"/>
          </w:tcPr>
          <w:p w14:paraId="67C8F62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47BD0F8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B5B970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Acid phosphatase</w:t>
            </w:r>
          </w:p>
        </w:tc>
        <w:tc>
          <w:tcPr>
            <w:tcW w:w="169" w:type="pct"/>
            <w:shd w:val="clear" w:color="auto" w:fill="auto"/>
            <w:noWrap/>
            <w:vAlign w:val="center"/>
          </w:tcPr>
          <w:p w14:paraId="7B348D2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4C437F5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N-acetyl-β-glucosaminidase</w:t>
            </w:r>
          </w:p>
        </w:tc>
        <w:tc>
          <w:tcPr>
            <w:tcW w:w="169" w:type="pct"/>
            <w:shd w:val="clear" w:color="auto" w:fill="auto"/>
            <w:noWrap/>
            <w:vAlign w:val="center"/>
          </w:tcPr>
          <w:p w14:paraId="3C225CA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26CAACE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α-Cyclodextrin</w:t>
            </w:r>
          </w:p>
        </w:tc>
        <w:tc>
          <w:tcPr>
            <w:tcW w:w="169" w:type="pct"/>
            <w:shd w:val="clear" w:color="auto" w:fill="auto"/>
            <w:noWrap/>
            <w:vAlign w:val="center"/>
          </w:tcPr>
          <w:p w14:paraId="6147F38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3B7E401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D-Raffinose</w:t>
            </w:r>
          </w:p>
        </w:tc>
        <w:tc>
          <w:tcPr>
            <w:tcW w:w="169" w:type="pct"/>
            <w:shd w:val="clear" w:color="auto" w:fill="auto"/>
            <w:noWrap/>
            <w:vAlign w:val="center"/>
          </w:tcPr>
          <w:p w14:paraId="33EDD10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0EE48E6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L-Alanine</w:t>
            </w:r>
          </w:p>
        </w:tc>
        <w:tc>
          <w:tcPr>
            <w:tcW w:w="169" w:type="pct"/>
            <w:shd w:val="clear" w:color="auto" w:fill="auto"/>
            <w:noWrap/>
            <w:vAlign w:val="center"/>
          </w:tcPr>
          <w:p w14:paraId="5750B6B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7EBCC27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3A3C31E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Naphthol-AS-BI-phosphohydrolase</w:t>
            </w:r>
          </w:p>
        </w:tc>
        <w:tc>
          <w:tcPr>
            <w:tcW w:w="169" w:type="pct"/>
            <w:shd w:val="clear" w:color="auto" w:fill="auto"/>
            <w:noWrap/>
            <w:vAlign w:val="center"/>
          </w:tcPr>
          <w:p w14:paraId="191FA4C9">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4DC9ECF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Mannose fermentation</w:t>
            </w:r>
          </w:p>
        </w:tc>
        <w:tc>
          <w:tcPr>
            <w:tcW w:w="169" w:type="pct"/>
            <w:shd w:val="clear" w:color="auto" w:fill="auto"/>
            <w:noWrap/>
            <w:vAlign w:val="center"/>
          </w:tcPr>
          <w:p w14:paraId="252F14B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5A4A858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β-Cyclodextrin</w:t>
            </w:r>
          </w:p>
        </w:tc>
        <w:tc>
          <w:tcPr>
            <w:tcW w:w="169" w:type="pct"/>
            <w:shd w:val="clear" w:color="auto" w:fill="auto"/>
            <w:noWrap/>
            <w:vAlign w:val="center"/>
          </w:tcPr>
          <w:p w14:paraId="5B29B9F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0B70AC38">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L-Rhamnose</w:t>
            </w:r>
          </w:p>
        </w:tc>
        <w:tc>
          <w:tcPr>
            <w:tcW w:w="169" w:type="pct"/>
            <w:shd w:val="clear" w:color="auto" w:fill="auto"/>
            <w:noWrap/>
            <w:vAlign w:val="center"/>
          </w:tcPr>
          <w:p w14:paraId="07F14DB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121E20F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L-Alanyl-L-glutamine</w:t>
            </w:r>
          </w:p>
        </w:tc>
        <w:tc>
          <w:tcPr>
            <w:tcW w:w="169" w:type="pct"/>
            <w:shd w:val="clear" w:color="auto" w:fill="auto"/>
            <w:noWrap/>
            <w:vAlign w:val="center"/>
          </w:tcPr>
          <w:p w14:paraId="5931482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64802E9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2F9C357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α-Galactosidase</w:t>
            </w:r>
          </w:p>
        </w:tc>
        <w:tc>
          <w:tcPr>
            <w:tcW w:w="169" w:type="pct"/>
            <w:shd w:val="clear" w:color="auto" w:fill="auto"/>
            <w:noWrap/>
            <w:vAlign w:val="center"/>
          </w:tcPr>
          <w:p w14:paraId="50B28BC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1C091C1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Raffinose fermentation</w:t>
            </w:r>
          </w:p>
        </w:tc>
        <w:tc>
          <w:tcPr>
            <w:tcW w:w="169" w:type="pct"/>
            <w:shd w:val="clear" w:color="auto" w:fill="auto"/>
            <w:noWrap/>
            <w:vAlign w:val="center"/>
          </w:tcPr>
          <w:p w14:paraId="330D1F0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10FC4B1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Dextrin</w:t>
            </w:r>
          </w:p>
        </w:tc>
        <w:tc>
          <w:tcPr>
            <w:tcW w:w="169" w:type="pct"/>
            <w:shd w:val="clear" w:color="auto" w:fill="auto"/>
            <w:noWrap/>
            <w:vAlign w:val="center"/>
          </w:tcPr>
          <w:p w14:paraId="3CA81A4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39AA507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Salicin</w:t>
            </w:r>
          </w:p>
        </w:tc>
        <w:tc>
          <w:tcPr>
            <w:tcW w:w="169" w:type="pct"/>
            <w:shd w:val="clear" w:color="auto" w:fill="auto"/>
            <w:noWrap/>
            <w:vAlign w:val="center"/>
          </w:tcPr>
          <w:p w14:paraId="55AC6B9B">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7DCF4CE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L-Alanyl-L-histidine</w:t>
            </w:r>
          </w:p>
        </w:tc>
        <w:tc>
          <w:tcPr>
            <w:tcW w:w="169" w:type="pct"/>
            <w:shd w:val="clear" w:color="auto" w:fill="auto"/>
            <w:noWrap/>
            <w:vAlign w:val="center"/>
          </w:tcPr>
          <w:p w14:paraId="0BDCE151">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5523041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5353B3E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β-Galactosidase</w:t>
            </w:r>
          </w:p>
        </w:tc>
        <w:tc>
          <w:tcPr>
            <w:tcW w:w="169" w:type="pct"/>
            <w:shd w:val="clear" w:color="auto" w:fill="auto"/>
            <w:noWrap/>
            <w:vAlign w:val="center"/>
          </w:tcPr>
          <w:p w14:paraId="1787E7EB">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0E4D846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Glutamic acid decarboxylase</w:t>
            </w:r>
          </w:p>
        </w:tc>
        <w:tc>
          <w:tcPr>
            <w:tcW w:w="169" w:type="pct"/>
            <w:shd w:val="clear" w:color="auto" w:fill="auto"/>
            <w:noWrap/>
            <w:vAlign w:val="center"/>
          </w:tcPr>
          <w:p w14:paraId="18CB0F2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632C586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Dulcitol</w:t>
            </w:r>
          </w:p>
        </w:tc>
        <w:tc>
          <w:tcPr>
            <w:tcW w:w="169" w:type="pct"/>
            <w:shd w:val="clear" w:color="auto" w:fill="auto"/>
            <w:noWrap/>
            <w:vAlign w:val="center"/>
          </w:tcPr>
          <w:p w14:paraId="5AE90D4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163E425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D-Sorbitol</w:t>
            </w:r>
          </w:p>
        </w:tc>
        <w:tc>
          <w:tcPr>
            <w:tcW w:w="169" w:type="pct"/>
            <w:shd w:val="clear" w:color="auto" w:fill="auto"/>
            <w:noWrap/>
            <w:vAlign w:val="center"/>
          </w:tcPr>
          <w:p w14:paraId="1760F95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207F8AC0">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L-Alanyl-L-threonine</w:t>
            </w:r>
          </w:p>
        </w:tc>
        <w:tc>
          <w:tcPr>
            <w:tcW w:w="169" w:type="pct"/>
            <w:shd w:val="clear" w:color="auto" w:fill="auto"/>
            <w:noWrap/>
            <w:vAlign w:val="center"/>
          </w:tcPr>
          <w:p w14:paraId="1A74DA0D">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1153302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69F0D70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β-Glucuronidase</w:t>
            </w:r>
          </w:p>
        </w:tc>
        <w:tc>
          <w:tcPr>
            <w:tcW w:w="169" w:type="pct"/>
            <w:shd w:val="clear" w:color="auto" w:fill="auto"/>
            <w:noWrap/>
            <w:vAlign w:val="center"/>
          </w:tcPr>
          <w:p w14:paraId="35EEB3A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2C7A26D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α-fucosidase</w:t>
            </w:r>
          </w:p>
        </w:tc>
        <w:tc>
          <w:tcPr>
            <w:tcW w:w="169" w:type="pct"/>
            <w:shd w:val="clear" w:color="auto" w:fill="auto"/>
            <w:noWrap/>
            <w:vAlign w:val="center"/>
          </w:tcPr>
          <w:p w14:paraId="7358C9F9">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76AD9CF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Erythritol</w:t>
            </w:r>
          </w:p>
        </w:tc>
        <w:tc>
          <w:tcPr>
            <w:tcW w:w="169" w:type="pct"/>
            <w:shd w:val="clear" w:color="auto" w:fill="auto"/>
            <w:noWrap/>
            <w:vAlign w:val="center"/>
          </w:tcPr>
          <w:p w14:paraId="43A8BDC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36CC550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Stachyose</w:t>
            </w:r>
          </w:p>
        </w:tc>
        <w:tc>
          <w:tcPr>
            <w:tcW w:w="169" w:type="pct"/>
            <w:shd w:val="clear" w:color="auto" w:fill="auto"/>
            <w:noWrap/>
            <w:vAlign w:val="center"/>
          </w:tcPr>
          <w:p w14:paraId="7A70BDA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1592C4F8">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L-Asparagine</w:t>
            </w:r>
          </w:p>
        </w:tc>
        <w:tc>
          <w:tcPr>
            <w:tcW w:w="169" w:type="pct"/>
            <w:shd w:val="clear" w:color="auto" w:fill="auto"/>
            <w:noWrap/>
            <w:vAlign w:val="center"/>
          </w:tcPr>
          <w:p w14:paraId="0117C601">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660D111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340F0CC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α-Glucosidase</w:t>
            </w:r>
          </w:p>
        </w:tc>
        <w:tc>
          <w:tcPr>
            <w:tcW w:w="169" w:type="pct"/>
            <w:shd w:val="clear" w:color="auto" w:fill="auto"/>
            <w:noWrap/>
            <w:vAlign w:val="center"/>
          </w:tcPr>
          <w:p w14:paraId="530EFB1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6D95E5B0">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Reduction of nitrate</w:t>
            </w:r>
          </w:p>
        </w:tc>
        <w:tc>
          <w:tcPr>
            <w:tcW w:w="169" w:type="pct"/>
            <w:shd w:val="clear" w:color="auto" w:fill="auto"/>
            <w:noWrap/>
            <w:vAlign w:val="center"/>
          </w:tcPr>
          <w:p w14:paraId="39530D5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176E16F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D-Fructose</w:t>
            </w:r>
          </w:p>
        </w:tc>
        <w:tc>
          <w:tcPr>
            <w:tcW w:w="169" w:type="pct"/>
            <w:shd w:val="clear" w:color="auto" w:fill="auto"/>
            <w:noWrap/>
            <w:vAlign w:val="center"/>
          </w:tcPr>
          <w:p w14:paraId="1F6F260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72E3F4B8">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Sucrose</w:t>
            </w:r>
          </w:p>
        </w:tc>
        <w:tc>
          <w:tcPr>
            <w:tcW w:w="169" w:type="pct"/>
            <w:shd w:val="clear" w:color="auto" w:fill="auto"/>
            <w:noWrap/>
            <w:vAlign w:val="center"/>
          </w:tcPr>
          <w:p w14:paraId="7C53334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73929B6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L-Glutamic acid</w:t>
            </w:r>
          </w:p>
        </w:tc>
        <w:tc>
          <w:tcPr>
            <w:tcW w:w="169" w:type="pct"/>
            <w:shd w:val="clear" w:color="auto" w:fill="auto"/>
            <w:noWrap/>
            <w:vAlign w:val="center"/>
          </w:tcPr>
          <w:p w14:paraId="3220AEB1">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199F55E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4B02C1D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β-Glucosidase</w:t>
            </w:r>
          </w:p>
        </w:tc>
        <w:tc>
          <w:tcPr>
            <w:tcW w:w="169" w:type="pct"/>
            <w:shd w:val="clear" w:color="auto" w:fill="auto"/>
            <w:noWrap/>
            <w:vAlign w:val="center"/>
          </w:tcPr>
          <w:p w14:paraId="4226F39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2CA1C46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Indole</w:t>
            </w:r>
          </w:p>
        </w:tc>
        <w:tc>
          <w:tcPr>
            <w:tcW w:w="169" w:type="pct"/>
            <w:shd w:val="clear" w:color="auto" w:fill="auto"/>
            <w:noWrap/>
            <w:vAlign w:val="center"/>
          </w:tcPr>
          <w:p w14:paraId="6766732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1B3633D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L-Fucose</w:t>
            </w:r>
          </w:p>
        </w:tc>
        <w:tc>
          <w:tcPr>
            <w:tcW w:w="169" w:type="pct"/>
            <w:shd w:val="clear" w:color="auto" w:fill="auto"/>
            <w:noWrap/>
            <w:vAlign w:val="center"/>
          </w:tcPr>
          <w:p w14:paraId="492F7EB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008BD44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D-Trehalose</w:t>
            </w:r>
          </w:p>
        </w:tc>
        <w:tc>
          <w:tcPr>
            <w:tcW w:w="169" w:type="pct"/>
            <w:shd w:val="clear" w:color="auto" w:fill="auto"/>
            <w:noWrap/>
            <w:vAlign w:val="center"/>
          </w:tcPr>
          <w:p w14:paraId="16CA233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40CD5C0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L-Glutamine</w:t>
            </w:r>
          </w:p>
        </w:tc>
        <w:tc>
          <w:tcPr>
            <w:tcW w:w="169" w:type="pct"/>
            <w:shd w:val="clear" w:color="auto" w:fill="auto"/>
            <w:noWrap/>
            <w:vAlign w:val="center"/>
          </w:tcPr>
          <w:p w14:paraId="7B18126D">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28FF78F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0A8966D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N-Acetyl-β-glucosaminidase</w:t>
            </w:r>
          </w:p>
        </w:tc>
        <w:tc>
          <w:tcPr>
            <w:tcW w:w="169" w:type="pct"/>
            <w:shd w:val="clear" w:color="auto" w:fill="auto"/>
            <w:noWrap/>
            <w:vAlign w:val="center"/>
          </w:tcPr>
          <w:p w14:paraId="68D2B22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763CA87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Alkaline phosphatase</w:t>
            </w:r>
          </w:p>
        </w:tc>
        <w:tc>
          <w:tcPr>
            <w:tcW w:w="169" w:type="pct"/>
            <w:shd w:val="clear" w:color="auto" w:fill="auto"/>
            <w:noWrap/>
            <w:vAlign w:val="center"/>
          </w:tcPr>
          <w:p w14:paraId="223198EB">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153EBC7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D-Galactose</w:t>
            </w:r>
          </w:p>
        </w:tc>
        <w:tc>
          <w:tcPr>
            <w:tcW w:w="169" w:type="pct"/>
            <w:shd w:val="clear" w:color="auto" w:fill="auto"/>
            <w:noWrap/>
            <w:vAlign w:val="center"/>
          </w:tcPr>
          <w:p w14:paraId="64B2277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7DA0C6D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Turanose</w:t>
            </w:r>
          </w:p>
        </w:tc>
        <w:tc>
          <w:tcPr>
            <w:tcW w:w="169" w:type="pct"/>
            <w:shd w:val="clear" w:color="auto" w:fill="auto"/>
            <w:noWrap/>
            <w:vAlign w:val="center"/>
          </w:tcPr>
          <w:p w14:paraId="5005B96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833" w:type="pct"/>
            <w:shd w:val="clear" w:color="auto" w:fill="auto"/>
            <w:noWrap/>
            <w:vAlign w:val="center"/>
          </w:tcPr>
          <w:p w14:paraId="324B646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Glycyl-L-aspartic acid</w:t>
            </w:r>
          </w:p>
        </w:tc>
        <w:tc>
          <w:tcPr>
            <w:tcW w:w="169" w:type="pct"/>
            <w:shd w:val="clear" w:color="auto" w:fill="auto"/>
            <w:noWrap/>
            <w:vAlign w:val="center"/>
          </w:tcPr>
          <w:p w14:paraId="2419C41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72E27C6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10489E7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α-Mannosidase</w:t>
            </w:r>
          </w:p>
        </w:tc>
        <w:tc>
          <w:tcPr>
            <w:tcW w:w="169" w:type="pct"/>
            <w:shd w:val="clear" w:color="auto" w:fill="auto"/>
            <w:noWrap/>
            <w:vAlign w:val="center"/>
          </w:tcPr>
          <w:p w14:paraId="66FC78D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2CFE9DE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Arginine arylamidase</w:t>
            </w:r>
          </w:p>
        </w:tc>
        <w:tc>
          <w:tcPr>
            <w:tcW w:w="169" w:type="pct"/>
            <w:shd w:val="clear" w:color="auto" w:fill="auto"/>
            <w:noWrap/>
            <w:vAlign w:val="center"/>
          </w:tcPr>
          <w:p w14:paraId="5E0DEEA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760" w:type="pct"/>
            <w:shd w:val="clear" w:color="auto" w:fill="auto"/>
            <w:noWrap/>
            <w:vAlign w:val="center"/>
          </w:tcPr>
          <w:p w14:paraId="3C80074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D-Galacturonic acid</w:t>
            </w:r>
          </w:p>
        </w:tc>
        <w:tc>
          <w:tcPr>
            <w:tcW w:w="169" w:type="pct"/>
            <w:shd w:val="clear" w:color="auto" w:fill="auto"/>
            <w:noWrap/>
            <w:vAlign w:val="center"/>
          </w:tcPr>
          <w:p w14:paraId="05FDDE3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4A68F4D0">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Acetic acid</w:t>
            </w:r>
          </w:p>
        </w:tc>
        <w:tc>
          <w:tcPr>
            <w:tcW w:w="169" w:type="pct"/>
            <w:shd w:val="clear" w:color="auto" w:fill="auto"/>
            <w:noWrap/>
            <w:vAlign w:val="center"/>
          </w:tcPr>
          <w:p w14:paraId="5FF4C91B">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4AD44F7C">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Glycyl-L-glutamine</w:t>
            </w:r>
          </w:p>
        </w:tc>
        <w:tc>
          <w:tcPr>
            <w:tcW w:w="169" w:type="pct"/>
            <w:shd w:val="clear" w:color="auto" w:fill="auto"/>
            <w:noWrap/>
            <w:vAlign w:val="center"/>
          </w:tcPr>
          <w:p w14:paraId="38653AF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0E623BE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27116F2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α-Fucosidase</w:t>
            </w:r>
          </w:p>
        </w:tc>
        <w:tc>
          <w:tcPr>
            <w:tcW w:w="169" w:type="pct"/>
            <w:shd w:val="clear" w:color="auto" w:fill="auto"/>
            <w:noWrap/>
            <w:vAlign w:val="center"/>
          </w:tcPr>
          <w:p w14:paraId="0B95EBD1">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929" w:type="pct"/>
            <w:shd w:val="clear" w:color="auto" w:fill="auto"/>
            <w:noWrap/>
            <w:vAlign w:val="center"/>
          </w:tcPr>
          <w:p w14:paraId="4529A84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Proline arylamidase</w:t>
            </w:r>
          </w:p>
        </w:tc>
        <w:tc>
          <w:tcPr>
            <w:tcW w:w="169" w:type="pct"/>
            <w:shd w:val="clear" w:color="auto" w:fill="auto"/>
            <w:noWrap/>
            <w:vAlign w:val="center"/>
          </w:tcPr>
          <w:p w14:paraId="0F3C6C3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06E4962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Gentiobiose</w:t>
            </w:r>
          </w:p>
        </w:tc>
        <w:tc>
          <w:tcPr>
            <w:tcW w:w="169" w:type="pct"/>
            <w:shd w:val="clear" w:color="auto" w:fill="auto"/>
            <w:noWrap/>
            <w:vAlign w:val="center"/>
          </w:tcPr>
          <w:p w14:paraId="7B09A8BD">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5121BED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Formic acid</w:t>
            </w:r>
          </w:p>
        </w:tc>
        <w:tc>
          <w:tcPr>
            <w:tcW w:w="169" w:type="pct"/>
            <w:shd w:val="clear" w:color="auto" w:fill="auto"/>
            <w:noWrap/>
            <w:vAlign w:val="center"/>
          </w:tcPr>
          <w:p w14:paraId="57A10CE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01C2837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Glycyl-L-methionine</w:t>
            </w:r>
          </w:p>
        </w:tc>
        <w:tc>
          <w:tcPr>
            <w:tcW w:w="169" w:type="pct"/>
            <w:shd w:val="clear" w:color="auto" w:fill="auto"/>
            <w:noWrap/>
            <w:vAlign w:val="center"/>
          </w:tcPr>
          <w:p w14:paraId="705F4D2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7F921E0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65AEE2D">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1F1E88A">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41558DF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Leucyl Glycine arylamidase</w:t>
            </w:r>
          </w:p>
        </w:tc>
        <w:tc>
          <w:tcPr>
            <w:tcW w:w="169" w:type="pct"/>
            <w:shd w:val="clear" w:color="auto" w:fill="auto"/>
            <w:noWrap/>
            <w:vAlign w:val="center"/>
          </w:tcPr>
          <w:p w14:paraId="686D528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7940055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D-Gluconic acid</w:t>
            </w:r>
          </w:p>
        </w:tc>
        <w:tc>
          <w:tcPr>
            <w:tcW w:w="169" w:type="pct"/>
            <w:shd w:val="clear" w:color="auto" w:fill="auto"/>
            <w:noWrap/>
            <w:vAlign w:val="center"/>
          </w:tcPr>
          <w:p w14:paraId="5D6C0902">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2DB27D48">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Fumaric acid</w:t>
            </w:r>
          </w:p>
        </w:tc>
        <w:tc>
          <w:tcPr>
            <w:tcW w:w="169" w:type="pct"/>
            <w:shd w:val="clear" w:color="auto" w:fill="auto"/>
            <w:noWrap/>
            <w:vAlign w:val="center"/>
          </w:tcPr>
          <w:p w14:paraId="613248B9">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598849C4">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Glycyl-L-proline</w:t>
            </w:r>
          </w:p>
        </w:tc>
        <w:tc>
          <w:tcPr>
            <w:tcW w:w="169" w:type="pct"/>
            <w:shd w:val="clear" w:color="auto" w:fill="auto"/>
            <w:noWrap/>
            <w:vAlign w:val="center"/>
          </w:tcPr>
          <w:p w14:paraId="55783E7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1F77621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2504D1C1">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453692E0">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6E7FC47F">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Phenylalanine arylamidase</w:t>
            </w:r>
          </w:p>
        </w:tc>
        <w:tc>
          <w:tcPr>
            <w:tcW w:w="169" w:type="pct"/>
            <w:shd w:val="clear" w:color="auto" w:fill="auto"/>
            <w:noWrap/>
            <w:vAlign w:val="center"/>
          </w:tcPr>
          <w:p w14:paraId="0AF957A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51A79DE0">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D-Glucosaminic acid</w:t>
            </w:r>
          </w:p>
        </w:tc>
        <w:tc>
          <w:tcPr>
            <w:tcW w:w="169" w:type="pct"/>
            <w:shd w:val="clear" w:color="auto" w:fill="auto"/>
            <w:noWrap/>
            <w:vAlign w:val="center"/>
          </w:tcPr>
          <w:p w14:paraId="5469C8D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3B3BAE5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Glyoxylic acid</w:t>
            </w:r>
          </w:p>
        </w:tc>
        <w:tc>
          <w:tcPr>
            <w:tcW w:w="169" w:type="pct"/>
            <w:shd w:val="clear" w:color="auto" w:fill="auto"/>
            <w:noWrap/>
            <w:vAlign w:val="center"/>
          </w:tcPr>
          <w:p w14:paraId="2101105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1D1DFF2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L-Methionine</w:t>
            </w:r>
          </w:p>
        </w:tc>
        <w:tc>
          <w:tcPr>
            <w:tcW w:w="169" w:type="pct"/>
            <w:shd w:val="clear" w:color="auto" w:fill="auto"/>
            <w:noWrap/>
            <w:vAlign w:val="center"/>
          </w:tcPr>
          <w:p w14:paraId="4214E1EB">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r>
      <w:tr w14:paraId="77CA924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A9A29DD">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1C0C1801">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1E81924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Leucine arylamidase</w:t>
            </w:r>
          </w:p>
        </w:tc>
        <w:tc>
          <w:tcPr>
            <w:tcW w:w="169" w:type="pct"/>
            <w:shd w:val="clear" w:color="auto" w:fill="auto"/>
            <w:noWrap/>
            <w:vAlign w:val="center"/>
          </w:tcPr>
          <w:p w14:paraId="39DE14D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4F6FFBB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α-D-Glucose</w:t>
            </w:r>
          </w:p>
        </w:tc>
        <w:tc>
          <w:tcPr>
            <w:tcW w:w="169" w:type="pct"/>
            <w:shd w:val="clear" w:color="auto" w:fill="auto"/>
            <w:noWrap/>
            <w:vAlign w:val="center"/>
          </w:tcPr>
          <w:p w14:paraId="3AEBC436">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4D5E71C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α-Hydroxybutyric acid</w:t>
            </w:r>
          </w:p>
        </w:tc>
        <w:tc>
          <w:tcPr>
            <w:tcW w:w="169" w:type="pct"/>
            <w:shd w:val="clear" w:color="auto" w:fill="auto"/>
            <w:noWrap/>
            <w:vAlign w:val="center"/>
          </w:tcPr>
          <w:p w14:paraId="379ACAB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7760B9F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L-Phenylalanine</w:t>
            </w:r>
          </w:p>
        </w:tc>
        <w:tc>
          <w:tcPr>
            <w:tcW w:w="169" w:type="pct"/>
            <w:shd w:val="clear" w:color="auto" w:fill="auto"/>
            <w:noWrap/>
            <w:vAlign w:val="center"/>
          </w:tcPr>
          <w:p w14:paraId="2C2710B6">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325314E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49EDF8FC">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A466C10">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40D691D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Pyroglutamic acid arylamidase</w:t>
            </w:r>
          </w:p>
        </w:tc>
        <w:tc>
          <w:tcPr>
            <w:tcW w:w="169" w:type="pct"/>
            <w:shd w:val="clear" w:color="auto" w:fill="auto"/>
            <w:noWrap/>
            <w:vAlign w:val="center"/>
          </w:tcPr>
          <w:p w14:paraId="53A44F3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12F01E3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α-D-Glucose-1-phosphate</w:t>
            </w:r>
          </w:p>
        </w:tc>
        <w:tc>
          <w:tcPr>
            <w:tcW w:w="169" w:type="pct"/>
            <w:shd w:val="clear" w:color="auto" w:fill="auto"/>
            <w:noWrap/>
            <w:vAlign w:val="center"/>
          </w:tcPr>
          <w:p w14:paraId="5A4A3B21">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422132D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β-Hydroxybutyric acid</w:t>
            </w:r>
          </w:p>
        </w:tc>
        <w:tc>
          <w:tcPr>
            <w:tcW w:w="169" w:type="pct"/>
            <w:shd w:val="clear" w:color="auto" w:fill="auto"/>
            <w:noWrap/>
            <w:vAlign w:val="center"/>
          </w:tcPr>
          <w:p w14:paraId="1A7FAFD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39CFEEF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L-Serine</w:t>
            </w:r>
          </w:p>
        </w:tc>
        <w:tc>
          <w:tcPr>
            <w:tcW w:w="169" w:type="pct"/>
            <w:shd w:val="clear" w:color="auto" w:fill="auto"/>
            <w:noWrap/>
            <w:vAlign w:val="center"/>
          </w:tcPr>
          <w:p w14:paraId="20F5ADC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r>
      <w:tr w14:paraId="5680578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4DFBF64">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44860A1E">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384270C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Tyrosine arylamidase</w:t>
            </w:r>
          </w:p>
        </w:tc>
        <w:tc>
          <w:tcPr>
            <w:tcW w:w="169" w:type="pct"/>
            <w:shd w:val="clear" w:color="auto" w:fill="auto"/>
            <w:noWrap/>
            <w:vAlign w:val="center"/>
          </w:tcPr>
          <w:p w14:paraId="61E10A53">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3C89583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D-Glucose-6-phosphate</w:t>
            </w:r>
          </w:p>
        </w:tc>
        <w:tc>
          <w:tcPr>
            <w:tcW w:w="169" w:type="pct"/>
            <w:shd w:val="clear" w:color="auto" w:fill="auto"/>
            <w:noWrap/>
            <w:vAlign w:val="center"/>
          </w:tcPr>
          <w:p w14:paraId="5FA7190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3FAB4030">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Itaconic acid</w:t>
            </w:r>
          </w:p>
        </w:tc>
        <w:tc>
          <w:tcPr>
            <w:tcW w:w="169" w:type="pct"/>
            <w:shd w:val="clear" w:color="auto" w:fill="auto"/>
            <w:noWrap/>
            <w:vAlign w:val="center"/>
          </w:tcPr>
          <w:p w14:paraId="23A7F194">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3A62BBF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L-Threonine</w:t>
            </w:r>
          </w:p>
        </w:tc>
        <w:tc>
          <w:tcPr>
            <w:tcW w:w="169" w:type="pct"/>
            <w:shd w:val="clear" w:color="auto" w:fill="auto"/>
            <w:noWrap/>
            <w:vAlign w:val="center"/>
          </w:tcPr>
          <w:p w14:paraId="48A06B4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r>
      <w:tr w14:paraId="0391A5F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5115AF6D">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C3CA247">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4DFADAD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Alanine arylamidase</w:t>
            </w:r>
          </w:p>
        </w:tc>
        <w:tc>
          <w:tcPr>
            <w:tcW w:w="169" w:type="pct"/>
            <w:shd w:val="clear" w:color="auto" w:fill="auto"/>
            <w:noWrap/>
            <w:vAlign w:val="center"/>
          </w:tcPr>
          <w:p w14:paraId="31674E5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760" w:type="pct"/>
            <w:shd w:val="clear" w:color="auto" w:fill="auto"/>
            <w:noWrap/>
            <w:vAlign w:val="center"/>
          </w:tcPr>
          <w:p w14:paraId="3DD068D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Glycerol</w:t>
            </w:r>
          </w:p>
        </w:tc>
        <w:tc>
          <w:tcPr>
            <w:tcW w:w="169" w:type="pct"/>
            <w:shd w:val="clear" w:color="auto" w:fill="auto"/>
            <w:noWrap/>
            <w:vAlign w:val="center"/>
          </w:tcPr>
          <w:p w14:paraId="4087788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7C53BCE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α-Ketobutyric acid</w:t>
            </w:r>
          </w:p>
        </w:tc>
        <w:tc>
          <w:tcPr>
            <w:tcW w:w="169" w:type="pct"/>
            <w:shd w:val="clear" w:color="auto" w:fill="auto"/>
            <w:noWrap/>
            <w:vAlign w:val="center"/>
          </w:tcPr>
          <w:p w14:paraId="6C60DA2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833" w:type="pct"/>
            <w:shd w:val="clear" w:color="auto" w:fill="auto"/>
            <w:noWrap/>
            <w:vAlign w:val="center"/>
          </w:tcPr>
          <w:p w14:paraId="6FBB4D6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L-Valine</w:t>
            </w:r>
          </w:p>
        </w:tc>
        <w:tc>
          <w:tcPr>
            <w:tcW w:w="169" w:type="pct"/>
            <w:shd w:val="clear" w:color="auto" w:fill="auto"/>
            <w:noWrap/>
            <w:vAlign w:val="center"/>
          </w:tcPr>
          <w:p w14:paraId="15249EC9">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0C54CDF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25FF3A7">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1D0FCDFD">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483C88E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Glycine arylamidase</w:t>
            </w:r>
          </w:p>
        </w:tc>
        <w:tc>
          <w:tcPr>
            <w:tcW w:w="169" w:type="pct"/>
            <w:shd w:val="clear" w:color="auto" w:fill="auto"/>
            <w:noWrap/>
            <w:vAlign w:val="center"/>
          </w:tcPr>
          <w:p w14:paraId="6168AD7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422A4A0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D,L-α-Glycerol phosphate</w:t>
            </w:r>
          </w:p>
        </w:tc>
        <w:tc>
          <w:tcPr>
            <w:tcW w:w="169" w:type="pct"/>
            <w:shd w:val="clear" w:color="auto" w:fill="auto"/>
            <w:noWrap/>
            <w:vAlign w:val="center"/>
          </w:tcPr>
          <w:p w14:paraId="577F00A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7122DF3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α-Ketoglutaric acid</w:t>
            </w:r>
          </w:p>
        </w:tc>
        <w:tc>
          <w:tcPr>
            <w:tcW w:w="169" w:type="pct"/>
            <w:shd w:val="clear" w:color="auto" w:fill="auto"/>
            <w:noWrap/>
            <w:vAlign w:val="center"/>
          </w:tcPr>
          <w:p w14:paraId="490D072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03E0A103">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L-Valine + L-aspartic acid</w:t>
            </w:r>
          </w:p>
        </w:tc>
        <w:tc>
          <w:tcPr>
            <w:tcW w:w="169" w:type="pct"/>
            <w:shd w:val="clear" w:color="auto" w:fill="auto"/>
            <w:noWrap/>
            <w:vAlign w:val="center"/>
          </w:tcPr>
          <w:p w14:paraId="70556C6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791D530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A3FD327">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7F802314">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63F79E4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Histidine arylamidase</w:t>
            </w:r>
          </w:p>
        </w:tc>
        <w:tc>
          <w:tcPr>
            <w:tcW w:w="169" w:type="pct"/>
            <w:shd w:val="clear" w:color="auto" w:fill="auto"/>
            <w:noWrap/>
            <w:vAlign w:val="center"/>
          </w:tcPr>
          <w:p w14:paraId="2BA51711">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760" w:type="pct"/>
            <w:shd w:val="clear" w:color="auto" w:fill="auto"/>
            <w:noWrap/>
            <w:vAlign w:val="center"/>
          </w:tcPr>
          <w:p w14:paraId="74D2606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Inositol</w:t>
            </w:r>
          </w:p>
        </w:tc>
        <w:tc>
          <w:tcPr>
            <w:tcW w:w="169" w:type="pct"/>
            <w:shd w:val="clear" w:color="auto" w:fill="auto"/>
            <w:noWrap/>
            <w:vAlign w:val="center"/>
          </w:tcPr>
          <w:p w14:paraId="14FD8C7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42371D0A">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D,L-Lactic acid</w:t>
            </w:r>
          </w:p>
        </w:tc>
        <w:tc>
          <w:tcPr>
            <w:tcW w:w="169" w:type="pct"/>
            <w:shd w:val="clear" w:color="auto" w:fill="auto"/>
            <w:noWrap/>
            <w:vAlign w:val="center"/>
          </w:tcPr>
          <w:p w14:paraId="3BAE2FC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6C1AA3B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2'-Deoxyadenosine</w:t>
            </w:r>
          </w:p>
        </w:tc>
        <w:tc>
          <w:tcPr>
            <w:tcW w:w="169" w:type="pct"/>
            <w:shd w:val="clear" w:color="auto" w:fill="auto"/>
            <w:noWrap/>
            <w:vAlign w:val="center"/>
          </w:tcPr>
          <w:p w14:paraId="702D792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6CDB009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2B9314ED">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AD069EE">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0A8C0F0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Glutamyl glutamic acid arylamidase</w:t>
            </w:r>
          </w:p>
        </w:tc>
        <w:tc>
          <w:tcPr>
            <w:tcW w:w="169" w:type="pct"/>
            <w:shd w:val="clear" w:color="auto" w:fill="auto"/>
            <w:noWrap/>
            <w:vAlign w:val="center"/>
          </w:tcPr>
          <w:p w14:paraId="2D90AC28">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60" w:type="pct"/>
            <w:shd w:val="clear" w:color="auto" w:fill="auto"/>
            <w:noWrap/>
            <w:vAlign w:val="center"/>
          </w:tcPr>
          <w:p w14:paraId="3C069B9D">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α-D-Lactose</w:t>
            </w:r>
          </w:p>
        </w:tc>
        <w:tc>
          <w:tcPr>
            <w:tcW w:w="169" w:type="pct"/>
            <w:shd w:val="clear" w:color="auto" w:fill="auto"/>
            <w:noWrap/>
            <w:vAlign w:val="center"/>
          </w:tcPr>
          <w:p w14:paraId="03DEC5B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22F73777">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L-Lactic acid</w:t>
            </w:r>
          </w:p>
        </w:tc>
        <w:tc>
          <w:tcPr>
            <w:tcW w:w="169" w:type="pct"/>
            <w:shd w:val="clear" w:color="auto" w:fill="auto"/>
            <w:noWrap/>
            <w:vAlign w:val="center"/>
          </w:tcPr>
          <w:p w14:paraId="3BF190C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73F7C0B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Inosine</w:t>
            </w:r>
          </w:p>
        </w:tc>
        <w:tc>
          <w:tcPr>
            <w:tcW w:w="169" w:type="pct"/>
            <w:shd w:val="clear" w:color="auto" w:fill="auto"/>
            <w:noWrap/>
            <w:vAlign w:val="center"/>
          </w:tcPr>
          <w:p w14:paraId="5110634B">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34CC3C4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47F8678C">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76E73D98">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769F267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Serine arylamidase activities</w:t>
            </w:r>
          </w:p>
        </w:tc>
        <w:tc>
          <w:tcPr>
            <w:tcW w:w="169" w:type="pct"/>
            <w:shd w:val="clear" w:color="auto" w:fill="auto"/>
            <w:noWrap/>
            <w:vAlign w:val="center"/>
          </w:tcPr>
          <w:p w14:paraId="18C9856A">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760" w:type="pct"/>
            <w:shd w:val="clear" w:color="auto" w:fill="auto"/>
            <w:noWrap/>
            <w:vAlign w:val="center"/>
          </w:tcPr>
          <w:p w14:paraId="54020DCC">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Lactulose</w:t>
            </w:r>
          </w:p>
        </w:tc>
        <w:tc>
          <w:tcPr>
            <w:tcW w:w="169" w:type="pct"/>
            <w:shd w:val="clear" w:color="auto" w:fill="auto"/>
            <w:noWrap/>
            <w:vAlign w:val="center"/>
          </w:tcPr>
          <w:p w14:paraId="0EB52A2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c>
          <w:tcPr>
            <w:tcW w:w="711" w:type="pct"/>
            <w:shd w:val="clear" w:color="auto" w:fill="auto"/>
            <w:noWrap/>
            <w:vAlign w:val="center"/>
          </w:tcPr>
          <w:p w14:paraId="08A5173B">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D-Lactic acid methyl ester</w:t>
            </w:r>
          </w:p>
        </w:tc>
        <w:tc>
          <w:tcPr>
            <w:tcW w:w="169" w:type="pct"/>
            <w:shd w:val="clear" w:color="auto" w:fill="auto"/>
            <w:noWrap/>
            <w:vAlign w:val="center"/>
          </w:tcPr>
          <w:p w14:paraId="7B113309">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3D2ABD30">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Thymidine</w:t>
            </w:r>
          </w:p>
        </w:tc>
        <w:tc>
          <w:tcPr>
            <w:tcW w:w="169" w:type="pct"/>
            <w:shd w:val="clear" w:color="auto" w:fill="auto"/>
            <w:noWrap/>
            <w:vAlign w:val="center"/>
          </w:tcPr>
          <w:p w14:paraId="07C19877">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15DC968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156BEB9D">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20BBBF0A">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478BC89A">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016F18E">
            <w:pPr>
              <w:spacing w:line="240" w:lineRule="auto"/>
              <w:ind w:firstLine="0" w:firstLineChars="0"/>
              <w:jc w:val="center"/>
              <w:rPr>
                <w:rFonts w:cs="Times New Roman" w:eastAsiaTheme="minorEastAsia"/>
                <w:sz w:val="21"/>
                <w:szCs w:val="21"/>
                <w:lang w:val="en-GB"/>
                <w14:ligatures w14:val="standardContextual"/>
              </w:rPr>
            </w:pPr>
          </w:p>
        </w:tc>
        <w:tc>
          <w:tcPr>
            <w:tcW w:w="760" w:type="pct"/>
            <w:shd w:val="clear" w:color="auto" w:fill="auto"/>
            <w:noWrap/>
            <w:vAlign w:val="center"/>
          </w:tcPr>
          <w:p w14:paraId="1DA56E91">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Maltose</w:t>
            </w:r>
          </w:p>
        </w:tc>
        <w:tc>
          <w:tcPr>
            <w:tcW w:w="169" w:type="pct"/>
            <w:shd w:val="clear" w:color="auto" w:fill="auto"/>
            <w:noWrap/>
            <w:vAlign w:val="center"/>
          </w:tcPr>
          <w:p w14:paraId="047BB59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43B48A36">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D-Malic acid</w:t>
            </w:r>
          </w:p>
        </w:tc>
        <w:tc>
          <w:tcPr>
            <w:tcW w:w="169" w:type="pct"/>
            <w:shd w:val="clear" w:color="auto" w:fill="auto"/>
            <w:noWrap/>
            <w:vAlign w:val="center"/>
          </w:tcPr>
          <w:p w14:paraId="45C397A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6AD8C456">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Uridine</w:t>
            </w:r>
          </w:p>
        </w:tc>
        <w:tc>
          <w:tcPr>
            <w:tcW w:w="169" w:type="pct"/>
            <w:shd w:val="clear" w:color="auto" w:fill="auto"/>
            <w:noWrap/>
            <w:vAlign w:val="center"/>
          </w:tcPr>
          <w:p w14:paraId="06133F29">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w:t>
            </w:r>
          </w:p>
        </w:tc>
      </w:tr>
      <w:tr w14:paraId="20D9EBB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5B6F3328">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B116123">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30DF9F5E">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D4CC9C4">
            <w:pPr>
              <w:spacing w:line="240" w:lineRule="auto"/>
              <w:ind w:firstLine="0" w:firstLineChars="0"/>
              <w:jc w:val="center"/>
              <w:rPr>
                <w:rFonts w:cs="Times New Roman" w:eastAsiaTheme="minorEastAsia"/>
                <w:sz w:val="21"/>
                <w:szCs w:val="21"/>
                <w:lang w:val="en-GB"/>
                <w14:ligatures w14:val="standardContextual"/>
              </w:rPr>
            </w:pPr>
          </w:p>
        </w:tc>
        <w:tc>
          <w:tcPr>
            <w:tcW w:w="760" w:type="pct"/>
            <w:shd w:val="clear" w:color="auto" w:fill="auto"/>
            <w:noWrap/>
            <w:vAlign w:val="center"/>
          </w:tcPr>
          <w:p w14:paraId="28B71729">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Maltotriose</w:t>
            </w:r>
          </w:p>
        </w:tc>
        <w:tc>
          <w:tcPr>
            <w:tcW w:w="169" w:type="pct"/>
            <w:shd w:val="clear" w:color="auto" w:fill="auto"/>
            <w:noWrap/>
            <w:vAlign w:val="center"/>
          </w:tcPr>
          <w:p w14:paraId="27172EEC">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66C7816E">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L-Malic acid</w:t>
            </w:r>
          </w:p>
        </w:tc>
        <w:tc>
          <w:tcPr>
            <w:tcW w:w="169" w:type="pct"/>
            <w:shd w:val="clear" w:color="auto" w:fill="auto"/>
            <w:noWrap/>
            <w:vAlign w:val="center"/>
          </w:tcPr>
          <w:p w14:paraId="523CD25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6819DDE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Thymidine-5'-monophosphate</w:t>
            </w:r>
          </w:p>
        </w:tc>
        <w:tc>
          <w:tcPr>
            <w:tcW w:w="169" w:type="pct"/>
            <w:shd w:val="clear" w:color="auto" w:fill="auto"/>
            <w:noWrap/>
            <w:vAlign w:val="center"/>
          </w:tcPr>
          <w:p w14:paraId="53C7F9E5">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r w14:paraId="467396D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15" w:type="pct"/>
            <w:shd w:val="clear" w:color="auto" w:fill="auto"/>
            <w:noWrap/>
            <w:vAlign w:val="center"/>
          </w:tcPr>
          <w:p w14:paraId="7826CA56">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011B9C25">
            <w:pPr>
              <w:spacing w:line="240" w:lineRule="auto"/>
              <w:ind w:firstLine="0" w:firstLineChars="0"/>
              <w:jc w:val="center"/>
              <w:rPr>
                <w:rFonts w:cs="Times New Roman" w:eastAsiaTheme="minorEastAsia"/>
                <w:sz w:val="21"/>
                <w:szCs w:val="21"/>
                <w:lang w:val="en-GB"/>
                <w14:ligatures w14:val="standardContextual"/>
              </w:rPr>
            </w:pPr>
          </w:p>
        </w:tc>
        <w:tc>
          <w:tcPr>
            <w:tcW w:w="929" w:type="pct"/>
            <w:shd w:val="clear" w:color="auto" w:fill="auto"/>
            <w:noWrap/>
            <w:vAlign w:val="center"/>
          </w:tcPr>
          <w:p w14:paraId="12383BF2">
            <w:pPr>
              <w:spacing w:line="240" w:lineRule="auto"/>
              <w:ind w:firstLine="0" w:firstLineChars="0"/>
              <w:rPr>
                <w:rFonts w:cs="Times New Roman" w:eastAsiaTheme="minorEastAsia"/>
                <w:sz w:val="21"/>
                <w:szCs w:val="21"/>
                <w:lang w:val="en-GB"/>
                <w14:ligatures w14:val="standardContextual"/>
              </w:rPr>
            </w:pPr>
          </w:p>
        </w:tc>
        <w:tc>
          <w:tcPr>
            <w:tcW w:w="169" w:type="pct"/>
            <w:shd w:val="clear" w:color="auto" w:fill="auto"/>
            <w:noWrap/>
            <w:vAlign w:val="center"/>
          </w:tcPr>
          <w:p w14:paraId="5C39AB86">
            <w:pPr>
              <w:spacing w:line="240" w:lineRule="auto"/>
              <w:ind w:firstLine="0" w:firstLineChars="0"/>
              <w:jc w:val="center"/>
              <w:rPr>
                <w:rFonts w:cs="Times New Roman" w:eastAsiaTheme="minorEastAsia"/>
                <w:sz w:val="21"/>
                <w:szCs w:val="21"/>
                <w:lang w:val="en-GB"/>
                <w14:ligatures w14:val="standardContextual"/>
              </w:rPr>
            </w:pPr>
          </w:p>
        </w:tc>
        <w:tc>
          <w:tcPr>
            <w:tcW w:w="760" w:type="pct"/>
            <w:shd w:val="clear" w:color="auto" w:fill="auto"/>
            <w:noWrap/>
            <w:vAlign w:val="center"/>
          </w:tcPr>
          <w:p w14:paraId="6807DAA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D-Mannitol</w:t>
            </w:r>
          </w:p>
        </w:tc>
        <w:tc>
          <w:tcPr>
            <w:tcW w:w="169" w:type="pct"/>
            <w:shd w:val="clear" w:color="auto" w:fill="auto"/>
            <w:noWrap/>
            <w:vAlign w:val="center"/>
          </w:tcPr>
          <w:p w14:paraId="73C775DE">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711" w:type="pct"/>
            <w:shd w:val="clear" w:color="auto" w:fill="auto"/>
            <w:noWrap/>
            <w:vAlign w:val="center"/>
          </w:tcPr>
          <w:p w14:paraId="727FF2A5">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Propionic acid</w:t>
            </w:r>
          </w:p>
        </w:tc>
        <w:tc>
          <w:tcPr>
            <w:tcW w:w="169" w:type="pct"/>
            <w:shd w:val="clear" w:color="auto" w:fill="auto"/>
            <w:noWrap/>
            <w:vAlign w:val="center"/>
          </w:tcPr>
          <w:p w14:paraId="02FDF3A0">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c>
          <w:tcPr>
            <w:tcW w:w="833" w:type="pct"/>
            <w:shd w:val="clear" w:color="auto" w:fill="auto"/>
            <w:noWrap/>
            <w:vAlign w:val="center"/>
          </w:tcPr>
          <w:p w14:paraId="14A03202">
            <w:pPr>
              <w:spacing w:line="240" w:lineRule="auto"/>
              <w:ind w:firstLine="0" w:firstLineChars="0"/>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Uridine-5'-monophosphate</w:t>
            </w:r>
          </w:p>
        </w:tc>
        <w:tc>
          <w:tcPr>
            <w:tcW w:w="169" w:type="pct"/>
            <w:shd w:val="clear" w:color="auto" w:fill="auto"/>
            <w:noWrap/>
            <w:vAlign w:val="center"/>
          </w:tcPr>
          <w:p w14:paraId="51CA307F">
            <w:pPr>
              <w:spacing w:line="240" w:lineRule="auto"/>
              <w:ind w:firstLine="0" w:firstLineChars="0"/>
              <w:jc w:val="center"/>
              <w:rPr>
                <w:rFonts w:cs="Times New Roman" w:eastAsiaTheme="minorEastAsia"/>
                <w:sz w:val="21"/>
                <w:szCs w:val="21"/>
                <w:lang w:val="en-GB"/>
                <w14:ligatures w14:val="standardContextual"/>
              </w:rPr>
            </w:pPr>
            <w:r>
              <w:rPr>
                <w:rFonts w:cs="Times New Roman" w:eastAsiaTheme="minorEastAsia"/>
                <w:sz w:val="21"/>
                <w:szCs w:val="21"/>
                <w14:ligatures w14:val="standardContextual"/>
              </w:rPr>
              <w:t>-</w:t>
            </w:r>
          </w:p>
        </w:tc>
      </w:tr>
    </w:tbl>
    <w:p w14:paraId="6341017C">
      <w:pPr>
        <w:ind w:firstLine="0" w:firstLineChars="0"/>
        <w:rPr>
          <w:rFonts w:cs="Times New Roman"/>
        </w:rPr>
      </w:pPr>
    </w:p>
    <w:p w14:paraId="2BCFDAEF">
      <w:pPr>
        <w:ind w:firstLine="482"/>
        <w:rPr>
          <w:rFonts w:cs="Times New Roman"/>
          <w:b/>
          <w:bCs/>
        </w:rPr>
      </w:pPr>
      <w:r>
        <w:rPr>
          <w:rFonts w:cs="Times New Roman"/>
          <w:b/>
          <w:bCs/>
        </w:rPr>
        <w:br w:type="page"/>
      </w:r>
    </w:p>
    <w:p w14:paraId="055148D6">
      <w:pPr>
        <w:ind w:firstLine="0" w:firstLineChars="0"/>
        <w:rPr>
          <w:rFonts w:cs="Times New Roman"/>
        </w:rPr>
      </w:pPr>
      <w:r>
        <w:rPr>
          <w:rFonts w:cs="Times New Roman"/>
          <w:b/>
          <w:bCs/>
        </w:rPr>
        <w:t>Table S</w:t>
      </w:r>
      <w:r>
        <w:rPr>
          <w:rFonts w:hint="eastAsia" w:cs="Times New Roman"/>
          <w:b/>
          <w:bCs/>
        </w:rPr>
        <w:t>3</w:t>
      </w:r>
      <w:r>
        <w:rPr>
          <w:rFonts w:cs="Times New Roman"/>
          <w:b/>
          <w:bCs/>
        </w:rPr>
        <w:t xml:space="preserve">. </w:t>
      </w:r>
      <w:r>
        <w:rPr>
          <w:rFonts w:cs="Times New Roman"/>
        </w:rPr>
        <w:t>Cellular fatty acid composition of strain SF1</w:t>
      </w:r>
      <w:r>
        <w:rPr>
          <w:rFonts w:cs="Times New Roman"/>
          <w:vertAlign w:val="superscript"/>
        </w:rPr>
        <w:t>T</w:t>
      </w:r>
      <w:r>
        <w:rPr>
          <w:rFonts w:hint="eastAsia" w:cs="Times New Roman"/>
        </w:rPr>
        <w:t xml:space="preserve"> </w:t>
      </w:r>
      <w:r>
        <w:rPr>
          <w:rFonts w:cs="Times New Roman"/>
        </w:rPr>
        <w:t>(%)</w:t>
      </w:r>
    </w:p>
    <w:p w14:paraId="3EA88B37">
      <w:pPr>
        <w:ind w:firstLine="0" w:firstLineChars="0"/>
        <w:rPr>
          <w:rFonts w:cs="Times New Roman"/>
        </w:rPr>
      </w:pPr>
      <w:r>
        <w:rPr>
          <w:rFonts w:cs="Times New Roman"/>
        </w:rPr>
        <w:t>Cellular fatty acids comprising less than 1% of the total in all strains are not listed. Major components (&gt;10%) are highlighted in bold. TR, trace amount (&lt;1%). Summed Features are fatty acids that cannot be resolved reliably from another fatty acid using the chromatographic conditions chosen. The MIDI system groups these fatty acids together as one feature with a single percentage of the total.</w:t>
      </w:r>
    </w:p>
    <w:tbl>
      <w:tblPr>
        <w:tblStyle w:val="9"/>
        <w:tblW w:w="4999" w:type="pct"/>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0" w:type="dxa"/>
          <w:bottom w:w="0" w:type="dxa"/>
          <w:right w:w="0" w:type="dxa"/>
        </w:tblCellMar>
      </w:tblPr>
      <w:tblGrid>
        <w:gridCol w:w="6551"/>
        <w:gridCol w:w="2689"/>
      </w:tblGrid>
      <w:tr w14:paraId="40601E1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bottom w:val="single" w:color="auto" w:sz="8" w:space="0"/>
            </w:tcBorders>
            <w:shd w:val="clear" w:color="auto" w:fill="auto"/>
            <w:tcMar>
              <w:left w:w="108" w:type="dxa"/>
              <w:right w:w="108" w:type="dxa"/>
            </w:tcMar>
            <w:vAlign w:val="center"/>
          </w:tcPr>
          <w:p w14:paraId="70D33B7F">
            <w:pPr>
              <w:pStyle w:val="8"/>
              <w:widowControl/>
              <w:spacing w:line="240" w:lineRule="auto"/>
              <w:ind w:firstLine="0" w:firstLineChars="0"/>
              <w:rPr>
                <w:rFonts w:cs="Times New Roman"/>
                <w:color w:val="000000"/>
              </w:rPr>
            </w:pPr>
            <w:r>
              <w:rPr>
                <w:rFonts w:cs="Times New Roman"/>
                <w:b/>
                <w:bCs/>
                <w:color w:val="000000"/>
              </w:rPr>
              <w:t>Fatty acid</w:t>
            </w:r>
          </w:p>
        </w:tc>
        <w:tc>
          <w:tcPr>
            <w:tcW w:w="1455" w:type="pct"/>
            <w:tcBorders>
              <w:bottom w:val="single" w:color="auto" w:sz="8" w:space="0"/>
            </w:tcBorders>
            <w:shd w:val="clear" w:color="auto" w:fill="auto"/>
            <w:tcMar>
              <w:left w:w="108" w:type="dxa"/>
              <w:right w:w="108" w:type="dxa"/>
            </w:tcMar>
            <w:vAlign w:val="center"/>
          </w:tcPr>
          <w:p w14:paraId="10394F7F">
            <w:pPr>
              <w:pStyle w:val="8"/>
              <w:widowControl/>
              <w:spacing w:line="240" w:lineRule="auto"/>
              <w:ind w:firstLine="0" w:firstLineChars="0"/>
              <w:jc w:val="center"/>
              <w:rPr>
                <w:rFonts w:cs="Times New Roman"/>
              </w:rPr>
            </w:pPr>
            <w:r>
              <w:rPr>
                <w:rFonts w:cs="Times New Roman"/>
                <w:color w:val="000000"/>
              </w:rPr>
              <w:t>Content</w:t>
            </w:r>
            <w:r>
              <w:rPr>
                <w:rFonts w:hint="eastAsia" w:cs="Times New Roman"/>
                <w:color w:val="000000"/>
              </w:rPr>
              <w:t xml:space="preserve"> </w:t>
            </w:r>
            <w:r>
              <w:rPr>
                <w:rFonts w:cs="Times New Roman"/>
                <w:color w:val="000000"/>
              </w:rPr>
              <w:t>(%)</w:t>
            </w:r>
          </w:p>
        </w:tc>
      </w:tr>
      <w:tr w14:paraId="636EAB3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op w:val="single" w:color="auto" w:sz="8" w:space="0"/>
              <w:tl2br w:val="nil"/>
              <w:tr2bl w:val="nil"/>
            </w:tcBorders>
            <w:shd w:val="clear" w:color="auto" w:fill="auto"/>
            <w:tcMar>
              <w:left w:w="108" w:type="dxa"/>
              <w:right w:w="108" w:type="dxa"/>
            </w:tcMar>
            <w:vAlign w:val="center"/>
          </w:tcPr>
          <w:p w14:paraId="1348EA58">
            <w:pPr>
              <w:pStyle w:val="8"/>
              <w:widowControl/>
              <w:spacing w:line="240" w:lineRule="auto"/>
              <w:ind w:firstLine="0" w:firstLineChars="0"/>
              <w:rPr>
                <w:rFonts w:cs="Times New Roman"/>
                <w:color w:val="000000"/>
              </w:rPr>
            </w:pPr>
            <w:r>
              <w:rPr>
                <w:rFonts w:cs="Times New Roman"/>
                <w:b/>
                <w:bCs/>
                <w:color w:val="000000"/>
              </w:rPr>
              <w:t>Hydroxylated</w:t>
            </w:r>
          </w:p>
        </w:tc>
        <w:tc>
          <w:tcPr>
            <w:tcW w:w="1455" w:type="pct"/>
            <w:tcBorders>
              <w:top w:val="single" w:color="auto" w:sz="8" w:space="0"/>
              <w:tl2br w:val="nil"/>
              <w:tr2bl w:val="nil"/>
            </w:tcBorders>
            <w:shd w:val="clear" w:color="auto" w:fill="auto"/>
            <w:tcMar>
              <w:left w:w="108" w:type="dxa"/>
              <w:right w:w="108" w:type="dxa"/>
            </w:tcMar>
            <w:vAlign w:val="center"/>
          </w:tcPr>
          <w:p w14:paraId="6AB47A38">
            <w:pPr>
              <w:pStyle w:val="8"/>
              <w:widowControl/>
              <w:spacing w:line="240" w:lineRule="auto"/>
              <w:ind w:firstLine="0" w:firstLineChars="0"/>
              <w:jc w:val="center"/>
              <w:rPr>
                <w:rFonts w:cs="Times New Roman"/>
                <w:color w:val="000000"/>
              </w:rPr>
            </w:pPr>
          </w:p>
        </w:tc>
      </w:tr>
      <w:tr w14:paraId="31981DA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1C25C470">
            <w:pPr>
              <w:pStyle w:val="8"/>
              <w:widowControl/>
              <w:spacing w:line="240" w:lineRule="auto"/>
              <w:ind w:firstLine="0" w:firstLineChars="0"/>
              <w:rPr>
                <w:rFonts w:cs="Times New Roman"/>
              </w:rPr>
            </w:pPr>
            <w:r>
              <w:rPr>
                <w:rFonts w:hint="eastAsia" w:cs="Times New Roman"/>
                <w:color w:val="000000"/>
              </w:rPr>
              <w:t>i</w:t>
            </w:r>
            <w:r>
              <w:rPr>
                <w:rFonts w:cs="Times New Roman"/>
                <w:color w:val="000000"/>
              </w:rPr>
              <w:t>so</w:t>
            </w:r>
            <w:r>
              <w:rPr>
                <w:rFonts w:hint="eastAsia" w:cs="Times New Roman"/>
                <w:color w:val="000000"/>
              </w:rPr>
              <w:t>-</w:t>
            </w:r>
            <w:r>
              <w:rPr>
                <w:rFonts w:cs="Times New Roman"/>
                <w:color w:val="000000"/>
              </w:rPr>
              <w:t>C</w:t>
            </w:r>
            <w:r>
              <w:rPr>
                <w:rFonts w:cs="Times New Roman"/>
                <w:color w:val="000000"/>
                <w:vertAlign w:val="subscript"/>
              </w:rPr>
              <w:t>15:0</w:t>
            </w:r>
            <w:r>
              <w:rPr>
                <w:rFonts w:cs="Times New Roman"/>
                <w:color w:val="000000"/>
              </w:rPr>
              <w:t xml:space="preserve"> 3OH</w:t>
            </w:r>
          </w:p>
        </w:tc>
        <w:tc>
          <w:tcPr>
            <w:tcW w:w="1455" w:type="pct"/>
            <w:tcBorders>
              <w:tl2br w:val="nil"/>
              <w:tr2bl w:val="nil"/>
            </w:tcBorders>
            <w:shd w:val="clear" w:color="auto" w:fill="auto"/>
            <w:tcMar>
              <w:left w:w="108" w:type="dxa"/>
              <w:right w:w="108" w:type="dxa"/>
            </w:tcMar>
            <w:vAlign w:val="center"/>
          </w:tcPr>
          <w:p w14:paraId="07EE80D7">
            <w:pPr>
              <w:pStyle w:val="8"/>
              <w:widowControl/>
              <w:spacing w:line="240" w:lineRule="auto"/>
              <w:ind w:firstLine="0" w:firstLineChars="0"/>
              <w:jc w:val="center"/>
              <w:rPr>
                <w:rFonts w:cs="Times New Roman"/>
              </w:rPr>
            </w:pPr>
            <w:r>
              <w:rPr>
                <w:rFonts w:cs="Times New Roman"/>
                <w:color w:val="000000"/>
              </w:rPr>
              <w:t>1.72</w:t>
            </w:r>
          </w:p>
        </w:tc>
      </w:tr>
      <w:tr w14:paraId="0F1546E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51FF4F01">
            <w:pPr>
              <w:pStyle w:val="8"/>
              <w:widowControl/>
              <w:spacing w:line="240" w:lineRule="auto"/>
              <w:ind w:firstLine="0" w:firstLineChars="0"/>
              <w:rPr>
                <w:rFonts w:cs="Times New Roman"/>
                <w:color w:val="000000"/>
              </w:rPr>
            </w:pPr>
            <w:r>
              <w:rPr>
                <w:rFonts w:cs="Times New Roman"/>
                <w:b/>
                <w:bCs/>
                <w:color w:val="000000"/>
              </w:rPr>
              <w:t>Branced</w:t>
            </w:r>
          </w:p>
        </w:tc>
        <w:tc>
          <w:tcPr>
            <w:tcW w:w="1455" w:type="pct"/>
            <w:tcBorders>
              <w:tl2br w:val="nil"/>
              <w:tr2bl w:val="nil"/>
            </w:tcBorders>
            <w:shd w:val="clear" w:color="auto" w:fill="auto"/>
            <w:tcMar>
              <w:left w:w="108" w:type="dxa"/>
              <w:right w:w="108" w:type="dxa"/>
            </w:tcMar>
            <w:vAlign w:val="center"/>
          </w:tcPr>
          <w:p w14:paraId="74EE26B3">
            <w:pPr>
              <w:pStyle w:val="8"/>
              <w:widowControl/>
              <w:spacing w:line="240" w:lineRule="auto"/>
              <w:ind w:firstLine="0" w:firstLineChars="0"/>
              <w:jc w:val="center"/>
              <w:rPr>
                <w:rFonts w:cs="Times New Roman"/>
                <w:color w:val="000000"/>
              </w:rPr>
            </w:pPr>
          </w:p>
        </w:tc>
      </w:tr>
      <w:tr w14:paraId="42EC849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5C14A66D">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14:0</w:t>
            </w:r>
            <w:r>
              <w:rPr>
                <w:rFonts w:cs="Times New Roman"/>
                <w:color w:val="000000"/>
              </w:rPr>
              <w:t xml:space="preserve"> iso 3OH</w:t>
            </w:r>
          </w:p>
        </w:tc>
        <w:tc>
          <w:tcPr>
            <w:tcW w:w="1455" w:type="pct"/>
            <w:tcBorders>
              <w:tl2br w:val="nil"/>
              <w:tr2bl w:val="nil"/>
            </w:tcBorders>
            <w:shd w:val="clear" w:color="auto" w:fill="auto"/>
            <w:tcMar>
              <w:left w:w="108" w:type="dxa"/>
              <w:right w:w="108" w:type="dxa"/>
            </w:tcMar>
            <w:vAlign w:val="center"/>
          </w:tcPr>
          <w:p w14:paraId="182C2166">
            <w:pPr>
              <w:pStyle w:val="8"/>
              <w:widowControl/>
              <w:spacing w:line="240" w:lineRule="auto"/>
              <w:ind w:firstLine="0" w:firstLineChars="0"/>
              <w:jc w:val="center"/>
              <w:rPr>
                <w:rFonts w:cs="Times New Roman"/>
              </w:rPr>
            </w:pPr>
            <w:r>
              <w:rPr>
                <w:rFonts w:cs="Times New Roman"/>
              </w:rPr>
              <w:t>TR</w:t>
            </w:r>
          </w:p>
        </w:tc>
      </w:tr>
      <w:tr w14:paraId="369354B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7432BB2F">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16:0</w:t>
            </w:r>
            <w:r>
              <w:rPr>
                <w:rFonts w:cs="Times New Roman"/>
                <w:color w:val="000000"/>
              </w:rPr>
              <w:t xml:space="preserve"> 3OH</w:t>
            </w:r>
          </w:p>
        </w:tc>
        <w:tc>
          <w:tcPr>
            <w:tcW w:w="1455" w:type="pct"/>
            <w:tcBorders>
              <w:tl2br w:val="nil"/>
              <w:tr2bl w:val="nil"/>
            </w:tcBorders>
            <w:shd w:val="clear" w:color="auto" w:fill="auto"/>
            <w:tcMar>
              <w:left w:w="108" w:type="dxa"/>
              <w:right w:w="108" w:type="dxa"/>
            </w:tcMar>
            <w:vAlign w:val="center"/>
          </w:tcPr>
          <w:p w14:paraId="7DFDCC6C">
            <w:pPr>
              <w:pStyle w:val="8"/>
              <w:widowControl/>
              <w:spacing w:line="240" w:lineRule="auto"/>
              <w:ind w:firstLine="0" w:firstLineChars="0"/>
              <w:jc w:val="center"/>
              <w:rPr>
                <w:rFonts w:cs="Times New Roman"/>
              </w:rPr>
            </w:pPr>
            <w:r>
              <w:rPr>
                <w:rFonts w:cs="Times New Roman"/>
              </w:rPr>
              <w:t>TR</w:t>
            </w:r>
          </w:p>
        </w:tc>
      </w:tr>
      <w:tr w14:paraId="404E19A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1C214D4B">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18:1</w:t>
            </w:r>
            <w:r>
              <w:rPr>
                <w:rFonts w:cs="Times New Roman"/>
                <w:color w:val="000000"/>
              </w:rPr>
              <w:t xml:space="preserve"> 2OH</w:t>
            </w:r>
          </w:p>
        </w:tc>
        <w:tc>
          <w:tcPr>
            <w:tcW w:w="1455" w:type="pct"/>
            <w:tcBorders>
              <w:tl2br w:val="nil"/>
              <w:tr2bl w:val="nil"/>
            </w:tcBorders>
            <w:shd w:val="clear" w:color="auto" w:fill="auto"/>
            <w:tcMar>
              <w:left w:w="108" w:type="dxa"/>
              <w:right w:w="108" w:type="dxa"/>
            </w:tcMar>
            <w:vAlign w:val="center"/>
          </w:tcPr>
          <w:p w14:paraId="2409A82B">
            <w:pPr>
              <w:pStyle w:val="8"/>
              <w:widowControl/>
              <w:spacing w:line="240" w:lineRule="auto"/>
              <w:ind w:firstLine="0" w:firstLineChars="0"/>
              <w:jc w:val="center"/>
              <w:rPr>
                <w:rFonts w:cs="Times New Roman"/>
              </w:rPr>
            </w:pPr>
            <w:r>
              <w:rPr>
                <w:rFonts w:cs="Times New Roman"/>
              </w:rPr>
              <w:t>TR</w:t>
            </w:r>
          </w:p>
        </w:tc>
      </w:tr>
      <w:tr w14:paraId="5F4D2E9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297CC2D1">
            <w:pPr>
              <w:pStyle w:val="8"/>
              <w:widowControl/>
              <w:spacing w:line="240" w:lineRule="auto"/>
              <w:ind w:firstLine="0" w:firstLineChars="0"/>
              <w:rPr>
                <w:rFonts w:cs="Times New Roman"/>
                <w:color w:val="000000"/>
              </w:rPr>
            </w:pPr>
            <w:r>
              <w:rPr>
                <w:rFonts w:cs="Times New Roman"/>
                <w:b/>
                <w:bCs/>
                <w:color w:val="000000"/>
              </w:rPr>
              <w:t>Saturated</w:t>
            </w:r>
          </w:p>
        </w:tc>
        <w:tc>
          <w:tcPr>
            <w:tcW w:w="1455" w:type="pct"/>
            <w:tcBorders>
              <w:tl2br w:val="nil"/>
              <w:tr2bl w:val="nil"/>
            </w:tcBorders>
            <w:shd w:val="clear" w:color="auto" w:fill="auto"/>
            <w:tcMar>
              <w:left w:w="108" w:type="dxa"/>
              <w:right w:w="108" w:type="dxa"/>
            </w:tcMar>
            <w:vAlign w:val="center"/>
          </w:tcPr>
          <w:p w14:paraId="59A59C11">
            <w:pPr>
              <w:pStyle w:val="8"/>
              <w:widowControl/>
              <w:spacing w:line="240" w:lineRule="auto"/>
              <w:ind w:firstLine="0" w:firstLineChars="0"/>
              <w:jc w:val="center"/>
              <w:rPr>
                <w:rFonts w:cs="Times New Roman"/>
                <w:color w:val="000000"/>
              </w:rPr>
            </w:pPr>
          </w:p>
        </w:tc>
      </w:tr>
      <w:tr w14:paraId="4749A50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35FAC452">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10:0</w:t>
            </w:r>
          </w:p>
        </w:tc>
        <w:tc>
          <w:tcPr>
            <w:tcW w:w="1455" w:type="pct"/>
            <w:tcBorders>
              <w:tl2br w:val="nil"/>
              <w:tr2bl w:val="nil"/>
            </w:tcBorders>
            <w:shd w:val="clear" w:color="auto" w:fill="auto"/>
            <w:tcMar>
              <w:left w:w="108" w:type="dxa"/>
              <w:right w:w="108" w:type="dxa"/>
            </w:tcMar>
            <w:vAlign w:val="center"/>
          </w:tcPr>
          <w:p w14:paraId="2C99C58A">
            <w:pPr>
              <w:pStyle w:val="8"/>
              <w:widowControl/>
              <w:spacing w:line="240" w:lineRule="auto"/>
              <w:ind w:firstLine="0" w:firstLineChars="0"/>
              <w:jc w:val="center"/>
              <w:rPr>
                <w:rFonts w:cs="Times New Roman"/>
              </w:rPr>
            </w:pPr>
            <w:r>
              <w:rPr>
                <w:rFonts w:cs="Times New Roman"/>
              </w:rPr>
              <w:t>TR</w:t>
            </w:r>
          </w:p>
        </w:tc>
      </w:tr>
      <w:tr w14:paraId="17D570D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6F7FE697">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11:0</w:t>
            </w:r>
          </w:p>
        </w:tc>
        <w:tc>
          <w:tcPr>
            <w:tcW w:w="1455" w:type="pct"/>
            <w:tcBorders>
              <w:tl2br w:val="nil"/>
              <w:tr2bl w:val="nil"/>
            </w:tcBorders>
            <w:shd w:val="clear" w:color="auto" w:fill="auto"/>
            <w:tcMar>
              <w:left w:w="108" w:type="dxa"/>
              <w:right w:w="108" w:type="dxa"/>
            </w:tcMar>
            <w:vAlign w:val="center"/>
          </w:tcPr>
          <w:p w14:paraId="0CF79B77">
            <w:pPr>
              <w:pStyle w:val="8"/>
              <w:widowControl/>
              <w:spacing w:line="240" w:lineRule="auto"/>
              <w:ind w:firstLine="0" w:firstLineChars="0"/>
              <w:jc w:val="center"/>
              <w:rPr>
                <w:rFonts w:cs="Times New Roman"/>
              </w:rPr>
            </w:pPr>
            <w:r>
              <w:rPr>
                <w:rFonts w:cs="Times New Roman"/>
              </w:rPr>
              <w:t>TR</w:t>
            </w:r>
          </w:p>
        </w:tc>
      </w:tr>
      <w:tr w14:paraId="37804B5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12F589AB">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12:0</w:t>
            </w:r>
          </w:p>
        </w:tc>
        <w:tc>
          <w:tcPr>
            <w:tcW w:w="1455" w:type="pct"/>
            <w:tcBorders>
              <w:tl2br w:val="nil"/>
              <w:tr2bl w:val="nil"/>
            </w:tcBorders>
            <w:shd w:val="clear" w:color="auto" w:fill="auto"/>
            <w:tcMar>
              <w:left w:w="108" w:type="dxa"/>
              <w:right w:w="108" w:type="dxa"/>
            </w:tcMar>
            <w:vAlign w:val="center"/>
          </w:tcPr>
          <w:p w14:paraId="75A1C445">
            <w:pPr>
              <w:pStyle w:val="8"/>
              <w:widowControl/>
              <w:spacing w:line="240" w:lineRule="auto"/>
              <w:ind w:firstLine="0" w:firstLineChars="0"/>
              <w:jc w:val="center"/>
              <w:rPr>
                <w:rFonts w:cs="Times New Roman"/>
              </w:rPr>
            </w:pPr>
            <w:r>
              <w:rPr>
                <w:rFonts w:cs="Times New Roman"/>
              </w:rPr>
              <w:t>TR</w:t>
            </w:r>
          </w:p>
        </w:tc>
      </w:tr>
      <w:tr w14:paraId="00AA353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51F37832">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13:0</w:t>
            </w:r>
          </w:p>
        </w:tc>
        <w:tc>
          <w:tcPr>
            <w:tcW w:w="1455" w:type="pct"/>
            <w:tcBorders>
              <w:tl2br w:val="nil"/>
              <w:tr2bl w:val="nil"/>
            </w:tcBorders>
            <w:shd w:val="clear" w:color="auto" w:fill="auto"/>
            <w:tcMar>
              <w:left w:w="108" w:type="dxa"/>
              <w:right w:w="108" w:type="dxa"/>
            </w:tcMar>
            <w:vAlign w:val="center"/>
          </w:tcPr>
          <w:p w14:paraId="16DF22B4">
            <w:pPr>
              <w:pStyle w:val="8"/>
              <w:widowControl/>
              <w:spacing w:line="240" w:lineRule="auto"/>
              <w:ind w:firstLine="0" w:firstLineChars="0"/>
              <w:jc w:val="center"/>
              <w:rPr>
                <w:rFonts w:cs="Times New Roman"/>
              </w:rPr>
            </w:pPr>
            <w:r>
              <w:rPr>
                <w:rFonts w:cs="Times New Roman"/>
                <w:color w:val="000000"/>
              </w:rPr>
              <w:t>3.62</w:t>
            </w:r>
          </w:p>
        </w:tc>
      </w:tr>
      <w:tr w14:paraId="37B0476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0B44FD94">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14:0</w:t>
            </w:r>
          </w:p>
        </w:tc>
        <w:tc>
          <w:tcPr>
            <w:tcW w:w="1455" w:type="pct"/>
            <w:tcBorders>
              <w:tl2br w:val="nil"/>
              <w:tr2bl w:val="nil"/>
            </w:tcBorders>
            <w:shd w:val="clear" w:color="auto" w:fill="auto"/>
            <w:tcMar>
              <w:left w:w="108" w:type="dxa"/>
              <w:right w:w="108" w:type="dxa"/>
            </w:tcMar>
            <w:vAlign w:val="center"/>
          </w:tcPr>
          <w:p w14:paraId="7D872891">
            <w:pPr>
              <w:pStyle w:val="8"/>
              <w:widowControl/>
              <w:spacing w:line="240" w:lineRule="auto"/>
              <w:ind w:firstLine="0" w:firstLineChars="0"/>
              <w:jc w:val="center"/>
              <w:rPr>
                <w:rFonts w:cs="Times New Roman"/>
              </w:rPr>
            </w:pPr>
            <w:r>
              <w:rPr>
                <w:rFonts w:cs="Times New Roman"/>
                <w:b/>
                <w:bCs/>
                <w:color w:val="000000"/>
              </w:rPr>
              <w:t>12.66</w:t>
            </w:r>
          </w:p>
        </w:tc>
      </w:tr>
      <w:tr w14:paraId="3F9554E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2CC2E2FC">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16:0</w:t>
            </w:r>
          </w:p>
        </w:tc>
        <w:tc>
          <w:tcPr>
            <w:tcW w:w="1455" w:type="pct"/>
            <w:tcBorders>
              <w:tl2br w:val="nil"/>
              <w:tr2bl w:val="nil"/>
            </w:tcBorders>
            <w:shd w:val="clear" w:color="auto" w:fill="auto"/>
            <w:tcMar>
              <w:left w:w="108" w:type="dxa"/>
              <w:right w:w="108" w:type="dxa"/>
            </w:tcMar>
            <w:vAlign w:val="center"/>
          </w:tcPr>
          <w:p w14:paraId="4FDEE585">
            <w:pPr>
              <w:pStyle w:val="8"/>
              <w:widowControl/>
              <w:spacing w:line="240" w:lineRule="auto"/>
              <w:ind w:firstLine="0" w:firstLineChars="0"/>
              <w:jc w:val="center"/>
              <w:rPr>
                <w:rFonts w:cs="Times New Roman"/>
              </w:rPr>
            </w:pPr>
            <w:r>
              <w:rPr>
                <w:rFonts w:cs="Times New Roman"/>
                <w:b/>
                <w:bCs/>
                <w:color w:val="000000"/>
              </w:rPr>
              <w:t>17.11</w:t>
            </w:r>
          </w:p>
        </w:tc>
      </w:tr>
      <w:tr w14:paraId="1C1269F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44A99665">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17:0</w:t>
            </w:r>
          </w:p>
        </w:tc>
        <w:tc>
          <w:tcPr>
            <w:tcW w:w="1455" w:type="pct"/>
            <w:tcBorders>
              <w:tl2br w:val="nil"/>
              <w:tr2bl w:val="nil"/>
            </w:tcBorders>
            <w:shd w:val="clear" w:color="auto" w:fill="auto"/>
            <w:tcMar>
              <w:left w:w="108" w:type="dxa"/>
              <w:right w:w="108" w:type="dxa"/>
            </w:tcMar>
            <w:vAlign w:val="center"/>
          </w:tcPr>
          <w:p w14:paraId="39F21792">
            <w:pPr>
              <w:pStyle w:val="8"/>
              <w:widowControl/>
              <w:spacing w:line="240" w:lineRule="auto"/>
              <w:ind w:firstLine="0" w:firstLineChars="0"/>
              <w:jc w:val="center"/>
              <w:rPr>
                <w:rFonts w:cs="Times New Roman"/>
              </w:rPr>
            </w:pPr>
            <w:r>
              <w:rPr>
                <w:rFonts w:cs="Times New Roman"/>
                <w:color w:val="000000"/>
              </w:rPr>
              <w:t>4.78</w:t>
            </w:r>
          </w:p>
        </w:tc>
      </w:tr>
      <w:tr w14:paraId="160EA6B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70F42313">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19:0</w:t>
            </w:r>
          </w:p>
        </w:tc>
        <w:tc>
          <w:tcPr>
            <w:tcW w:w="1455" w:type="pct"/>
            <w:tcBorders>
              <w:tl2br w:val="nil"/>
              <w:tr2bl w:val="nil"/>
            </w:tcBorders>
            <w:shd w:val="clear" w:color="auto" w:fill="auto"/>
            <w:tcMar>
              <w:left w:w="108" w:type="dxa"/>
              <w:right w:w="108" w:type="dxa"/>
            </w:tcMar>
            <w:vAlign w:val="center"/>
          </w:tcPr>
          <w:p w14:paraId="33189552">
            <w:pPr>
              <w:pStyle w:val="8"/>
              <w:widowControl/>
              <w:spacing w:line="240" w:lineRule="auto"/>
              <w:ind w:firstLine="0" w:firstLineChars="0"/>
              <w:jc w:val="center"/>
              <w:rPr>
                <w:rFonts w:cs="Times New Roman"/>
              </w:rPr>
            </w:pPr>
            <w:r>
              <w:rPr>
                <w:rFonts w:cs="Times New Roman"/>
              </w:rPr>
              <w:t>TR</w:t>
            </w:r>
          </w:p>
        </w:tc>
      </w:tr>
      <w:tr w14:paraId="70FCE0B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2FC99B46">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20:0</w:t>
            </w:r>
          </w:p>
        </w:tc>
        <w:tc>
          <w:tcPr>
            <w:tcW w:w="1455" w:type="pct"/>
            <w:tcBorders>
              <w:tl2br w:val="nil"/>
              <w:tr2bl w:val="nil"/>
            </w:tcBorders>
            <w:shd w:val="clear" w:color="auto" w:fill="auto"/>
            <w:tcMar>
              <w:left w:w="108" w:type="dxa"/>
              <w:right w:w="108" w:type="dxa"/>
            </w:tcMar>
            <w:vAlign w:val="center"/>
          </w:tcPr>
          <w:p w14:paraId="701A979F">
            <w:pPr>
              <w:pStyle w:val="8"/>
              <w:widowControl/>
              <w:spacing w:line="240" w:lineRule="auto"/>
              <w:ind w:firstLine="0" w:firstLineChars="0"/>
              <w:jc w:val="center"/>
              <w:rPr>
                <w:rFonts w:cs="Times New Roman"/>
              </w:rPr>
            </w:pPr>
            <w:r>
              <w:rPr>
                <w:rFonts w:cs="Times New Roman"/>
              </w:rPr>
              <w:t>TR</w:t>
            </w:r>
          </w:p>
        </w:tc>
      </w:tr>
      <w:tr w14:paraId="7F5AD8A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6F2136E7">
            <w:pPr>
              <w:pStyle w:val="8"/>
              <w:widowControl/>
              <w:spacing w:line="240" w:lineRule="auto"/>
              <w:ind w:firstLine="0" w:firstLineChars="0"/>
              <w:rPr>
                <w:rFonts w:cs="Times New Roman"/>
                <w:color w:val="000000"/>
              </w:rPr>
            </w:pPr>
            <w:r>
              <w:rPr>
                <w:rFonts w:cs="Times New Roman"/>
                <w:b/>
                <w:bCs/>
                <w:color w:val="000000"/>
              </w:rPr>
              <w:t>Unsaturated</w:t>
            </w:r>
          </w:p>
        </w:tc>
        <w:tc>
          <w:tcPr>
            <w:tcW w:w="1455" w:type="pct"/>
            <w:tcBorders>
              <w:tl2br w:val="nil"/>
              <w:tr2bl w:val="nil"/>
            </w:tcBorders>
            <w:shd w:val="clear" w:color="auto" w:fill="auto"/>
            <w:tcMar>
              <w:left w:w="108" w:type="dxa"/>
              <w:right w:w="108" w:type="dxa"/>
            </w:tcMar>
            <w:vAlign w:val="center"/>
          </w:tcPr>
          <w:p w14:paraId="334BC470">
            <w:pPr>
              <w:pStyle w:val="8"/>
              <w:widowControl/>
              <w:spacing w:line="240" w:lineRule="auto"/>
              <w:ind w:firstLine="0" w:firstLineChars="0"/>
              <w:jc w:val="center"/>
              <w:rPr>
                <w:rFonts w:cs="Times New Roman"/>
                <w:color w:val="000000"/>
              </w:rPr>
            </w:pPr>
          </w:p>
        </w:tc>
      </w:tr>
      <w:tr w14:paraId="79AE1F4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5998BE86">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15:1</w:t>
            </w:r>
            <w:r>
              <w:rPr>
                <w:rFonts w:cs="Times New Roman"/>
                <w:color w:val="000000"/>
              </w:rPr>
              <w:t xml:space="preserve"> ω8c</w:t>
            </w:r>
          </w:p>
        </w:tc>
        <w:tc>
          <w:tcPr>
            <w:tcW w:w="1455" w:type="pct"/>
            <w:tcBorders>
              <w:tl2br w:val="nil"/>
              <w:tr2bl w:val="nil"/>
            </w:tcBorders>
            <w:shd w:val="clear" w:color="auto" w:fill="auto"/>
            <w:tcMar>
              <w:left w:w="108" w:type="dxa"/>
              <w:right w:w="108" w:type="dxa"/>
            </w:tcMar>
            <w:vAlign w:val="center"/>
          </w:tcPr>
          <w:p w14:paraId="32CEF69F">
            <w:pPr>
              <w:pStyle w:val="8"/>
              <w:widowControl/>
              <w:spacing w:line="240" w:lineRule="auto"/>
              <w:ind w:firstLine="0" w:firstLineChars="0"/>
              <w:jc w:val="center"/>
              <w:rPr>
                <w:rFonts w:cs="Times New Roman"/>
              </w:rPr>
            </w:pPr>
            <w:r>
              <w:rPr>
                <w:rFonts w:cs="Times New Roman"/>
                <w:color w:val="000000"/>
              </w:rPr>
              <w:t>6.48</w:t>
            </w:r>
          </w:p>
        </w:tc>
      </w:tr>
      <w:tr w14:paraId="0F262B8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6DD9FC36">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15:1</w:t>
            </w:r>
            <w:r>
              <w:rPr>
                <w:rFonts w:cs="Times New Roman"/>
                <w:color w:val="000000"/>
              </w:rPr>
              <w:t xml:space="preserve"> ω6c</w:t>
            </w:r>
          </w:p>
        </w:tc>
        <w:tc>
          <w:tcPr>
            <w:tcW w:w="1455" w:type="pct"/>
            <w:tcBorders>
              <w:tl2br w:val="nil"/>
              <w:tr2bl w:val="nil"/>
            </w:tcBorders>
            <w:shd w:val="clear" w:color="auto" w:fill="auto"/>
            <w:tcMar>
              <w:left w:w="108" w:type="dxa"/>
              <w:right w:w="108" w:type="dxa"/>
            </w:tcMar>
            <w:vAlign w:val="center"/>
          </w:tcPr>
          <w:p w14:paraId="55549F6B">
            <w:pPr>
              <w:pStyle w:val="8"/>
              <w:widowControl/>
              <w:spacing w:line="240" w:lineRule="auto"/>
              <w:ind w:firstLine="0" w:firstLineChars="0"/>
              <w:jc w:val="center"/>
              <w:rPr>
                <w:rFonts w:cs="Times New Roman"/>
              </w:rPr>
            </w:pPr>
            <w:r>
              <w:rPr>
                <w:rFonts w:cs="Times New Roman"/>
                <w:color w:val="000000"/>
              </w:rPr>
              <w:t>4.29</w:t>
            </w:r>
          </w:p>
        </w:tc>
      </w:tr>
      <w:tr w14:paraId="280E292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39869B27">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16:1</w:t>
            </w:r>
            <w:r>
              <w:rPr>
                <w:rFonts w:cs="Times New Roman"/>
                <w:color w:val="000000"/>
              </w:rPr>
              <w:t xml:space="preserve"> ω5c</w:t>
            </w:r>
          </w:p>
        </w:tc>
        <w:tc>
          <w:tcPr>
            <w:tcW w:w="1455" w:type="pct"/>
            <w:tcBorders>
              <w:tl2br w:val="nil"/>
              <w:tr2bl w:val="nil"/>
            </w:tcBorders>
            <w:shd w:val="clear" w:color="auto" w:fill="auto"/>
            <w:tcMar>
              <w:left w:w="108" w:type="dxa"/>
              <w:right w:w="108" w:type="dxa"/>
            </w:tcMar>
            <w:vAlign w:val="center"/>
          </w:tcPr>
          <w:p w14:paraId="531A19E4">
            <w:pPr>
              <w:pStyle w:val="8"/>
              <w:widowControl/>
              <w:spacing w:line="240" w:lineRule="auto"/>
              <w:ind w:firstLine="0" w:firstLineChars="0"/>
              <w:jc w:val="center"/>
              <w:rPr>
                <w:rFonts w:cs="Times New Roman"/>
              </w:rPr>
            </w:pPr>
            <w:r>
              <w:rPr>
                <w:rFonts w:cs="Times New Roman"/>
                <w:color w:val="000000"/>
              </w:rPr>
              <w:t>4.64</w:t>
            </w:r>
          </w:p>
        </w:tc>
      </w:tr>
      <w:tr w14:paraId="1D63D5F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180" w:hRule="atLeast"/>
          <w:tblHeader/>
        </w:trPr>
        <w:tc>
          <w:tcPr>
            <w:tcW w:w="3544" w:type="pct"/>
            <w:tcBorders>
              <w:tl2br w:val="nil"/>
              <w:tr2bl w:val="nil"/>
            </w:tcBorders>
            <w:shd w:val="clear" w:color="auto" w:fill="auto"/>
            <w:tcMar>
              <w:left w:w="108" w:type="dxa"/>
              <w:right w:w="108" w:type="dxa"/>
            </w:tcMar>
            <w:vAlign w:val="center"/>
          </w:tcPr>
          <w:p w14:paraId="0FA8006F">
            <w:pPr>
              <w:pStyle w:val="8"/>
              <w:widowControl/>
              <w:spacing w:line="240" w:lineRule="auto"/>
              <w:ind w:firstLine="0" w:firstLineChars="0"/>
              <w:rPr>
                <w:rFonts w:cs="Times New Roman"/>
              </w:rPr>
            </w:pPr>
            <w:r>
              <w:rPr>
                <w:rFonts w:cs="Times New Roman"/>
                <w:color w:val="000000"/>
              </w:rPr>
              <w:t>C</w:t>
            </w:r>
            <w:r>
              <w:rPr>
                <w:rFonts w:cs="Times New Roman"/>
                <w:color w:val="000000"/>
                <w:vertAlign w:val="subscript"/>
              </w:rPr>
              <w:t>17:1</w:t>
            </w:r>
            <w:r>
              <w:rPr>
                <w:rFonts w:cs="Times New Roman"/>
                <w:color w:val="000000"/>
              </w:rPr>
              <w:t xml:space="preserve"> ω8c</w:t>
            </w:r>
          </w:p>
        </w:tc>
        <w:tc>
          <w:tcPr>
            <w:tcW w:w="1455" w:type="pct"/>
            <w:tcBorders>
              <w:tl2br w:val="nil"/>
              <w:tr2bl w:val="nil"/>
            </w:tcBorders>
            <w:shd w:val="clear" w:color="auto" w:fill="auto"/>
            <w:tcMar>
              <w:left w:w="108" w:type="dxa"/>
              <w:right w:w="108" w:type="dxa"/>
            </w:tcMar>
            <w:vAlign w:val="center"/>
          </w:tcPr>
          <w:p w14:paraId="3DC543EE">
            <w:pPr>
              <w:pStyle w:val="8"/>
              <w:widowControl/>
              <w:spacing w:line="240" w:lineRule="auto"/>
              <w:ind w:firstLine="0" w:firstLineChars="0"/>
              <w:jc w:val="center"/>
              <w:rPr>
                <w:rFonts w:cs="Times New Roman"/>
              </w:rPr>
            </w:pPr>
            <w:r>
              <w:rPr>
                <w:rFonts w:cs="Times New Roman"/>
                <w:color w:val="000000"/>
              </w:rPr>
              <w:t>2.91</w:t>
            </w:r>
          </w:p>
        </w:tc>
      </w:tr>
      <w:tr w14:paraId="1886742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5D7A2757">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18:1</w:t>
            </w:r>
            <w:r>
              <w:rPr>
                <w:rFonts w:cs="Times New Roman"/>
                <w:color w:val="000000"/>
              </w:rPr>
              <w:t xml:space="preserve"> iso H</w:t>
            </w:r>
          </w:p>
        </w:tc>
        <w:tc>
          <w:tcPr>
            <w:tcW w:w="1455" w:type="pct"/>
            <w:tcBorders>
              <w:tl2br w:val="nil"/>
              <w:tr2bl w:val="nil"/>
            </w:tcBorders>
            <w:shd w:val="clear" w:color="auto" w:fill="auto"/>
            <w:tcMar>
              <w:left w:w="108" w:type="dxa"/>
              <w:right w:w="108" w:type="dxa"/>
            </w:tcMar>
            <w:vAlign w:val="center"/>
          </w:tcPr>
          <w:p w14:paraId="3490AFA2">
            <w:pPr>
              <w:pStyle w:val="8"/>
              <w:widowControl/>
              <w:spacing w:line="240" w:lineRule="auto"/>
              <w:ind w:firstLine="0" w:firstLineChars="0"/>
              <w:jc w:val="center"/>
              <w:rPr>
                <w:rFonts w:cs="Times New Roman"/>
              </w:rPr>
            </w:pPr>
            <w:r>
              <w:rPr>
                <w:rFonts w:cs="Times New Roman"/>
              </w:rPr>
              <w:t>TR</w:t>
            </w:r>
          </w:p>
        </w:tc>
      </w:tr>
      <w:tr w14:paraId="503F960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2CF2A32E">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20:4</w:t>
            </w:r>
            <w:r>
              <w:rPr>
                <w:rFonts w:cs="Times New Roman"/>
                <w:color w:val="000000"/>
              </w:rPr>
              <w:t xml:space="preserve"> ω6,9,12,15c</w:t>
            </w:r>
          </w:p>
        </w:tc>
        <w:tc>
          <w:tcPr>
            <w:tcW w:w="1455" w:type="pct"/>
            <w:tcBorders>
              <w:tl2br w:val="nil"/>
              <w:tr2bl w:val="nil"/>
            </w:tcBorders>
            <w:shd w:val="clear" w:color="auto" w:fill="auto"/>
            <w:tcMar>
              <w:left w:w="108" w:type="dxa"/>
              <w:right w:w="108" w:type="dxa"/>
            </w:tcMar>
            <w:vAlign w:val="center"/>
          </w:tcPr>
          <w:p w14:paraId="2C7AAE4C">
            <w:pPr>
              <w:pStyle w:val="8"/>
              <w:widowControl/>
              <w:spacing w:line="240" w:lineRule="auto"/>
              <w:ind w:firstLine="0" w:firstLineChars="0"/>
              <w:jc w:val="center"/>
              <w:rPr>
                <w:rFonts w:cs="Times New Roman"/>
              </w:rPr>
            </w:pPr>
            <w:r>
              <w:rPr>
                <w:rFonts w:cs="Times New Roman"/>
              </w:rPr>
              <w:t>TR</w:t>
            </w:r>
          </w:p>
        </w:tc>
      </w:tr>
      <w:tr w14:paraId="044E254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40E788B6">
            <w:pPr>
              <w:pStyle w:val="8"/>
              <w:widowControl/>
              <w:spacing w:line="240" w:lineRule="auto"/>
              <w:ind w:firstLine="0" w:firstLineChars="0"/>
              <w:rPr>
                <w:rFonts w:cs="Times New Roman"/>
                <w:color w:val="000000"/>
              </w:rPr>
            </w:pPr>
            <w:r>
              <w:rPr>
                <w:rFonts w:cs="Times New Roman"/>
                <w:b/>
                <w:bCs/>
                <w:color w:val="000000"/>
              </w:rPr>
              <w:t>CYCLO</w:t>
            </w:r>
          </w:p>
        </w:tc>
        <w:tc>
          <w:tcPr>
            <w:tcW w:w="1455" w:type="pct"/>
            <w:tcBorders>
              <w:tl2br w:val="nil"/>
              <w:tr2bl w:val="nil"/>
            </w:tcBorders>
            <w:shd w:val="clear" w:color="auto" w:fill="auto"/>
            <w:tcMar>
              <w:left w:w="108" w:type="dxa"/>
              <w:right w:w="108" w:type="dxa"/>
            </w:tcMar>
            <w:vAlign w:val="center"/>
          </w:tcPr>
          <w:p w14:paraId="4E48DD7D">
            <w:pPr>
              <w:pStyle w:val="8"/>
              <w:widowControl/>
              <w:spacing w:line="240" w:lineRule="auto"/>
              <w:ind w:firstLine="0" w:firstLineChars="0"/>
              <w:jc w:val="center"/>
              <w:rPr>
                <w:rFonts w:cs="Times New Roman"/>
                <w:b/>
                <w:bCs/>
                <w:color w:val="000000"/>
              </w:rPr>
            </w:pPr>
          </w:p>
        </w:tc>
      </w:tr>
      <w:tr w14:paraId="3180B86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6628F0FF">
            <w:pPr>
              <w:pStyle w:val="8"/>
              <w:widowControl/>
              <w:spacing w:line="240" w:lineRule="auto"/>
              <w:ind w:firstLine="0" w:firstLineChars="0"/>
              <w:rPr>
                <w:rFonts w:cs="Times New Roman"/>
              </w:rPr>
            </w:pPr>
            <w:r>
              <w:rPr>
                <w:rFonts w:hint="eastAsia" w:cs="Times New Roman"/>
                <w:color w:val="000000"/>
              </w:rPr>
              <w:t>C</w:t>
            </w:r>
            <w:r>
              <w:rPr>
                <w:rFonts w:cs="Times New Roman"/>
                <w:color w:val="000000"/>
                <w:vertAlign w:val="subscript"/>
              </w:rPr>
              <w:t>17:0</w:t>
            </w:r>
            <w:r>
              <w:rPr>
                <w:rFonts w:cs="Times New Roman"/>
                <w:color w:val="000000"/>
              </w:rPr>
              <w:t xml:space="preserve"> cyclo</w:t>
            </w:r>
          </w:p>
        </w:tc>
        <w:tc>
          <w:tcPr>
            <w:tcW w:w="1455" w:type="pct"/>
            <w:tcBorders>
              <w:tl2br w:val="nil"/>
              <w:tr2bl w:val="nil"/>
            </w:tcBorders>
            <w:shd w:val="clear" w:color="auto" w:fill="auto"/>
            <w:tcMar>
              <w:left w:w="108" w:type="dxa"/>
              <w:right w:w="108" w:type="dxa"/>
            </w:tcMar>
            <w:vAlign w:val="center"/>
          </w:tcPr>
          <w:p w14:paraId="6DF785D8">
            <w:pPr>
              <w:pStyle w:val="8"/>
              <w:widowControl/>
              <w:spacing w:line="240" w:lineRule="auto"/>
              <w:ind w:firstLine="0" w:firstLineChars="0"/>
              <w:jc w:val="center"/>
              <w:rPr>
                <w:rFonts w:cs="Times New Roman"/>
              </w:rPr>
            </w:pPr>
            <w:r>
              <w:rPr>
                <w:rFonts w:cs="Times New Roman"/>
                <w:b/>
                <w:bCs/>
                <w:color w:val="000000"/>
              </w:rPr>
              <w:t>14.7</w:t>
            </w:r>
          </w:p>
        </w:tc>
      </w:tr>
      <w:tr w14:paraId="1E835CC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389924A7">
            <w:pPr>
              <w:pStyle w:val="8"/>
              <w:widowControl/>
              <w:spacing w:line="240" w:lineRule="auto"/>
              <w:ind w:firstLine="0" w:firstLineChars="0"/>
              <w:rPr>
                <w:rFonts w:cs="Times New Roman"/>
                <w:color w:val="000000"/>
              </w:rPr>
            </w:pPr>
            <w:r>
              <w:rPr>
                <w:rFonts w:cs="Times New Roman"/>
                <w:b/>
                <w:bCs/>
                <w:color w:val="000000"/>
              </w:rPr>
              <w:t>Summed Feature</w:t>
            </w:r>
            <w:r>
              <w:rPr>
                <w:rFonts w:cs="Times New Roman"/>
                <w:b/>
                <w:bCs/>
              </w:rPr>
              <w:t>*</w:t>
            </w:r>
          </w:p>
        </w:tc>
        <w:tc>
          <w:tcPr>
            <w:tcW w:w="1455" w:type="pct"/>
            <w:tcBorders>
              <w:tl2br w:val="nil"/>
              <w:tr2bl w:val="nil"/>
            </w:tcBorders>
            <w:shd w:val="clear" w:color="auto" w:fill="auto"/>
            <w:tcMar>
              <w:left w:w="108" w:type="dxa"/>
              <w:right w:w="108" w:type="dxa"/>
            </w:tcMar>
            <w:vAlign w:val="center"/>
          </w:tcPr>
          <w:p w14:paraId="6C767D4A">
            <w:pPr>
              <w:pStyle w:val="8"/>
              <w:widowControl/>
              <w:spacing w:line="240" w:lineRule="auto"/>
              <w:ind w:firstLine="0" w:firstLineChars="0"/>
              <w:jc w:val="center"/>
              <w:rPr>
                <w:rFonts w:cs="Times New Roman"/>
                <w:color w:val="000000"/>
              </w:rPr>
            </w:pPr>
          </w:p>
        </w:tc>
      </w:tr>
      <w:tr w14:paraId="22C9927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459AB160">
            <w:pPr>
              <w:pStyle w:val="8"/>
              <w:widowControl/>
              <w:spacing w:line="240" w:lineRule="auto"/>
              <w:ind w:firstLine="0" w:firstLineChars="0"/>
              <w:rPr>
                <w:rFonts w:cs="Times New Roman"/>
              </w:rPr>
            </w:pPr>
            <w:r>
              <w:rPr>
                <w:rFonts w:cs="Times New Roman"/>
                <w:color w:val="000000"/>
              </w:rPr>
              <w:t>Summed Feature 1 (</w:t>
            </w:r>
            <w:r>
              <w:rPr>
                <w:rFonts w:hint="eastAsia" w:cs="Times New Roman"/>
                <w:color w:val="000000"/>
              </w:rPr>
              <w:t>C</w:t>
            </w:r>
            <w:r>
              <w:rPr>
                <w:rFonts w:cs="Times New Roman"/>
                <w:color w:val="000000"/>
                <w:vertAlign w:val="subscript"/>
              </w:rPr>
              <w:t>13:0</w:t>
            </w:r>
            <w:r>
              <w:rPr>
                <w:rFonts w:cs="Times New Roman"/>
                <w:color w:val="000000"/>
              </w:rPr>
              <w:t xml:space="preserve"> 3OH/</w:t>
            </w:r>
            <w:r>
              <w:rPr>
                <w:rFonts w:hint="eastAsia" w:cs="Times New Roman"/>
                <w:color w:val="000000"/>
              </w:rPr>
              <w:t>C</w:t>
            </w:r>
            <w:r>
              <w:rPr>
                <w:rFonts w:cs="Times New Roman"/>
                <w:color w:val="000000"/>
                <w:vertAlign w:val="subscript"/>
              </w:rPr>
              <w:t>15:1</w:t>
            </w:r>
            <w:r>
              <w:rPr>
                <w:rFonts w:cs="Times New Roman"/>
                <w:color w:val="000000"/>
              </w:rPr>
              <w:t xml:space="preserve"> iso H)</w:t>
            </w:r>
          </w:p>
        </w:tc>
        <w:tc>
          <w:tcPr>
            <w:tcW w:w="1455" w:type="pct"/>
            <w:tcBorders>
              <w:tl2br w:val="nil"/>
              <w:tr2bl w:val="nil"/>
            </w:tcBorders>
            <w:shd w:val="clear" w:color="auto" w:fill="auto"/>
            <w:tcMar>
              <w:left w:w="108" w:type="dxa"/>
              <w:right w:w="108" w:type="dxa"/>
            </w:tcMar>
            <w:vAlign w:val="center"/>
          </w:tcPr>
          <w:p w14:paraId="03BABF18">
            <w:pPr>
              <w:pStyle w:val="8"/>
              <w:widowControl/>
              <w:spacing w:line="240" w:lineRule="auto"/>
              <w:ind w:firstLine="0" w:firstLineChars="0"/>
              <w:jc w:val="center"/>
              <w:rPr>
                <w:rFonts w:cs="Times New Roman"/>
              </w:rPr>
            </w:pPr>
            <w:r>
              <w:rPr>
                <w:rFonts w:cs="Times New Roman"/>
                <w:color w:val="000000"/>
              </w:rPr>
              <w:t>3.75</w:t>
            </w:r>
          </w:p>
        </w:tc>
      </w:tr>
      <w:tr w14:paraId="2155289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155E6AD1">
            <w:pPr>
              <w:pStyle w:val="8"/>
              <w:widowControl/>
              <w:spacing w:line="240" w:lineRule="auto"/>
              <w:ind w:firstLine="0" w:firstLineChars="0"/>
              <w:rPr>
                <w:rFonts w:cs="Times New Roman"/>
              </w:rPr>
            </w:pPr>
            <w:r>
              <w:rPr>
                <w:rFonts w:cs="Times New Roman"/>
                <w:color w:val="000000"/>
              </w:rPr>
              <w:t>Summed Feature 2 (</w:t>
            </w:r>
            <w:r>
              <w:rPr>
                <w:rFonts w:hint="eastAsia" w:cs="Times New Roman"/>
                <w:color w:val="000000"/>
              </w:rPr>
              <w:t>C</w:t>
            </w:r>
            <w:r>
              <w:rPr>
                <w:rFonts w:cs="Times New Roman"/>
                <w:color w:val="000000"/>
                <w:vertAlign w:val="subscript"/>
              </w:rPr>
              <w:t>14:0</w:t>
            </w:r>
            <w:r>
              <w:rPr>
                <w:rFonts w:cs="Times New Roman"/>
                <w:color w:val="000000"/>
              </w:rPr>
              <w:t xml:space="preserve"> 3OH/</w:t>
            </w:r>
            <w:r>
              <w:rPr>
                <w:rFonts w:hint="eastAsia" w:cs="Times New Roman"/>
                <w:color w:val="000000"/>
              </w:rPr>
              <w:t>C</w:t>
            </w:r>
            <w:r>
              <w:rPr>
                <w:rFonts w:cs="Times New Roman"/>
                <w:color w:val="000000"/>
                <w:vertAlign w:val="subscript"/>
              </w:rPr>
              <w:t>16:1</w:t>
            </w:r>
            <w:r>
              <w:rPr>
                <w:rFonts w:cs="Times New Roman"/>
                <w:color w:val="000000"/>
              </w:rPr>
              <w:t xml:space="preserve"> iso I)</w:t>
            </w:r>
          </w:p>
        </w:tc>
        <w:tc>
          <w:tcPr>
            <w:tcW w:w="1455" w:type="pct"/>
            <w:tcBorders>
              <w:tl2br w:val="nil"/>
              <w:tr2bl w:val="nil"/>
            </w:tcBorders>
            <w:shd w:val="clear" w:color="auto" w:fill="auto"/>
            <w:tcMar>
              <w:left w:w="108" w:type="dxa"/>
              <w:right w:w="108" w:type="dxa"/>
            </w:tcMar>
            <w:vAlign w:val="center"/>
          </w:tcPr>
          <w:p w14:paraId="50CA6303">
            <w:pPr>
              <w:pStyle w:val="8"/>
              <w:widowControl/>
              <w:spacing w:line="240" w:lineRule="auto"/>
              <w:ind w:firstLine="0" w:firstLineChars="0"/>
              <w:jc w:val="center"/>
              <w:rPr>
                <w:rFonts w:cs="Times New Roman"/>
              </w:rPr>
            </w:pPr>
            <w:r>
              <w:rPr>
                <w:rFonts w:cs="Times New Roman"/>
                <w:color w:val="000000"/>
              </w:rPr>
              <w:t>6.49</w:t>
            </w:r>
          </w:p>
        </w:tc>
      </w:tr>
      <w:tr w14:paraId="5D6239E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2F5A3F89">
            <w:pPr>
              <w:pStyle w:val="8"/>
              <w:widowControl/>
              <w:spacing w:line="240" w:lineRule="auto"/>
              <w:ind w:firstLine="0" w:firstLineChars="0"/>
              <w:rPr>
                <w:rFonts w:cs="Times New Roman"/>
              </w:rPr>
            </w:pPr>
            <w:r>
              <w:rPr>
                <w:rFonts w:cs="Times New Roman"/>
                <w:color w:val="000000"/>
              </w:rPr>
              <w:t>Summed Feature 3 (</w:t>
            </w:r>
            <w:r>
              <w:rPr>
                <w:rFonts w:hint="eastAsia" w:cs="Times New Roman"/>
                <w:color w:val="000000"/>
              </w:rPr>
              <w:t>C</w:t>
            </w:r>
            <w:r>
              <w:rPr>
                <w:rFonts w:cs="Times New Roman"/>
                <w:color w:val="000000"/>
                <w:vertAlign w:val="subscript"/>
              </w:rPr>
              <w:t>16:1</w:t>
            </w:r>
            <w:r>
              <w:rPr>
                <w:rFonts w:cs="Times New Roman"/>
                <w:color w:val="000000"/>
              </w:rPr>
              <w:t xml:space="preserve"> w7c/</w:t>
            </w:r>
            <w:r>
              <w:rPr>
                <w:rFonts w:hint="eastAsia" w:cs="Times New Roman"/>
                <w:color w:val="000000"/>
              </w:rPr>
              <w:t>C</w:t>
            </w:r>
            <w:r>
              <w:rPr>
                <w:rFonts w:cs="Times New Roman"/>
                <w:color w:val="000000"/>
                <w:vertAlign w:val="subscript"/>
              </w:rPr>
              <w:t>16:1</w:t>
            </w:r>
            <w:r>
              <w:rPr>
                <w:rFonts w:cs="Times New Roman"/>
                <w:color w:val="000000"/>
              </w:rPr>
              <w:t xml:space="preserve"> w6c)</w:t>
            </w:r>
          </w:p>
        </w:tc>
        <w:tc>
          <w:tcPr>
            <w:tcW w:w="1455" w:type="pct"/>
            <w:tcBorders>
              <w:tl2br w:val="nil"/>
              <w:tr2bl w:val="nil"/>
            </w:tcBorders>
            <w:shd w:val="clear" w:color="auto" w:fill="auto"/>
            <w:tcMar>
              <w:left w:w="108" w:type="dxa"/>
              <w:right w:w="108" w:type="dxa"/>
            </w:tcMar>
            <w:vAlign w:val="center"/>
          </w:tcPr>
          <w:p w14:paraId="21F4A820">
            <w:pPr>
              <w:pStyle w:val="8"/>
              <w:widowControl/>
              <w:spacing w:line="240" w:lineRule="auto"/>
              <w:ind w:firstLine="0" w:firstLineChars="0"/>
              <w:jc w:val="center"/>
              <w:rPr>
                <w:rFonts w:cs="Times New Roman"/>
              </w:rPr>
            </w:pPr>
            <w:r>
              <w:rPr>
                <w:rFonts w:cs="Times New Roman"/>
                <w:color w:val="000000"/>
              </w:rPr>
              <w:t>4.5</w:t>
            </w:r>
          </w:p>
        </w:tc>
      </w:tr>
      <w:tr w14:paraId="2114B78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0C7AEC29">
            <w:pPr>
              <w:pStyle w:val="8"/>
              <w:widowControl/>
              <w:spacing w:line="240" w:lineRule="auto"/>
              <w:ind w:firstLine="0" w:firstLineChars="0"/>
              <w:rPr>
                <w:rFonts w:cs="Times New Roman"/>
              </w:rPr>
            </w:pPr>
            <w:r>
              <w:rPr>
                <w:rFonts w:cs="Times New Roman"/>
                <w:color w:val="000000"/>
              </w:rPr>
              <w:t>Summed Feature 5 (</w:t>
            </w:r>
            <w:r>
              <w:rPr>
                <w:rFonts w:hint="eastAsia" w:cs="Times New Roman"/>
                <w:color w:val="000000"/>
              </w:rPr>
              <w:t>C</w:t>
            </w:r>
            <w:r>
              <w:rPr>
                <w:rFonts w:cs="Times New Roman"/>
                <w:color w:val="000000"/>
                <w:vertAlign w:val="subscript"/>
              </w:rPr>
              <w:t>18:0</w:t>
            </w:r>
            <w:r>
              <w:rPr>
                <w:rFonts w:cs="Times New Roman"/>
                <w:color w:val="000000"/>
              </w:rPr>
              <w:t xml:space="preserve"> ante /</w:t>
            </w:r>
            <w:r>
              <w:rPr>
                <w:rFonts w:hint="eastAsia" w:cs="Times New Roman"/>
                <w:color w:val="000000"/>
              </w:rPr>
              <w:t>C</w:t>
            </w:r>
            <w:r>
              <w:rPr>
                <w:rFonts w:cs="Times New Roman"/>
                <w:color w:val="000000"/>
                <w:vertAlign w:val="subscript"/>
              </w:rPr>
              <w:t>18:2</w:t>
            </w:r>
            <w:r>
              <w:rPr>
                <w:rFonts w:cs="Times New Roman"/>
                <w:color w:val="000000"/>
              </w:rPr>
              <w:t xml:space="preserve"> w6,9c)</w:t>
            </w:r>
          </w:p>
        </w:tc>
        <w:tc>
          <w:tcPr>
            <w:tcW w:w="1455" w:type="pct"/>
            <w:tcBorders>
              <w:tl2br w:val="nil"/>
              <w:tr2bl w:val="nil"/>
            </w:tcBorders>
            <w:shd w:val="clear" w:color="auto" w:fill="auto"/>
            <w:tcMar>
              <w:left w:w="108" w:type="dxa"/>
              <w:right w:w="108" w:type="dxa"/>
            </w:tcMar>
            <w:vAlign w:val="center"/>
          </w:tcPr>
          <w:p w14:paraId="4F61D1C8">
            <w:pPr>
              <w:pStyle w:val="8"/>
              <w:widowControl/>
              <w:spacing w:line="240" w:lineRule="auto"/>
              <w:ind w:firstLine="0" w:firstLineChars="0"/>
              <w:jc w:val="center"/>
              <w:rPr>
                <w:rFonts w:cs="Times New Roman"/>
              </w:rPr>
            </w:pPr>
            <w:r>
              <w:rPr>
                <w:rFonts w:cs="Times New Roman"/>
              </w:rPr>
              <w:t>TR</w:t>
            </w:r>
          </w:p>
        </w:tc>
      </w:tr>
      <w:tr w14:paraId="1DFA954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0367DD73">
            <w:pPr>
              <w:pStyle w:val="8"/>
              <w:widowControl/>
              <w:spacing w:line="240" w:lineRule="auto"/>
              <w:ind w:firstLine="0" w:firstLineChars="0"/>
              <w:rPr>
                <w:rFonts w:cs="Times New Roman"/>
              </w:rPr>
            </w:pPr>
            <w:r>
              <w:rPr>
                <w:rFonts w:cs="Times New Roman"/>
                <w:color w:val="000000"/>
              </w:rPr>
              <w:t>Summed Feature 7 (</w:t>
            </w:r>
            <w:r>
              <w:rPr>
                <w:rFonts w:hint="eastAsia" w:cs="Times New Roman"/>
                <w:color w:val="000000"/>
              </w:rPr>
              <w:t>C</w:t>
            </w:r>
            <w:r>
              <w:rPr>
                <w:rFonts w:cs="Times New Roman"/>
                <w:color w:val="000000"/>
                <w:vertAlign w:val="subscript"/>
              </w:rPr>
              <w:t>19:0</w:t>
            </w:r>
            <w:r>
              <w:rPr>
                <w:rFonts w:cs="Times New Roman"/>
                <w:color w:val="000000"/>
              </w:rPr>
              <w:t xml:space="preserve"> cyclo w10c/</w:t>
            </w:r>
            <w:r>
              <w:rPr>
                <w:rFonts w:hint="eastAsia" w:cs="Times New Roman"/>
                <w:color w:val="000000"/>
              </w:rPr>
              <w:t>C</w:t>
            </w:r>
            <w:r>
              <w:rPr>
                <w:rFonts w:cs="Times New Roman"/>
                <w:color w:val="000000"/>
                <w:vertAlign w:val="subscript"/>
              </w:rPr>
              <w:t>19:1</w:t>
            </w:r>
            <w:r>
              <w:rPr>
                <w:rFonts w:cs="Times New Roman"/>
                <w:color w:val="000000"/>
              </w:rPr>
              <w:t xml:space="preserve"> ω6c)</w:t>
            </w:r>
          </w:p>
        </w:tc>
        <w:tc>
          <w:tcPr>
            <w:tcW w:w="1455" w:type="pct"/>
            <w:tcBorders>
              <w:tl2br w:val="nil"/>
              <w:tr2bl w:val="nil"/>
            </w:tcBorders>
            <w:shd w:val="clear" w:color="auto" w:fill="auto"/>
            <w:tcMar>
              <w:left w:w="108" w:type="dxa"/>
              <w:right w:w="108" w:type="dxa"/>
            </w:tcMar>
            <w:vAlign w:val="center"/>
          </w:tcPr>
          <w:p w14:paraId="74E64DA2">
            <w:pPr>
              <w:pStyle w:val="8"/>
              <w:widowControl/>
              <w:spacing w:line="240" w:lineRule="auto"/>
              <w:ind w:firstLine="0" w:firstLineChars="0"/>
              <w:jc w:val="center"/>
              <w:rPr>
                <w:rFonts w:cs="Times New Roman"/>
              </w:rPr>
            </w:pPr>
            <w:r>
              <w:rPr>
                <w:rFonts w:cs="Times New Roman"/>
              </w:rPr>
              <w:t>TR</w:t>
            </w:r>
          </w:p>
        </w:tc>
      </w:tr>
      <w:tr w14:paraId="06047C0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200" w:hRule="atLeast"/>
          <w:tblHeader/>
        </w:trPr>
        <w:tc>
          <w:tcPr>
            <w:tcW w:w="3544" w:type="pct"/>
            <w:tcBorders>
              <w:tl2br w:val="nil"/>
              <w:tr2bl w:val="nil"/>
            </w:tcBorders>
            <w:shd w:val="clear" w:color="auto" w:fill="auto"/>
            <w:tcMar>
              <w:left w:w="108" w:type="dxa"/>
              <w:right w:w="108" w:type="dxa"/>
            </w:tcMar>
            <w:vAlign w:val="center"/>
          </w:tcPr>
          <w:p w14:paraId="7FA56756">
            <w:pPr>
              <w:pStyle w:val="8"/>
              <w:widowControl/>
              <w:spacing w:line="240" w:lineRule="auto"/>
              <w:ind w:firstLine="0" w:firstLineChars="0"/>
              <w:rPr>
                <w:rFonts w:cs="Times New Roman"/>
              </w:rPr>
            </w:pPr>
            <w:r>
              <w:rPr>
                <w:rFonts w:cs="Times New Roman"/>
                <w:color w:val="000000"/>
              </w:rPr>
              <w:t>Summed Feature 8 (</w:t>
            </w:r>
            <w:r>
              <w:rPr>
                <w:rFonts w:hint="eastAsia" w:cs="Times New Roman"/>
                <w:color w:val="000000"/>
              </w:rPr>
              <w:t>C</w:t>
            </w:r>
            <w:r>
              <w:rPr>
                <w:rFonts w:cs="Times New Roman"/>
                <w:color w:val="000000"/>
                <w:vertAlign w:val="subscript"/>
              </w:rPr>
              <w:t>18:1</w:t>
            </w:r>
            <w:r>
              <w:rPr>
                <w:rFonts w:cs="Times New Roman"/>
                <w:color w:val="000000"/>
              </w:rPr>
              <w:t xml:space="preserve"> w7c/</w:t>
            </w:r>
            <w:r>
              <w:rPr>
                <w:rFonts w:hint="eastAsia" w:cs="Times New Roman"/>
                <w:color w:val="000000"/>
              </w:rPr>
              <w:t>C</w:t>
            </w:r>
            <w:r>
              <w:rPr>
                <w:rFonts w:cs="Times New Roman"/>
                <w:color w:val="000000"/>
                <w:vertAlign w:val="subscript"/>
              </w:rPr>
              <w:t>18:1</w:t>
            </w:r>
            <w:r>
              <w:rPr>
                <w:rFonts w:cs="Times New Roman"/>
                <w:color w:val="000000"/>
              </w:rPr>
              <w:t xml:space="preserve"> w6c)</w:t>
            </w:r>
          </w:p>
        </w:tc>
        <w:tc>
          <w:tcPr>
            <w:tcW w:w="1455" w:type="pct"/>
            <w:tcBorders>
              <w:tl2br w:val="nil"/>
              <w:tr2bl w:val="nil"/>
            </w:tcBorders>
            <w:shd w:val="clear" w:color="auto" w:fill="auto"/>
            <w:tcMar>
              <w:left w:w="108" w:type="dxa"/>
              <w:right w:w="108" w:type="dxa"/>
            </w:tcMar>
            <w:vAlign w:val="center"/>
          </w:tcPr>
          <w:p w14:paraId="2BBA85DA">
            <w:pPr>
              <w:pStyle w:val="8"/>
              <w:widowControl/>
              <w:spacing w:line="240" w:lineRule="auto"/>
              <w:ind w:firstLine="0" w:firstLineChars="0"/>
              <w:jc w:val="center"/>
              <w:rPr>
                <w:rFonts w:cs="Times New Roman"/>
              </w:rPr>
            </w:pPr>
            <w:r>
              <w:rPr>
                <w:rFonts w:cs="Times New Roman"/>
                <w:color w:val="000000"/>
              </w:rPr>
              <w:t>7.62</w:t>
            </w:r>
          </w:p>
        </w:tc>
      </w:tr>
    </w:tbl>
    <w:p w14:paraId="0D8BF857">
      <w:pPr>
        <w:ind w:left="0" w:leftChars="0" w:firstLine="0" w:firstLineChars="0"/>
        <w:sectPr>
          <w:pgSz w:w="11906" w:h="16838"/>
          <w:pgMar w:top="1440" w:right="1440" w:bottom="1440" w:left="1440" w:header="851" w:footer="992" w:gutter="0"/>
          <w:pgBorders>
            <w:top w:val="none" w:sz="0" w:space="0"/>
            <w:left w:val="none" w:sz="0" w:space="0"/>
            <w:bottom w:val="none" w:sz="0" w:space="0"/>
            <w:right w:val="none" w:sz="0" w:space="0"/>
          </w:pgBorders>
          <w:cols w:space="0" w:num="1"/>
          <w:docGrid w:type="lines" w:linePitch="312" w:charSpace="0"/>
        </w:sectPr>
      </w:pPr>
    </w:p>
    <w:p w14:paraId="19FCD4EB">
      <w:pPr>
        <w:ind w:left="0" w:leftChars="0" w:firstLine="0" w:firstLineChars="0"/>
        <w:sectPr>
          <w:type w:val="continuous"/>
          <w:pgSz w:w="11906" w:h="16838"/>
          <w:pgMar w:top="1440" w:right="1440" w:bottom="1440" w:left="1440" w:header="851" w:footer="992" w:gutter="0"/>
          <w:pgBorders>
            <w:top w:val="none" w:sz="0" w:space="0"/>
            <w:left w:val="none" w:sz="0" w:space="0"/>
            <w:bottom w:val="none" w:sz="0" w:space="0"/>
            <w:right w:val="none" w:sz="0" w:space="0"/>
          </w:pgBorders>
          <w:cols w:space="0" w:num="1"/>
          <w:docGrid w:type="lines" w:linePitch="312" w:charSpace="0"/>
        </w:sectPr>
      </w:pPr>
    </w:p>
    <w:p w14:paraId="583DBDA3">
      <w:pPr>
        <w:ind w:left="0" w:leftChars="0" w:firstLine="0" w:firstLineChars="0"/>
        <w:rPr>
          <w:rFonts w:cs="Times New Roman"/>
          <w:vertAlign w:val="superscript"/>
        </w:rPr>
      </w:pPr>
      <w:r>
        <w:rPr>
          <w:rFonts w:cs="Times New Roman"/>
          <w:b/>
          <w:bCs/>
        </w:rPr>
        <w:t>Table S</w:t>
      </w:r>
      <w:r>
        <w:rPr>
          <w:rFonts w:hint="eastAsia" w:cs="Times New Roman"/>
          <w:b/>
          <w:bCs/>
          <w:lang w:val="en-US" w:eastAsia="zh-CN"/>
        </w:rPr>
        <w:t>4</w:t>
      </w:r>
      <w:r>
        <w:rPr>
          <w:rFonts w:cs="Times New Roman"/>
          <w:b/>
          <w:bCs/>
        </w:rPr>
        <w:t xml:space="preserve">. </w:t>
      </w:r>
      <w:r>
        <w:rPr>
          <w:rFonts w:hint="eastAsia" w:cs="Times New Roman"/>
          <w:b w:val="0"/>
          <w:bCs w:val="0"/>
        </w:rPr>
        <w:t xml:space="preserve">Antioxidant-related genes identified in the genome of strain </w:t>
      </w:r>
      <w:r>
        <w:rPr>
          <w:rFonts w:cs="Times New Roman"/>
          <w:b w:val="0"/>
          <w:bCs w:val="0"/>
        </w:rPr>
        <w:t>SF1</w:t>
      </w:r>
      <w:r>
        <w:rPr>
          <w:rFonts w:cs="Times New Roman"/>
          <w:b w:val="0"/>
          <w:bCs w:val="0"/>
          <w:vertAlign w:val="superscript"/>
        </w:rPr>
        <w:t>T</w:t>
      </w:r>
    </w:p>
    <w:p w14:paraId="40F76E32">
      <w:pPr>
        <w:ind w:firstLine="0" w:firstLineChars="0"/>
        <w:rPr>
          <w:rFonts w:ascii="Times New Roman" w:hAnsi="Times New Roman" w:eastAsia="宋体" w:cs="Times New Roman"/>
        </w:rPr>
      </w:pPr>
      <w:r>
        <w:rPr>
          <w:rFonts w:hint="eastAsia" w:ascii="Times New Roman" w:hAnsi="Times New Roman" w:eastAsia="宋体" w:cs="Times New Roman"/>
        </w:rPr>
        <w:t xml:space="preserve">Abbreviations: KO, KEGG Orthology; SOD, superoxide dismutase; </w:t>
      </w:r>
      <w:r>
        <w:rPr>
          <w:rFonts w:hint="eastAsia" w:ascii="Times New Roman" w:hAnsi="Times New Roman" w:eastAsia="宋体" w:cs="Times New Roman"/>
          <w:i/>
          <w:iCs/>
        </w:rPr>
        <w:t>Trx</w:t>
      </w:r>
      <w:r>
        <w:rPr>
          <w:rFonts w:hint="eastAsia" w:ascii="Times New Roman" w:hAnsi="Times New Roman" w:eastAsia="宋体" w:cs="Times New Roman"/>
        </w:rPr>
        <w:t xml:space="preserve">, thioredoxin; </w:t>
      </w:r>
      <w:r>
        <w:rPr>
          <w:rFonts w:hint="eastAsia" w:ascii="Times New Roman" w:hAnsi="Times New Roman" w:eastAsia="宋体" w:cs="Times New Roman"/>
          <w:i/>
          <w:iCs/>
        </w:rPr>
        <w:t>TrxB,</w:t>
      </w:r>
      <w:r>
        <w:rPr>
          <w:rFonts w:hint="eastAsia" w:ascii="Times New Roman" w:hAnsi="Times New Roman" w:eastAsia="宋体" w:cs="Times New Roman"/>
        </w:rPr>
        <w:t xml:space="preserve"> thioredoxin reductase; </w:t>
      </w:r>
      <w:r>
        <w:rPr>
          <w:rFonts w:hint="eastAsia" w:ascii="Times New Roman" w:hAnsi="Times New Roman" w:eastAsia="宋体" w:cs="Times New Roman"/>
          <w:i/>
          <w:iCs/>
        </w:rPr>
        <w:t>Tpx</w:t>
      </w:r>
      <w:r>
        <w:rPr>
          <w:rFonts w:hint="eastAsia" w:ascii="Times New Roman" w:hAnsi="Times New Roman" w:eastAsia="宋体" w:cs="Times New Roman"/>
        </w:rPr>
        <w:t xml:space="preserve">, thiol peroxidase; </w:t>
      </w:r>
      <w:r>
        <w:rPr>
          <w:rFonts w:hint="eastAsia" w:ascii="Times New Roman" w:hAnsi="Times New Roman" w:eastAsia="宋体" w:cs="Times New Roman"/>
          <w:i/>
          <w:iCs/>
        </w:rPr>
        <w:t>Dps</w:t>
      </w:r>
      <w:r>
        <w:rPr>
          <w:rFonts w:hint="eastAsia" w:ascii="Times New Roman" w:hAnsi="Times New Roman" w:eastAsia="宋体" w:cs="Times New Roman"/>
        </w:rPr>
        <w:t xml:space="preserve">, DNA-binding protein; </w:t>
      </w:r>
      <w:r>
        <w:rPr>
          <w:rFonts w:hint="eastAsia" w:ascii="Times New Roman" w:hAnsi="Times New Roman" w:eastAsia="宋体" w:cs="Times New Roman"/>
          <w:i/>
          <w:iCs/>
        </w:rPr>
        <w:t>MsrA</w:t>
      </w:r>
      <w:r>
        <w:rPr>
          <w:rFonts w:hint="eastAsia" w:ascii="Times New Roman" w:hAnsi="Times New Roman" w:eastAsia="宋体" w:cs="Times New Roman"/>
        </w:rPr>
        <w:t xml:space="preserve">, peptide-methionine S-oxide reductase; </w:t>
      </w:r>
      <w:r>
        <w:rPr>
          <w:rFonts w:hint="eastAsia" w:ascii="Times New Roman" w:hAnsi="Times New Roman" w:eastAsia="宋体" w:cs="Times New Roman"/>
          <w:i/>
          <w:iCs/>
        </w:rPr>
        <w:t>OhrR</w:t>
      </w:r>
      <w:r>
        <w:rPr>
          <w:rFonts w:hint="eastAsia" w:ascii="Times New Roman" w:hAnsi="Times New Roman" w:eastAsia="宋体" w:cs="Times New Roman"/>
        </w:rPr>
        <w:t>, organic hydroperoxide resistance regulator.</w:t>
      </w:r>
    </w:p>
    <w:tbl>
      <w:tblPr>
        <w:tblW w:w="13802" w:type="dxa"/>
        <w:tblInd w:w="96"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tblLayout w:type="fixed"/>
        <w:tblCellMar>
          <w:top w:w="0" w:type="dxa"/>
          <w:left w:w="108" w:type="dxa"/>
          <w:bottom w:w="0" w:type="dxa"/>
          <w:right w:w="108" w:type="dxa"/>
        </w:tblCellMar>
      </w:tblPr>
      <w:tblGrid>
        <w:gridCol w:w="787"/>
        <w:gridCol w:w="1025"/>
        <w:gridCol w:w="1006"/>
        <w:gridCol w:w="5428"/>
        <w:gridCol w:w="5556"/>
      </w:tblGrid>
      <w:tr w14:paraId="0672BFA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787" w:type="dxa"/>
            <w:tcBorders>
              <w:bottom w:val="single" w:color="000000" w:sz="8" w:space="0"/>
              <w:tl2br w:val="nil"/>
              <w:tr2bl w:val="nil"/>
            </w:tcBorders>
            <w:shd w:val="clear"/>
            <w:noWrap/>
            <w:vAlign w:val="center"/>
          </w:tcPr>
          <w:p w14:paraId="34F08518">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Gene</w:t>
            </w:r>
          </w:p>
        </w:tc>
        <w:tc>
          <w:tcPr>
            <w:tcW w:w="1025" w:type="dxa"/>
            <w:tcBorders>
              <w:bottom w:val="single" w:color="000000" w:sz="8" w:space="0"/>
              <w:tl2br w:val="nil"/>
              <w:tr2bl w:val="nil"/>
            </w:tcBorders>
            <w:shd w:val="clear"/>
            <w:noWrap/>
            <w:vAlign w:val="center"/>
          </w:tcPr>
          <w:p w14:paraId="01170522">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KO ID</w:t>
            </w:r>
          </w:p>
        </w:tc>
        <w:tc>
          <w:tcPr>
            <w:tcW w:w="1006" w:type="dxa"/>
            <w:tcBorders>
              <w:bottom w:val="single" w:color="000000" w:sz="8" w:space="0"/>
              <w:tl2br w:val="nil"/>
              <w:tr2bl w:val="nil"/>
            </w:tcBorders>
            <w:shd w:val="clear"/>
            <w:noWrap/>
            <w:vAlign w:val="center"/>
          </w:tcPr>
          <w:p w14:paraId="252CCFCF">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Copy number</w:t>
            </w:r>
          </w:p>
        </w:tc>
        <w:tc>
          <w:tcPr>
            <w:tcW w:w="5428" w:type="dxa"/>
            <w:tcBorders>
              <w:bottom w:val="single" w:color="000000" w:sz="8" w:space="0"/>
              <w:tl2br w:val="nil"/>
              <w:tr2bl w:val="nil"/>
            </w:tcBorders>
            <w:shd w:val="clear"/>
            <w:noWrap/>
            <w:vAlign w:val="center"/>
          </w:tcPr>
          <w:p w14:paraId="5A160AA0">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Location</w:t>
            </w:r>
          </w:p>
        </w:tc>
        <w:tc>
          <w:tcPr>
            <w:tcW w:w="5556" w:type="dxa"/>
            <w:tcBorders>
              <w:bottom w:val="single" w:color="000000" w:sz="8" w:space="0"/>
              <w:tl2br w:val="nil"/>
              <w:tr2bl w:val="nil"/>
            </w:tcBorders>
            <w:shd w:val="clear"/>
            <w:noWrap/>
            <w:vAlign w:val="center"/>
          </w:tcPr>
          <w:p w14:paraId="4E111451">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Putative function</w:t>
            </w:r>
          </w:p>
        </w:tc>
      </w:tr>
      <w:tr w14:paraId="547BE1B2">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87" w:type="dxa"/>
            <w:tcBorders>
              <w:top w:val="single" w:color="000000" w:sz="8" w:space="0"/>
              <w:tl2br w:val="nil"/>
              <w:tr2bl w:val="nil"/>
            </w:tcBorders>
            <w:shd w:val="clear"/>
            <w:noWrap/>
            <w:vAlign w:val="center"/>
          </w:tcPr>
          <w:p w14:paraId="4427B9E0">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i/>
                <w:iCs/>
                <w:color w:val="000000"/>
              </w:rPr>
            </w:pPr>
            <w:r>
              <w:rPr>
                <w:rFonts w:hint="eastAsia" w:ascii="Times New Roman" w:hAnsi="Times New Roman" w:eastAsia="宋体" w:cs="Times New Roman"/>
                <w:i/>
                <w:iCs/>
                <w:color w:val="000000"/>
                <w:lang w:val="en-US" w:eastAsia="zh-CN"/>
              </w:rPr>
              <w:t>sod2</w:t>
            </w:r>
          </w:p>
        </w:tc>
        <w:tc>
          <w:tcPr>
            <w:tcW w:w="1025" w:type="dxa"/>
            <w:tcBorders>
              <w:top w:val="single" w:color="000000" w:sz="8" w:space="0"/>
              <w:tl2br w:val="nil"/>
              <w:tr2bl w:val="nil"/>
            </w:tcBorders>
            <w:shd w:val="clear"/>
            <w:noWrap/>
            <w:vAlign w:val="center"/>
          </w:tcPr>
          <w:p w14:paraId="3497A09E">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K04564</w:t>
            </w:r>
          </w:p>
        </w:tc>
        <w:tc>
          <w:tcPr>
            <w:tcW w:w="1006" w:type="dxa"/>
            <w:tcBorders>
              <w:top w:val="single" w:color="000000" w:sz="8" w:space="0"/>
              <w:tl2br w:val="nil"/>
              <w:tr2bl w:val="nil"/>
            </w:tcBorders>
            <w:shd w:val="clear"/>
            <w:noWrap/>
            <w:vAlign w:val="center"/>
          </w:tcPr>
          <w:p w14:paraId="309576A5">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7</w:t>
            </w:r>
          </w:p>
        </w:tc>
        <w:tc>
          <w:tcPr>
            <w:tcW w:w="5428" w:type="dxa"/>
            <w:tcBorders>
              <w:top w:val="single" w:color="000000" w:sz="8" w:space="0"/>
              <w:tl2br w:val="nil"/>
              <w:tr2bl w:val="nil"/>
            </w:tcBorders>
            <w:shd w:val="clear"/>
            <w:noWrap/>
            <w:vAlign w:val="center"/>
          </w:tcPr>
          <w:p w14:paraId="0B56340A">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Chromosome</w:t>
            </w:r>
          </w:p>
        </w:tc>
        <w:tc>
          <w:tcPr>
            <w:tcW w:w="5556" w:type="dxa"/>
            <w:tcBorders>
              <w:top w:val="single" w:color="000000" w:sz="8" w:space="0"/>
              <w:tl2br w:val="nil"/>
              <w:tr2bl w:val="nil"/>
            </w:tcBorders>
            <w:shd w:val="clear"/>
            <w:noWrap/>
            <w:vAlign w:val="center"/>
          </w:tcPr>
          <w:p w14:paraId="23941EE1">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Superoxide dismutase (Mn/Fe family)</w:t>
            </w:r>
          </w:p>
        </w:tc>
      </w:tr>
      <w:tr w14:paraId="7CFA0AE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87" w:type="dxa"/>
            <w:tcBorders>
              <w:tl2br w:val="nil"/>
              <w:tr2bl w:val="nil"/>
            </w:tcBorders>
            <w:shd w:val="clear"/>
            <w:noWrap/>
            <w:vAlign w:val="center"/>
          </w:tcPr>
          <w:p w14:paraId="0E0DF7EB">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i/>
                <w:iCs/>
                <w:color w:val="000000"/>
              </w:rPr>
            </w:pPr>
            <w:r>
              <w:rPr>
                <w:rFonts w:hint="eastAsia" w:ascii="Times New Roman" w:hAnsi="Times New Roman" w:eastAsia="宋体" w:cs="Times New Roman"/>
                <w:i/>
                <w:iCs/>
                <w:color w:val="000000"/>
                <w:lang w:val="en-US" w:eastAsia="zh-CN"/>
              </w:rPr>
              <w:t>trxA</w:t>
            </w:r>
          </w:p>
        </w:tc>
        <w:tc>
          <w:tcPr>
            <w:tcW w:w="1025" w:type="dxa"/>
            <w:tcBorders>
              <w:tl2br w:val="nil"/>
              <w:tr2bl w:val="nil"/>
            </w:tcBorders>
            <w:shd w:val="clear"/>
            <w:noWrap/>
            <w:vAlign w:val="center"/>
          </w:tcPr>
          <w:p w14:paraId="343DAC24">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K03671</w:t>
            </w:r>
          </w:p>
        </w:tc>
        <w:tc>
          <w:tcPr>
            <w:tcW w:w="1006" w:type="dxa"/>
            <w:tcBorders>
              <w:tl2br w:val="nil"/>
              <w:tr2bl w:val="nil"/>
            </w:tcBorders>
            <w:shd w:val="clear"/>
            <w:noWrap/>
            <w:vAlign w:val="center"/>
          </w:tcPr>
          <w:p w14:paraId="400EC4C9">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6</w:t>
            </w:r>
          </w:p>
        </w:tc>
        <w:tc>
          <w:tcPr>
            <w:tcW w:w="5428" w:type="dxa"/>
            <w:tcBorders>
              <w:tl2br w:val="nil"/>
              <w:tr2bl w:val="nil"/>
            </w:tcBorders>
            <w:shd w:val="clear"/>
            <w:noWrap/>
            <w:vAlign w:val="center"/>
          </w:tcPr>
          <w:p w14:paraId="146EE845">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Chromosome (3 copies); Plasmid 2 (3 copies)</w:t>
            </w:r>
          </w:p>
        </w:tc>
        <w:tc>
          <w:tcPr>
            <w:tcW w:w="5556" w:type="dxa"/>
            <w:tcBorders>
              <w:tl2br w:val="nil"/>
              <w:tr2bl w:val="nil"/>
            </w:tcBorders>
            <w:shd w:val="clear"/>
            <w:noWrap/>
            <w:vAlign w:val="center"/>
          </w:tcPr>
          <w:p w14:paraId="7F6661E8">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Thioredoxin 1</w:t>
            </w:r>
          </w:p>
        </w:tc>
      </w:tr>
      <w:tr w14:paraId="79DFAFA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87" w:type="dxa"/>
            <w:tcBorders>
              <w:tl2br w:val="nil"/>
              <w:tr2bl w:val="nil"/>
            </w:tcBorders>
            <w:shd w:val="clear"/>
            <w:noWrap/>
            <w:vAlign w:val="center"/>
          </w:tcPr>
          <w:p w14:paraId="2D5F15F3">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i/>
                <w:iCs/>
                <w:color w:val="000000"/>
              </w:rPr>
            </w:pPr>
            <w:r>
              <w:rPr>
                <w:rFonts w:hint="eastAsia" w:ascii="Times New Roman" w:hAnsi="Times New Roman" w:eastAsia="宋体" w:cs="Times New Roman"/>
                <w:i/>
                <w:iCs/>
                <w:color w:val="000000"/>
                <w:lang w:val="en-US" w:eastAsia="zh-CN"/>
              </w:rPr>
              <w:t>trxB</w:t>
            </w:r>
          </w:p>
        </w:tc>
        <w:tc>
          <w:tcPr>
            <w:tcW w:w="1025" w:type="dxa"/>
            <w:tcBorders>
              <w:tl2br w:val="nil"/>
              <w:tr2bl w:val="nil"/>
            </w:tcBorders>
            <w:shd w:val="clear"/>
            <w:noWrap/>
            <w:vAlign w:val="center"/>
          </w:tcPr>
          <w:p w14:paraId="75E64665">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K00384</w:t>
            </w:r>
          </w:p>
        </w:tc>
        <w:tc>
          <w:tcPr>
            <w:tcW w:w="1006" w:type="dxa"/>
            <w:tcBorders>
              <w:tl2br w:val="nil"/>
              <w:tr2bl w:val="nil"/>
            </w:tcBorders>
            <w:shd w:val="clear"/>
            <w:noWrap/>
            <w:vAlign w:val="center"/>
          </w:tcPr>
          <w:p w14:paraId="7244B567">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5</w:t>
            </w:r>
          </w:p>
        </w:tc>
        <w:tc>
          <w:tcPr>
            <w:tcW w:w="5428" w:type="dxa"/>
            <w:tcBorders>
              <w:tl2br w:val="nil"/>
              <w:tr2bl w:val="nil"/>
            </w:tcBorders>
            <w:shd w:val="clear"/>
            <w:noWrap/>
            <w:vAlign w:val="center"/>
          </w:tcPr>
          <w:p w14:paraId="742AB4D0">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Chromosome (2 copies); Plasmid 1 (1); Plasmid 2 (2)</w:t>
            </w:r>
          </w:p>
        </w:tc>
        <w:tc>
          <w:tcPr>
            <w:tcW w:w="5556" w:type="dxa"/>
            <w:tcBorders>
              <w:tl2br w:val="nil"/>
              <w:tr2bl w:val="nil"/>
            </w:tcBorders>
            <w:shd w:val="clear"/>
            <w:noWrap/>
            <w:vAlign w:val="center"/>
          </w:tcPr>
          <w:p w14:paraId="2D41840E">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Thioredoxin reductase (NADPH)</w:t>
            </w:r>
          </w:p>
        </w:tc>
      </w:tr>
      <w:tr w14:paraId="7CB693F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87" w:type="dxa"/>
            <w:tcBorders>
              <w:tl2br w:val="nil"/>
              <w:tr2bl w:val="nil"/>
            </w:tcBorders>
            <w:shd w:val="clear"/>
            <w:noWrap/>
            <w:vAlign w:val="center"/>
          </w:tcPr>
          <w:p w14:paraId="4CFB434D">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i/>
                <w:iCs/>
                <w:color w:val="000000"/>
              </w:rPr>
            </w:pPr>
            <w:r>
              <w:rPr>
                <w:rFonts w:hint="eastAsia" w:ascii="Times New Roman" w:hAnsi="Times New Roman" w:eastAsia="宋体" w:cs="Times New Roman"/>
                <w:i/>
                <w:iCs/>
                <w:color w:val="000000"/>
                <w:lang w:val="en-US" w:eastAsia="zh-CN"/>
              </w:rPr>
              <w:t>tpx</w:t>
            </w:r>
          </w:p>
        </w:tc>
        <w:tc>
          <w:tcPr>
            <w:tcW w:w="1025" w:type="dxa"/>
            <w:tcBorders>
              <w:tl2br w:val="nil"/>
              <w:tr2bl w:val="nil"/>
            </w:tcBorders>
            <w:shd w:val="clear"/>
            <w:noWrap/>
            <w:vAlign w:val="center"/>
          </w:tcPr>
          <w:p w14:paraId="58E8A41B">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K11065</w:t>
            </w:r>
          </w:p>
        </w:tc>
        <w:tc>
          <w:tcPr>
            <w:tcW w:w="1006" w:type="dxa"/>
            <w:tcBorders>
              <w:tl2br w:val="nil"/>
              <w:tr2bl w:val="nil"/>
            </w:tcBorders>
            <w:shd w:val="clear"/>
            <w:noWrap/>
            <w:vAlign w:val="center"/>
          </w:tcPr>
          <w:p w14:paraId="2F3FF3C5">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1</w:t>
            </w:r>
          </w:p>
        </w:tc>
        <w:tc>
          <w:tcPr>
            <w:tcW w:w="5428" w:type="dxa"/>
            <w:tcBorders>
              <w:tl2br w:val="nil"/>
              <w:tr2bl w:val="nil"/>
            </w:tcBorders>
            <w:shd w:val="clear"/>
            <w:noWrap/>
            <w:vAlign w:val="center"/>
          </w:tcPr>
          <w:p w14:paraId="78FBEDE1">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Plasmid 2</w:t>
            </w:r>
          </w:p>
        </w:tc>
        <w:tc>
          <w:tcPr>
            <w:tcW w:w="5556" w:type="dxa"/>
            <w:tcBorders>
              <w:tl2br w:val="nil"/>
              <w:tr2bl w:val="nil"/>
            </w:tcBorders>
            <w:shd w:val="clear"/>
            <w:noWrap/>
            <w:vAlign w:val="center"/>
          </w:tcPr>
          <w:p w14:paraId="17D5A87E">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Thiol peroxidase (atypical 2-Cys peroxiredoxin)</w:t>
            </w:r>
          </w:p>
        </w:tc>
      </w:tr>
      <w:tr w14:paraId="5859BCD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87" w:type="dxa"/>
            <w:tcBorders>
              <w:tl2br w:val="nil"/>
              <w:tr2bl w:val="nil"/>
            </w:tcBorders>
            <w:shd w:val="clear"/>
            <w:noWrap/>
            <w:vAlign w:val="center"/>
          </w:tcPr>
          <w:p w14:paraId="07AF276D">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i/>
                <w:iCs/>
                <w:color w:val="000000"/>
              </w:rPr>
            </w:pPr>
            <w:r>
              <w:rPr>
                <w:rFonts w:hint="eastAsia" w:ascii="Times New Roman" w:hAnsi="Times New Roman" w:eastAsia="宋体" w:cs="Times New Roman"/>
                <w:i/>
                <w:iCs/>
                <w:color w:val="000000"/>
                <w:lang w:val="en-US" w:eastAsia="zh-CN"/>
              </w:rPr>
              <w:t>dps</w:t>
            </w:r>
          </w:p>
        </w:tc>
        <w:tc>
          <w:tcPr>
            <w:tcW w:w="1025" w:type="dxa"/>
            <w:tcBorders>
              <w:tl2br w:val="nil"/>
              <w:tr2bl w:val="nil"/>
            </w:tcBorders>
            <w:shd w:val="clear"/>
            <w:noWrap/>
            <w:vAlign w:val="center"/>
          </w:tcPr>
          <w:p w14:paraId="6A79AD04">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K04047</w:t>
            </w:r>
          </w:p>
        </w:tc>
        <w:tc>
          <w:tcPr>
            <w:tcW w:w="1006" w:type="dxa"/>
            <w:tcBorders>
              <w:tl2br w:val="nil"/>
              <w:tr2bl w:val="nil"/>
            </w:tcBorders>
            <w:shd w:val="clear"/>
            <w:noWrap/>
            <w:vAlign w:val="center"/>
          </w:tcPr>
          <w:p w14:paraId="75D8FD51">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1</w:t>
            </w:r>
          </w:p>
        </w:tc>
        <w:tc>
          <w:tcPr>
            <w:tcW w:w="5428" w:type="dxa"/>
            <w:tcBorders>
              <w:tl2br w:val="nil"/>
              <w:tr2bl w:val="nil"/>
            </w:tcBorders>
            <w:shd w:val="clear"/>
            <w:noWrap/>
            <w:vAlign w:val="center"/>
          </w:tcPr>
          <w:p w14:paraId="502CB6D4">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Chromosome</w:t>
            </w:r>
          </w:p>
        </w:tc>
        <w:tc>
          <w:tcPr>
            <w:tcW w:w="5556" w:type="dxa"/>
            <w:tcBorders>
              <w:tl2br w:val="nil"/>
              <w:tr2bl w:val="nil"/>
            </w:tcBorders>
            <w:shd w:val="clear"/>
            <w:noWrap/>
            <w:vAlign w:val="center"/>
          </w:tcPr>
          <w:p w14:paraId="469B8BC7">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Starvation-inducible DNA-binding protein</w:t>
            </w:r>
          </w:p>
        </w:tc>
      </w:tr>
      <w:tr w14:paraId="65295CD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87" w:type="dxa"/>
            <w:tcBorders>
              <w:tl2br w:val="nil"/>
              <w:tr2bl w:val="nil"/>
            </w:tcBorders>
            <w:shd w:val="clear"/>
            <w:noWrap/>
            <w:vAlign w:val="center"/>
          </w:tcPr>
          <w:p w14:paraId="2728309B">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i/>
                <w:iCs/>
                <w:color w:val="000000"/>
              </w:rPr>
            </w:pPr>
            <w:r>
              <w:rPr>
                <w:rFonts w:hint="eastAsia" w:ascii="Times New Roman" w:hAnsi="Times New Roman" w:eastAsia="宋体" w:cs="Times New Roman"/>
                <w:i/>
                <w:iCs/>
                <w:color w:val="000000"/>
                <w:lang w:val="en-US" w:eastAsia="zh-CN"/>
              </w:rPr>
              <w:t>msrA</w:t>
            </w:r>
          </w:p>
        </w:tc>
        <w:tc>
          <w:tcPr>
            <w:tcW w:w="1025" w:type="dxa"/>
            <w:tcBorders>
              <w:tl2br w:val="nil"/>
              <w:tr2bl w:val="nil"/>
            </w:tcBorders>
            <w:shd w:val="clear"/>
            <w:noWrap/>
            <w:vAlign w:val="center"/>
          </w:tcPr>
          <w:p w14:paraId="683602B8">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K07304</w:t>
            </w:r>
          </w:p>
        </w:tc>
        <w:tc>
          <w:tcPr>
            <w:tcW w:w="1006" w:type="dxa"/>
            <w:tcBorders>
              <w:tl2br w:val="nil"/>
              <w:tr2bl w:val="nil"/>
            </w:tcBorders>
            <w:shd w:val="clear"/>
            <w:noWrap/>
            <w:vAlign w:val="center"/>
          </w:tcPr>
          <w:p w14:paraId="19463B8B">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2</w:t>
            </w:r>
          </w:p>
        </w:tc>
        <w:tc>
          <w:tcPr>
            <w:tcW w:w="5428" w:type="dxa"/>
            <w:tcBorders>
              <w:tl2br w:val="nil"/>
              <w:tr2bl w:val="nil"/>
            </w:tcBorders>
            <w:shd w:val="clear"/>
            <w:noWrap/>
            <w:vAlign w:val="center"/>
          </w:tcPr>
          <w:p w14:paraId="6F18FBB9">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Chromosome (1); Plasmid 2 (1)</w:t>
            </w:r>
          </w:p>
        </w:tc>
        <w:tc>
          <w:tcPr>
            <w:tcW w:w="5556" w:type="dxa"/>
            <w:tcBorders>
              <w:tl2br w:val="nil"/>
              <w:tr2bl w:val="nil"/>
            </w:tcBorders>
            <w:shd w:val="clear"/>
            <w:noWrap/>
            <w:vAlign w:val="center"/>
          </w:tcPr>
          <w:p w14:paraId="01D85819">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Peptide-methionine (S)-S-oxide reductase</w:t>
            </w:r>
          </w:p>
        </w:tc>
      </w:tr>
      <w:tr w14:paraId="770AF8E1">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87" w:type="dxa"/>
            <w:tcBorders>
              <w:tl2br w:val="nil"/>
              <w:tr2bl w:val="nil"/>
            </w:tcBorders>
            <w:shd w:val="clear"/>
            <w:noWrap/>
            <w:vAlign w:val="center"/>
          </w:tcPr>
          <w:p w14:paraId="264348D6">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i/>
                <w:iCs/>
                <w:color w:val="000000"/>
              </w:rPr>
            </w:pPr>
            <w:r>
              <w:rPr>
                <w:rFonts w:hint="eastAsia" w:ascii="Times New Roman" w:hAnsi="Times New Roman" w:eastAsia="宋体" w:cs="Times New Roman"/>
                <w:i/>
                <w:iCs/>
                <w:color w:val="000000"/>
                <w:lang w:val="en-US" w:eastAsia="zh-CN"/>
              </w:rPr>
              <w:t>ohrR</w:t>
            </w:r>
          </w:p>
        </w:tc>
        <w:tc>
          <w:tcPr>
            <w:tcW w:w="1025" w:type="dxa"/>
            <w:tcBorders>
              <w:tl2br w:val="nil"/>
              <w:tr2bl w:val="nil"/>
            </w:tcBorders>
            <w:shd w:val="clear"/>
            <w:noWrap/>
            <w:vAlign w:val="center"/>
          </w:tcPr>
          <w:p w14:paraId="41C3DC8C">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K23775</w:t>
            </w:r>
          </w:p>
        </w:tc>
        <w:tc>
          <w:tcPr>
            <w:tcW w:w="1006" w:type="dxa"/>
            <w:tcBorders>
              <w:tl2br w:val="nil"/>
              <w:tr2bl w:val="nil"/>
            </w:tcBorders>
            <w:shd w:val="clear"/>
            <w:noWrap/>
            <w:vAlign w:val="center"/>
          </w:tcPr>
          <w:p w14:paraId="59EEA8AA">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1</w:t>
            </w:r>
          </w:p>
        </w:tc>
        <w:tc>
          <w:tcPr>
            <w:tcW w:w="5428" w:type="dxa"/>
            <w:tcBorders>
              <w:tl2br w:val="nil"/>
              <w:tr2bl w:val="nil"/>
            </w:tcBorders>
            <w:shd w:val="clear"/>
            <w:noWrap/>
            <w:vAlign w:val="center"/>
          </w:tcPr>
          <w:p w14:paraId="1B24EDE9">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rPr>
            </w:pPr>
            <w:r>
              <w:rPr>
                <w:rFonts w:hint="eastAsia" w:ascii="Times New Roman" w:hAnsi="Times New Roman" w:eastAsia="宋体" w:cs="Times New Roman"/>
                <w:color w:val="000000"/>
                <w:lang w:val="en-US" w:eastAsia="zh-CN"/>
              </w:rPr>
              <w:t>Plasmid 4</w:t>
            </w:r>
          </w:p>
        </w:tc>
        <w:tc>
          <w:tcPr>
            <w:tcW w:w="5556" w:type="dxa"/>
            <w:tcBorders>
              <w:tl2br w:val="nil"/>
              <w:tr2bl w:val="nil"/>
            </w:tcBorders>
            <w:shd w:val="clear"/>
            <w:noWrap/>
            <w:vAlign w:val="center"/>
          </w:tcPr>
          <w:p w14:paraId="3BE2E72A">
            <w:pPr>
              <w:pStyle w:val="8"/>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000000"/>
                <w:lang w:val="en-US" w:eastAsia="zh-CN"/>
              </w:rPr>
            </w:pPr>
            <w:r>
              <w:rPr>
                <w:rFonts w:hint="eastAsia" w:ascii="Times New Roman" w:hAnsi="Times New Roman" w:eastAsia="宋体" w:cs="Times New Roman"/>
                <w:color w:val="000000"/>
                <w:lang w:val="en-US" w:eastAsia="zh-CN"/>
              </w:rPr>
              <w:t>MarR family transcriptional regulator, organic hydroperoxide resistance regulator</w:t>
            </w:r>
          </w:p>
        </w:tc>
      </w:tr>
    </w:tbl>
    <w:p w14:paraId="76F3B3C4">
      <w:pPr>
        <w:ind w:firstLine="480"/>
      </w:pPr>
      <w:bookmarkStart w:id="0" w:name="_GoBack"/>
      <w:bookmarkEnd w:id="0"/>
    </w:p>
    <w:sectPr>
      <w:type w:val="continuous"/>
      <w:pgSz w:w="16838" w:h="11906" w:orient="landscape"/>
      <w:pgMar w:top="1440" w:right="1440" w:bottom="1440" w:left="1440" w:header="851" w:footer="992" w:gutter="0"/>
      <w:pgBorders>
        <w:top w:val="none" w:sz="0" w:space="0"/>
        <w:left w:val="none" w:sz="0" w:space="0"/>
        <w:bottom w:val="none" w:sz="0" w:space="0"/>
        <w:right w:val="none" w:sz="0" w:space="0"/>
      </w:pgBorders>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788CA0"/>
    <w:multiLevelType w:val="multilevel"/>
    <w:tmpl w:val="F8788CA0"/>
    <w:lvl w:ilvl="0" w:tentative="0">
      <w:start w:val="1"/>
      <w:numFmt w:val="decimal"/>
      <w:pStyle w:val="2"/>
      <w:suff w:val="nothing"/>
      <w:lvlText w:val="%1."/>
      <w:lvlJc w:val="left"/>
      <w:pPr>
        <w:ind w:left="0" w:firstLine="0"/>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37F0F9AD"/>
    <w:multiLevelType w:val="multilevel"/>
    <w:tmpl w:val="37F0F9AD"/>
    <w:lvl w:ilvl="0" w:tentative="0">
      <w:start w:val="1"/>
      <w:numFmt w:val="decimal"/>
      <w:pStyle w:val="3"/>
      <w:suff w:val="nothing"/>
      <w:lvlText w:val="%1."/>
      <w:lvlJc w:val="left"/>
      <w:pPr>
        <w:tabs>
          <w:tab w:val="left" w:pos="0"/>
        </w:tabs>
        <w:ind w:left="0" w:hanging="425"/>
      </w:pPr>
      <w:rPr>
        <w:rFonts w:hint="default"/>
      </w:rPr>
    </w:lvl>
    <w:lvl w:ilvl="1" w:tentative="0">
      <w:start w:val="1"/>
      <w:numFmt w:val="decimal"/>
      <w:suff w:val="nothing"/>
      <w:lvlText w:val="%1.%2"/>
      <w:lvlJc w:val="left"/>
      <w:pPr>
        <w:ind w:left="567" w:hanging="567"/>
      </w:pPr>
      <w:rPr>
        <w:rFonts w:hint="default"/>
      </w:rPr>
    </w:lvl>
    <w:lvl w:ilvl="2" w:tentative="0">
      <w:start w:val="1"/>
      <w:numFmt w:val="decimal"/>
      <w:lvlText w:val="%1.%2.%3"/>
      <w:lvlJc w:val="left"/>
      <w:pPr>
        <w:tabs>
          <w:tab w:val="left" w:pos="420"/>
        </w:tabs>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45B5A8F6"/>
    <w:multiLevelType w:val="multilevel"/>
    <w:tmpl w:val="45B5A8F6"/>
    <w:lvl w:ilvl="0" w:tentative="0">
      <w:start w:val="1"/>
      <w:numFmt w:val="decimal"/>
      <w:suff w:val="nothing"/>
      <w:lvlText w:val="%1."/>
      <w:lvlJc w:val="left"/>
      <w:pPr>
        <w:tabs>
          <w:tab w:val="left" w:pos="0"/>
        </w:tabs>
        <w:ind w:left="425" w:hanging="425"/>
      </w:pPr>
      <w:rPr>
        <w:rFonts w:hint="default"/>
      </w:rPr>
    </w:lvl>
    <w:lvl w:ilvl="1" w:tentative="0">
      <w:start w:val="1"/>
      <w:numFmt w:val="decimal"/>
      <w:pStyle w:val="4"/>
      <w:suff w:val="nothing"/>
      <w:lvlText w:val="%1.%2"/>
      <w:lvlJc w:val="left"/>
      <w:pPr>
        <w:ind w:left="0" w:firstLine="0"/>
      </w:pPr>
      <w:rPr>
        <w:rFonts w:hint="default"/>
      </w:rPr>
    </w:lvl>
    <w:lvl w:ilvl="2" w:tentative="0">
      <w:start w:val="1"/>
      <w:numFmt w:val="decimal"/>
      <w:lvlText w:val="%1.%2.%3"/>
      <w:lvlJc w:val="left"/>
      <w:pPr>
        <w:tabs>
          <w:tab w:val="left" w:pos="420"/>
        </w:tabs>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37A6C"/>
    <w:rsid w:val="001F18CC"/>
    <w:rsid w:val="00510093"/>
    <w:rsid w:val="00C63357"/>
    <w:rsid w:val="00C84A52"/>
    <w:rsid w:val="00EA6C35"/>
    <w:rsid w:val="00EF52FD"/>
    <w:rsid w:val="01ED1279"/>
    <w:rsid w:val="03C970A6"/>
    <w:rsid w:val="1A0E0CAD"/>
    <w:rsid w:val="1CA334A2"/>
    <w:rsid w:val="1E2817C0"/>
    <w:rsid w:val="1EBA0A94"/>
    <w:rsid w:val="23825FAA"/>
    <w:rsid w:val="275E0626"/>
    <w:rsid w:val="27963AF1"/>
    <w:rsid w:val="28DD4695"/>
    <w:rsid w:val="2AD34292"/>
    <w:rsid w:val="2B5D5BAC"/>
    <w:rsid w:val="2C3B46EC"/>
    <w:rsid w:val="2C58200C"/>
    <w:rsid w:val="2DC12029"/>
    <w:rsid w:val="30981DAC"/>
    <w:rsid w:val="31E645B2"/>
    <w:rsid w:val="34C77C53"/>
    <w:rsid w:val="34F66E82"/>
    <w:rsid w:val="358B6F41"/>
    <w:rsid w:val="386E4340"/>
    <w:rsid w:val="39A46823"/>
    <w:rsid w:val="3A614714"/>
    <w:rsid w:val="3ED81ECA"/>
    <w:rsid w:val="3F47042A"/>
    <w:rsid w:val="42460D48"/>
    <w:rsid w:val="45B352DC"/>
    <w:rsid w:val="4A2A5A2A"/>
    <w:rsid w:val="4C26098E"/>
    <w:rsid w:val="4D614A8F"/>
    <w:rsid w:val="52C673B2"/>
    <w:rsid w:val="5415414D"/>
    <w:rsid w:val="566D4DB1"/>
    <w:rsid w:val="577C3711"/>
    <w:rsid w:val="581E45C0"/>
    <w:rsid w:val="597D6909"/>
    <w:rsid w:val="5A433090"/>
    <w:rsid w:val="5A6C4824"/>
    <w:rsid w:val="5E257683"/>
    <w:rsid w:val="62A56FE4"/>
    <w:rsid w:val="68C006D4"/>
    <w:rsid w:val="69704AFB"/>
    <w:rsid w:val="6AAD1694"/>
    <w:rsid w:val="6C762FD9"/>
    <w:rsid w:val="6CC05D61"/>
    <w:rsid w:val="6DD86BE4"/>
    <w:rsid w:val="6F841711"/>
    <w:rsid w:val="6FA17EB3"/>
    <w:rsid w:val="703C2585"/>
    <w:rsid w:val="72533B72"/>
    <w:rsid w:val="7384204C"/>
    <w:rsid w:val="73E57241"/>
    <w:rsid w:val="770C09D8"/>
    <w:rsid w:val="79337A6C"/>
    <w:rsid w:val="79911F73"/>
    <w:rsid w:val="7A384BC9"/>
    <w:rsid w:val="7BB65DCF"/>
    <w:rsid w:val="7E1F3C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3"/>
    <w:next w:val="1"/>
    <w:qFormat/>
    <w:uiPriority w:val="0"/>
    <w:pPr>
      <w:numPr>
        <w:ilvl w:val="0"/>
        <w:numId w:val="1"/>
      </w:numPr>
      <w:spacing w:before="360" w:after="360"/>
      <w:jc w:val="center"/>
      <w:outlineLvl w:val="0"/>
    </w:pPr>
    <w:rPr>
      <w:kern w:val="44"/>
      <w:sz w:val="32"/>
    </w:rPr>
  </w:style>
  <w:style w:type="paragraph" w:styleId="3">
    <w:name w:val="heading 2"/>
    <w:basedOn w:val="1"/>
    <w:next w:val="1"/>
    <w:semiHidden/>
    <w:unhideWhenUsed/>
    <w:qFormat/>
    <w:uiPriority w:val="0"/>
    <w:pPr>
      <w:keepNext/>
      <w:keepLines/>
      <w:numPr>
        <w:ilvl w:val="0"/>
        <w:numId w:val="2"/>
      </w:numPr>
      <w:tabs>
        <w:tab w:val="clear" w:pos="0"/>
      </w:tabs>
      <w:spacing w:before="240" w:after="240"/>
      <w:ind w:firstLine="0" w:firstLineChars="0"/>
      <w:jc w:val="left"/>
      <w:outlineLvl w:val="1"/>
    </w:pPr>
    <w:rPr>
      <w:rFonts w:eastAsia="黑体"/>
      <w:sz w:val="30"/>
    </w:rPr>
  </w:style>
  <w:style w:type="paragraph" w:styleId="4">
    <w:name w:val="heading 3"/>
    <w:basedOn w:val="2"/>
    <w:next w:val="1"/>
    <w:link w:val="13"/>
    <w:semiHidden/>
    <w:unhideWhenUsed/>
    <w:qFormat/>
    <w:uiPriority w:val="0"/>
    <w:pPr>
      <w:numPr>
        <w:ilvl w:val="1"/>
        <w:numId w:val="3"/>
      </w:numPr>
      <w:spacing w:before="120" w:after="120"/>
      <w:jc w:val="left"/>
      <w:outlineLvl w:val="2"/>
    </w:pPr>
    <w:rPr>
      <w:kern w:val="2"/>
      <w:sz w:val="28"/>
    </w:rPr>
  </w:style>
  <w:style w:type="paragraph" w:styleId="5">
    <w:name w:val="heading 4"/>
    <w:basedOn w:val="1"/>
    <w:next w:val="1"/>
    <w:link w:val="14"/>
    <w:semiHidden/>
    <w:unhideWhenUsed/>
    <w:qFormat/>
    <w:uiPriority w:val="0"/>
    <w:pPr>
      <w:keepNext/>
      <w:keepLines/>
      <w:ind w:firstLine="0" w:firstLineChars="0"/>
      <w:jc w:val="left"/>
      <w:outlineLvl w:val="3"/>
    </w:pPr>
    <w:rPr>
      <w:rFonts w:eastAsia="黑体"/>
    </w:rPr>
  </w:style>
  <w:style w:type="paragraph" w:styleId="6">
    <w:name w:val="heading 5"/>
    <w:basedOn w:val="1"/>
    <w:next w:val="1"/>
    <w:semiHidden/>
    <w:unhideWhenUsed/>
    <w:qFormat/>
    <w:uiPriority w:val="0"/>
    <w:pPr>
      <w:keepNext/>
      <w:keepLines/>
      <w:spacing w:line="240" w:lineRule="auto"/>
      <w:ind w:firstLine="0" w:firstLineChars="0"/>
      <w:jc w:val="left"/>
      <w:outlineLvl w:val="4"/>
    </w:pPr>
    <w:rPr>
      <w:b/>
      <w:sz w:val="28"/>
    </w:rPr>
  </w:style>
  <w:style w:type="paragraph" w:styleId="7">
    <w:name w:val="heading 6"/>
    <w:basedOn w:val="1"/>
    <w:next w:val="1"/>
    <w:semiHidden/>
    <w:unhideWhenUsed/>
    <w:qFormat/>
    <w:uiPriority w:val="0"/>
    <w:pPr>
      <w:keepNext/>
      <w:keepLines/>
      <w:outlineLvl w:val="5"/>
    </w:pPr>
    <w:rPr>
      <w:rFonts w:ascii="Arial" w:hAnsi="Arial"/>
      <w:b/>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8">
    <w:name w:val="Normal (Web)"/>
    <w:basedOn w:val="1"/>
    <w:qFormat/>
    <w:uiPriority w:val="0"/>
  </w:style>
  <w:style w:type="table" w:styleId="10">
    <w:name w:val="Table Gri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2">
    <w:name w:val="Hyperlink"/>
    <w:basedOn w:val="11"/>
    <w:qFormat/>
    <w:uiPriority w:val="0"/>
    <w:rPr>
      <w:color w:val="0000FF"/>
      <w:u w:val="single"/>
    </w:rPr>
  </w:style>
  <w:style w:type="character" w:customStyle="1" w:styleId="13">
    <w:name w:val="标题 3 字符"/>
    <w:link w:val="4"/>
    <w:qFormat/>
    <w:uiPriority w:val="0"/>
    <w:rPr>
      <w:rFonts w:ascii="Times New Roman" w:hAnsi="Times New Roman" w:eastAsia="黑体"/>
      <w:kern w:val="2"/>
      <w:sz w:val="28"/>
    </w:rPr>
  </w:style>
  <w:style w:type="character" w:customStyle="1" w:styleId="14">
    <w:name w:val="标题 4 字符"/>
    <w:link w:val="5"/>
    <w:qFormat/>
    <w:uiPriority w:val="0"/>
    <w:rPr>
      <w:rFonts w:ascii="Times New Roman" w:hAnsi="Times New Roman" w:eastAsia="黑体"/>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439</Words>
  <Characters>2568</Characters>
  <Lines>46</Lines>
  <Paragraphs>13</Paragraphs>
  <TotalTime>23</TotalTime>
  <ScaleCrop>false</ScaleCrop>
  <LinksUpToDate>false</LinksUpToDate>
  <CharactersWithSpaces>2902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2026-05-15T07:19:00Z</dcterms:created>
  <dc:creator>song</dc:creator>
  <cp:lastModifiedBy>song</cp:lastModifiedBy>
  <cp:lastPrinted>2026-05-16T11:33:00Z</cp:lastPrinted>
  <dcterms:modified xsi:type="dcterms:W3CDTF">2026-09-01T06:24:55Z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5EB200EF399240F2892DEBB74D98A74A_11</vt:lpwstr>
  </property>
  <property fmtid="{D5CDD505-2E9C-101B-9397-08002B2CF9AE}" pid="4" name="KSOTemplateDocerSaveRecord">
    <vt:lpwstr>eyJoZGlkIjoiYTM0NzBhMGFjZjIxYjllOTkzMzYzM2JkNjVhZmQyODciLCJ1c2VySWQiOiI0MTIwMjkzNjkifQ==</vt:lpwstr>
  </property>
</Properties>
</file>