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BBF36" w14:textId="77777777" w:rsidR="00DE1BAE" w:rsidRDefault="00DE1BAE" w:rsidP="00DE1BAE">
      <w:pPr>
        <w:pStyle w:val="a7"/>
        <w:spacing w:before="0" w:beforeAutospacing="0" w:after="0" w:afterAutospacing="0" w:line="360" w:lineRule="auto"/>
        <w:rPr>
          <w:rFonts w:ascii="Times New Roman" w:eastAsia="黑体" w:hAnsi="Times New Roman" w:cs="Times New Roman"/>
          <w:color w:val="000000" w:themeColor="text1"/>
          <w:kern w:val="24"/>
          <w:sz w:val="22"/>
        </w:rPr>
      </w:pPr>
      <w:r w:rsidRPr="00280790">
        <w:rPr>
          <w:rFonts w:ascii="Times New Roman" w:eastAsia="黑体" w:hAnsi="Times New Roman" w:cs="Times New Roman"/>
          <w:b/>
          <w:bCs/>
          <w:color w:val="000000" w:themeColor="text1"/>
          <w:kern w:val="24"/>
          <w:sz w:val="22"/>
        </w:rPr>
        <w:t xml:space="preserve">Fig. </w:t>
      </w:r>
      <w:proofErr w:type="spellStart"/>
      <w:r w:rsidRPr="00280790">
        <w:rPr>
          <w:rFonts w:ascii="Times New Roman" w:eastAsia="黑体" w:hAnsi="Times New Roman" w:cs="Times New Roman"/>
          <w:b/>
          <w:bCs/>
          <w:color w:val="000000" w:themeColor="text1"/>
          <w:kern w:val="24"/>
          <w:sz w:val="22"/>
        </w:rPr>
        <w:t>S1</w:t>
      </w:r>
      <w:proofErr w:type="spellEnd"/>
      <w:r w:rsidRPr="00280790">
        <w:rPr>
          <w:rFonts w:ascii="Times New Roman" w:eastAsia="黑体" w:hAnsi="Times New Roman" w:cs="Times New Roman"/>
          <w:b/>
          <w:bCs/>
          <w:color w:val="000000" w:themeColor="text1"/>
          <w:kern w:val="24"/>
          <w:sz w:val="22"/>
        </w:rPr>
        <w:t>. The changes of gut microbiota and distribution of predominant taxa.</w:t>
      </w:r>
      <w:r w:rsidRPr="003D41AF">
        <w:rPr>
          <w:rFonts w:ascii="Times New Roman" w:eastAsia="黑体" w:hAnsi="Times New Roman" w:cs="Times New Roman" w:hint="eastAsia"/>
          <w:color w:val="000000" w:themeColor="text1"/>
          <w:kern w:val="24"/>
          <w:sz w:val="22"/>
        </w:rPr>
        <w:t xml:space="preserve"> </w:t>
      </w:r>
    </w:p>
    <w:p w14:paraId="32035030" w14:textId="77777777" w:rsidR="00DE1BAE" w:rsidRDefault="00DE1BAE" w:rsidP="00DE1BAE">
      <w:pPr>
        <w:pStyle w:val="a7"/>
        <w:spacing w:before="0" w:beforeAutospacing="0" w:after="0" w:afterAutospacing="0" w:line="360" w:lineRule="auto"/>
        <w:rPr>
          <w:rFonts w:ascii="Times New Roman" w:eastAsia="黑体" w:hAnsi="Times New Roman" w:cs="Times New Roman"/>
          <w:color w:val="000000" w:themeColor="text1"/>
          <w:kern w:val="24"/>
          <w:sz w:val="22"/>
        </w:rPr>
      </w:pPr>
      <w:r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 xml:space="preserve">(A). </w:t>
      </w:r>
      <w:r w:rsidRPr="0021682B">
        <w:rPr>
          <w:rFonts w:ascii="Times New Roman" w:eastAsia="黑体" w:hAnsi="Times New Roman" w:cs="Times New Roman" w:hint="eastAsia"/>
          <w:color w:val="000000" w:themeColor="text1"/>
          <w:kern w:val="24"/>
          <w:sz w:val="22"/>
        </w:rPr>
        <w:t>Ternary plot of OTU distribution</w:t>
      </w:r>
      <w:r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 xml:space="preserve"> reflecting </w:t>
      </w:r>
      <w:bookmarkStart w:id="0" w:name="OLE_LINK45"/>
      <w:r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>predominant taxa</w:t>
      </w:r>
      <w:bookmarkEnd w:id="0"/>
      <w:r w:rsidRPr="0021682B">
        <w:rPr>
          <w:rFonts w:ascii="Times New Roman" w:eastAsia="黑体" w:hAnsi="Times New Roman" w:cs="Times New Roman" w:hint="eastAsia"/>
          <w:color w:val="000000" w:themeColor="text1"/>
          <w:kern w:val="24"/>
          <w:sz w:val="22"/>
        </w:rPr>
        <w:t xml:space="preserve"> across three </w:t>
      </w:r>
      <w:r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>group</w:t>
      </w:r>
      <w:r w:rsidRPr="0021682B">
        <w:rPr>
          <w:rFonts w:ascii="Times New Roman" w:eastAsia="黑体" w:hAnsi="Times New Roman" w:cs="Times New Roman" w:hint="eastAsia"/>
          <w:color w:val="000000" w:themeColor="text1"/>
          <w:kern w:val="24"/>
          <w:sz w:val="22"/>
        </w:rPr>
        <w:t>s</w:t>
      </w:r>
      <w:r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 xml:space="preserve"> at the phylum level. </w:t>
      </w:r>
      <w:r w:rsidRPr="0021682B">
        <w:rPr>
          <w:rFonts w:ascii="Times New Roman" w:eastAsia="黑体" w:hAnsi="Times New Roman" w:cs="Times New Roman" w:hint="eastAsia"/>
          <w:color w:val="000000" w:themeColor="text1"/>
          <w:kern w:val="24"/>
          <w:sz w:val="22"/>
        </w:rPr>
        <w:t>Each circle represents one OTU, and the size, color and position of the circle represent its relative abundance, bacterial phylum and affiliation of the OTU with the different regions, respectively. (</w:t>
      </w:r>
      <w:r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>B</w:t>
      </w:r>
      <w:r w:rsidRPr="0021682B">
        <w:rPr>
          <w:rFonts w:ascii="Times New Roman" w:eastAsia="黑体" w:hAnsi="Times New Roman" w:cs="Times New Roman" w:hint="eastAsia"/>
          <w:color w:val="000000" w:themeColor="text1"/>
          <w:kern w:val="24"/>
          <w:sz w:val="22"/>
        </w:rPr>
        <w:t>)</w:t>
      </w:r>
      <w:r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>.</w:t>
      </w:r>
      <w:r w:rsidRPr="0021682B">
        <w:rPr>
          <w:rFonts w:ascii="Times New Roman" w:eastAsia="黑体" w:hAnsi="Times New Roman" w:cs="Times New Roman" w:hint="eastAsia"/>
          <w:color w:val="000000" w:themeColor="text1"/>
          <w:kern w:val="24"/>
          <w:sz w:val="22"/>
        </w:rPr>
        <w:t xml:space="preserve"> Average relative abundances of bacterial phyla distributed in </w:t>
      </w:r>
      <w:r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>HC, HT, and non-HT group</w:t>
      </w:r>
      <w:r w:rsidRPr="0021682B">
        <w:rPr>
          <w:rFonts w:ascii="Times New Roman" w:eastAsia="黑体" w:hAnsi="Times New Roman" w:cs="Times New Roman" w:hint="eastAsia"/>
          <w:color w:val="000000" w:themeColor="text1"/>
          <w:kern w:val="24"/>
          <w:sz w:val="22"/>
        </w:rPr>
        <w:t xml:space="preserve">. </w:t>
      </w:r>
      <w:r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>Top 10 relative abundance at phylum level</w:t>
      </w:r>
      <w:r w:rsidRPr="0021682B">
        <w:rPr>
          <w:rFonts w:ascii="Times New Roman" w:eastAsia="黑体" w:hAnsi="Times New Roman" w:cs="Times New Roman" w:hint="eastAsia"/>
          <w:color w:val="000000" w:themeColor="text1"/>
          <w:kern w:val="24"/>
          <w:sz w:val="22"/>
        </w:rPr>
        <w:t xml:space="preserve"> (average relative abundance above 1%) with significantly differential distribution (as detected by </w:t>
      </w:r>
      <w:proofErr w:type="spellStart"/>
      <w:r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>MetaStat</w:t>
      </w:r>
      <w:proofErr w:type="spellEnd"/>
      <w:r w:rsidRPr="0021682B">
        <w:rPr>
          <w:rFonts w:ascii="Times New Roman" w:eastAsia="黑体" w:hAnsi="Times New Roman" w:cs="Times New Roman" w:hint="eastAsia"/>
          <w:color w:val="000000" w:themeColor="text1"/>
          <w:kern w:val="24"/>
          <w:sz w:val="22"/>
        </w:rPr>
        <w:t xml:space="preserve"> analysis) are marked with asterisk</w:t>
      </w:r>
      <w:r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>.</w:t>
      </w:r>
      <w:r w:rsidRPr="0080755C"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 xml:space="preserve"> #P &lt; 0.05, ##P &lt; 0.01, ###P &lt; 0.001 versus </w:t>
      </w:r>
      <w:r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 xml:space="preserve">HC </w:t>
      </w:r>
      <w:r w:rsidRPr="0080755C"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 xml:space="preserve">group; </w:t>
      </w:r>
      <w:r w:rsidRPr="0044702A">
        <w:rPr>
          <w:rFonts w:ascii="Arial" w:eastAsia="黑体" w:hAnsi="Arial" w:cs="Arial"/>
          <w:color w:val="000000" w:themeColor="text1"/>
          <w:kern w:val="24"/>
          <w:sz w:val="22"/>
          <w:szCs w:val="22"/>
        </w:rPr>
        <w:t>*</w:t>
      </w:r>
      <w:r w:rsidRPr="0080755C"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 xml:space="preserve">P &lt; 0.05, </w:t>
      </w:r>
      <w:r w:rsidRPr="0044702A">
        <w:rPr>
          <w:rFonts w:ascii="Arial" w:eastAsia="黑体" w:hAnsi="Arial" w:cs="Arial"/>
          <w:color w:val="000000" w:themeColor="text1"/>
          <w:kern w:val="24"/>
          <w:sz w:val="22"/>
          <w:szCs w:val="22"/>
        </w:rPr>
        <w:t>**</w:t>
      </w:r>
      <w:r w:rsidRPr="0080755C"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>P &lt; 0.01</w:t>
      </w:r>
      <w:r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>,</w:t>
      </w:r>
      <w:r w:rsidRPr="0080755C"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 xml:space="preserve"> </w:t>
      </w:r>
      <w:r w:rsidRPr="0044702A">
        <w:rPr>
          <w:rFonts w:ascii="Arial" w:eastAsia="黑体" w:hAnsi="Arial" w:cs="Arial"/>
          <w:color w:val="000000" w:themeColor="text1"/>
          <w:kern w:val="24"/>
          <w:sz w:val="22"/>
          <w:szCs w:val="22"/>
        </w:rPr>
        <w:t>***</w:t>
      </w:r>
      <w:r w:rsidRPr="0080755C"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 xml:space="preserve">P &lt; 0.001 versus </w:t>
      </w:r>
      <w:r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>non-HT</w:t>
      </w:r>
      <w:r w:rsidRPr="0080755C"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 xml:space="preserve"> group.</w:t>
      </w:r>
    </w:p>
    <w:p w14:paraId="4428058C" w14:textId="77777777" w:rsidR="00DE1BAE" w:rsidRPr="0021682B" w:rsidRDefault="00DE1BAE" w:rsidP="00DE1BAE">
      <w:pPr>
        <w:pStyle w:val="a7"/>
        <w:spacing w:before="0" w:beforeAutospacing="0" w:after="0" w:afterAutospacing="0" w:line="360" w:lineRule="auto"/>
      </w:pPr>
      <w:r w:rsidRPr="00997E74">
        <w:rPr>
          <w:rFonts w:ascii="Times New Roman" w:eastAsia="黑体" w:hAnsi="Times New Roman" w:cs="Times New Roman" w:hint="eastAsia"/>
          <w:b/>
          <w:bCs/>
          <w:color w:val="000000" w:themeColor="text1"/>
          <w:kern w:val="24"/>
          <w:sz w:val="22"/>
        </w:rPr>
        <w:t>F</w:t>
      </w:r>
      <w:r w:rsidRPr="00997E74">
        <w:rPr>
          <w:rFonts w:ascii="Times New Roman" w:eastAsia="黑体" w:hAnsi="Times New Roman" w:cs="Times New Roman"/>
          <w:b/>
          <w:bCs/>
          <w:color w:val="000000" w:themeColor="text1"/>
          <w:kern w:val="24"/>
          <w:sz w:val="22"/>
        </w:rPr>
        <w:t xml:space="preserve">ig. </w:t>
      </w:r>
      <w:proofErr w:type="spellStart"/>
      <w:r w:rsidRPr="00997E74">
        <w:rPr>
          <w:rFonts w:ascii="Times New Roman" w:eastAsia="黑体" w:hAnsi="Times New Roman" w:cs="Times New Roman"/>
          <w:b/>
          <w:bCs/>
          <w:color w:val="000000" w:themeColor="text1"/>
          <w:kern w:val="24"/>
          <w:sz w:val="22"/>
        </w:rPr>
        <w:t>S2</w:t>
      </w:r>
      <w:proofErr w:type="spellEnd"/>
      <w:r w:rsidRPr="00997E74">
        <w:rPr>
          <w:rFonts w:ascii="Times New Roman" w:eastAsia="黑体" w:hAnsi="Times New Roman" w:cs="Times New Roman"/>
          <w:b/>
          <w:bCs/>
          <w:color w:val="000000" w:themeColor="text1"/>
          <w:kern w:val="24"/>
          <w:sz w:val="22"/>
        </w:rPr>
        <w:t xml:space="preserve">. </w:t>
      </w:r>
      <w:bookmarkStart w:id="1" w:name="OLE_LINK49"/>
      <w:r w:rsidRPr="00997E74">
        <w:rPr>
          <w:rFonts w:ascii="Times New Roman" w:eastAsia="黑体" w:hAnsi="Times New Roman" w:cs="Times New Roman"/>
          <w:b/>
          <w:bCs/>
          <w:color w:val="000000" w:themeColor="text1"/>
          <w:kern w:val="24"/>
          <w:sz w:val="22"/>
        </w:rPr>
        <w:t xml:space="preserve">Cooccurrence network analysis of gut microbiota composition </w:t>
      </w:r>
      <w:bookmarkEnd w:id="1"/>
      <w:r w:rsidRPr="00997E74">
        <w:rPr>
          <w:rFonts w:ascii="Times New Roman" w:eastAsia="黑体" w:hAnsi="Times New Roman" w:cs="Times New Roman"/>
          <w:b/>
          <w:bCs/>
          <w:color w:val="000000" w:themeColor="text1"/>
          <w:kern w:val="24"/>
          <w:sz w:val="22"/>
        </w:rPr>
        <w:t xml:space="preserve">in HC (A), non-HT (B), and HT (C) group at the genus level. </w:t>
      </w:r>
      <w:r w:rsidRPr="00FA5A7A"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>The cooccurrence network of gut microbiota was constructed based on the correlation analysis (p</w:t>
      </w:r>
      <w:r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 xml:space="preserve"> </w:t>
      </w:r>
      <w:r w:rsidRPr="0080755C"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>&lt;</w:t>
      </w:r>
      <w:r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 xml:space="preserve"> </w:t>
      </w:r>
      <w:r w:rsidRPr="00FA5A7A"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>0.05, |r|</w:t>
      </w:r>
      <w:r w:rsidRPr="00FA5A7A"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>＞</w:t>
      </w:r>
      <w:r w:rsidRPr="00FA5A7A"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>0.6).</w:t>
      </w:r>
      <w:r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 xml:space="preserve"> Red and blue l</w:t>
      </w:r>
      <w:r w:rsidRPr="00BA7D18"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 xml:space="preserve">ines indicate positive </w:t>
      </w:r>
      <w:r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 xml:space="preserve">and negative </w:t>
      </w:r>
      <w:r w:rsidRPr="00BA7D18"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>correlations</w:t>
      </w:r>
      <w:r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 xml:space="preserve"> respectively </w:t>
      </w:r>
      <w:r w:rsidRPr="00BA7D18"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>between the abundances of the bacteria. The size of the circle indicates the overall abundance of the genus and the</w:t>
      </w:r>
      <w:r>
        <w:rPr>
          <w:rFonts w:ascii="Times New Roman" w:eastAsia="黑体" w:hAnsi="Times New Roman" w:cs="Times New Roman"/>
          <w:color w:val="000000" w:themeColor="text1"/>
          <w:kern w:val="24"/>
          <w:sz w:val="22"/>
        </w:rPr>
        <w:t xml:space="preserve"> microbial taxa belonging to the same phylum have the consistent color of the circle.</w:t>
      </w:r>
    </w:p>
    <w:p w14:paraId="03FA4C9C" w14:textId="77777777" w:rsidR="003F1753" w:rsidRPr="00DE1BAE" w:rsidRDefault="003F1753"/>
    <w:sectPr w:rsidR="003F1753" w:rsidRPr="00DE1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8D2F9" w14:textId="77777777" w:rsidR="00EE3C48" w:rsidRDefault="00EE3C48" w:rsidP="00DE1BAE">
      <w:r>
        <w:separator/>
      </w:r>
    </w:p>
  </w:endnote>
  <w:endnote w:type="continuationSeparator" w:id="0">
    <w:p w14:paraId="7EED49C2" w14:textId="77777777" w:rsidR="00EE3C48" w:rsidRDefault="00EE3C48" w:rsidP="00DE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36F9B" w14:textId="77777777" w:rsidR="00EE3C48" w:rsidRDefault="00EE3C48" w:rsidP="00DE1BAE">
      <w:r>
        <w:separator/>
      </w:r>
    </w:p>
  </w:footnote>
  <w:footnote w:type="continuationSeparator" w:id="0">
    <w:p w14:paraId="057B965F" w14:textId="77777777" w:rsidR="00EE3C48" w:rsidRDefault="00EE3C48" w:rsidP="00DE1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17"/>
    <w:rsid w:val="003F1753"/>
    <w:rsid w:val="00596F17"/>
    <w:rsid w:val="00DE1BAE"/>
    <w:rsid w:val="00EE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F2750E-0330-4A40-8F8B-5289DF05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1B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1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1BAE"/>
    <w:rPr>
      <w:sz w:val="18"/>
      <w:szCs w:val="18"/>
    </w:rPr>
  </w:style>
  <w:style w:type="paragraph" w:styleId="a7">
    <w:name w:val="Normal (Web)"/>
    <w:basedOn w:val="a"/>
    <w:uiPriority w:val="99"/>
    <w:unhideWhenUsed/>
    <w:rsid w:val="00DE1B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Qin</dc:creator>
  <cp:keywords/>
  <dc:description/>
  <cp:lastModifiedBy>Huang Qin</cp:lastModifiedBy>
  <cp:revision>2</cp:revision>
  <dcterms:created xsi:type="dcterms:W3CDTF">2021-11-24T12:12:00Z</dcterms:created>
  <dcterms:modified xsi:type="dcterms:W3CDTF">2021-11-24T12:13:00Z</dcterms:modified>
</cp:coreProperties>
</file>