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94D7C4">
      <w:pPr>
        <w:jc w:val="center"/>
        <w:rPr>
          <w:rFonts w:hint="default" w:ascii="Times New Roman" w:hAnsi="Times New Roman" w:cs="Times New Roman" w:eastAsiaTheme="minorEastAsia"/>
          <w:sz w:val="48"/>
          <w:szCs w:val="48"/>
          <w:lang w:val="en-US" w:eastAsia="zh-CN"/>
        </w:rPr>
      </w:pPr>
      <w:r>
        <w:rPr>
          <w:rFonts w:hint="default" w:ascii="Times New Roman" w:hAnsi="Times New Roman" w:cs="Times New Roman"/>
          <w:sz w:val="48"/>
          <w:szCs w:val="48"/>
        </w:rPr>
        <w:t>An ITO@AgNWs enhanced electrochemical biosensor for rapid quantitative detection of sweet substances</w:t>
      </w:r>
      <w:r>
        <w:rPr>
          <w:rFonts w:hint="default" w:ascii="Times New Roman" w:hAnsi="Times New Roman" w:cs="Times New Roman"/>
          <w:sz w:val="48"/>
          <w:szCs w:val="48"/>
          <w:lang w:val="en-US" w:eastAsia="zh-CN"/>
        </w:rPr>
        <w:t xml:space="preserve"> (supplementary)</w:t>
      </w:r>
    </w:p>
    <w:p w14:paraId="55267070">
      <w:pPr>
        <w:jc w:val="center"/>
        <w:rPr>
          <w:rFonts w:hint="default" w:ascii="Times New Roman" w:hAnsi="Times New Roman" w:cs="Times New Roman"/>
          <w:sz w:val="24"/>
          <w:szCs w:val="24"/>
        </w:rPr>
      </w:pPr>
    </w:p>
    <w:p w14:paraId="3EB46AA7">
      <w:pPr>
        <w:rPr>
          <w:rFonts w:hint="default" w:ascii="Times New Roman" w:hAnsi="Times New Roman" w:cs="Times New Roman"/>
          <w:sz w:val="28"/>
          <w:szCs w:val="28"/>
        </w:rPr>
      </w:pPr>
      <w:r>
        <w:rPr>
          <w:rFonts w:hint="default" w:ascii="Times New Roman" w:hAnsi="Times New Roman" w:cs="Times New Roman"/>
          <w:sz w:val="28"/>
          <w:szCs w:val="28"/>
        </w:rPr>
        <w:t>Wuzhen Qi</w:t>
      </w:r>
      <w:r>
        <w:rPr>
          <w:rFonts w:hint="default" w:ascii="Times New Roman" w:hAnsi="Times New Roman" w:cs="Times New Roman"/>
          <w:sz w:val="28"/>
          <w:szCs w:val="28"/>
          <w:vertAlign w:val="superscript"/>
        </w:rPr>
        <w:t>a,c</w:t>
      </w:r>
      <w:r>
        <w:rPr>
          <w:rFonts w:hint="default" w:ascii="Times New Roman" w:hAnsi="Times New Roman" w:cs="Times New Roman"/>
          <w:sz w:val="28"/>
          <w:szCs w:val="28"/>
        </w:rPr>
        <w:t>,</w:t>
      </w:r>
      <w:r>
        <w:rPr>
          <w:rFonts w:hint="eastAsia" w:ascii="Times New Roman" w:hAnsi="Times New Roman" w:cs="Times New Roman"/>
          <w:sz w:val="28"/>
          <w:szCs w:val="28"/>
          <w:lang w:val="en-US" w:eastAsia="zh-CN"/>
        </w:rPr>
        <w:t xml:space="preserve"> </w:t>
      </w:r>
      <w:r>
        <w:rPr>
          <w:rFonts w:hint="default" w:ascii="Times New Roman" w:hAnsi="Times New Roman" w:cs="Times New Roman"/>
          <w:sz w:val="28"/>
          <w:szCs w:val="28"/>
        </w:rPr>
        <w:t>Minhao Niu</w:t>
      </w:r>
      <w:r>
        <w:rPr>
          <w:rFonts w:hint="default" w:ascii="Times New Roman" w:hAnsi="Times New Roman" w:cs="Times New Roman"/>
          <w:sz w:val="28"/>
          <w:szCs w:val="28"/>
          <w:vertAlign w:val="superscript"/>
        </w:rPr>
        <w:t>b</w:t>
      </w:r>
      <w:r>
        <w:rPr>
          <w:rFonts w:hint="default" w:ascii="Times New Roman" w:hAnsi="Times New Roman" w:cs="Times New Roman"/>
          <w:sz w:val="28"/>
          <w:szCs w:val="28"/>
          <w:vertAlign w:val="superscript"/>
          <w:lang w:val="en-US" w:eastAsia="zh-CN"/>
        </w:rPr>
        <w:t>,</w:t>
      </w:r>
      <w:r>
        <w:rPr>
          <w:rFonts w:hint="default" w:ascii="Times New Roman" w:hAnsi="Times New Roman" w:cs="Times New Roman"/>
          <w:sz w:val="24"/>
          <w:szCs w:val="24"/>
          <w:vertAlign w:val="superscript"/>
        </w:rPr>
        <w:t>†</w:t>
      </w:r>
      <w:r>
        <w:rPr>
          <w:rFonts w:hint="default" w:ascii="Times New Roman" w:hAnsi="Times New Roman" w:cs="Times New Roman"/>
          <w:sz w:val="28"/>
          <w:szCs w:val="28"/>
        </w:rPr>
        <w:t>, Zihan Xue</w:t>
      </w:r>
      <w:r>
        <w:rPr>
          <w:rFonts w:hint="default" w:ascii="Times New Roman" w:hAnsi="Times New Roman" w:cs="Times New Roman"/>
          <w:sz w:val="28"/>
          <w:szCs w:val="28"/>
          <w:vertAlign w:val="superscript"/>
        </w:rPr>
        <w:t>a</w:t>
      </w:r>
      <w:r>
        <w:rPr>
          <w:rFonts w:hint="default" w:ascii="Times New Roman" w:hAnsi="Times New Roman" w:cs="Times New Roman"/>
          <w:sz w:val="28"/>
          <w:szCs w:val="28"/>
        </w:rPr>
        <w:t>, Yayuan Li</w:t>
      </w:r>
      <w:r>
        <w:rPr>
          <w:rFonts w:hint="default" w:ascii="Times New Roman" w:hAnsi="Times New Roman" w:cs="Times New Roman"/>
          <w:sz w:val="28"/>
          <w:szCs w:val="28"/>
          <w:vertAlign w:val="superscript"/>
        </w:rPr>
        <w:t>a</w:t>
      </w:r>
      <w:r>
        <w:rPr>
          <w:rFonts w:hint="default" w:ascii="Times New Roman" w:hAnsi="Times New Roman" w:cs="Times New Roman"/>
          <w:sz w:val="28"/>
          <w:szCs w:val="28"/>
        </w:rPr>
        <w:t>, Xuanqi Ke</w:t>
      </w:r>
      <w:r>
        <w:rPr>
          <w:rFonts w:hint="default" w:ascii="Times New Roman" w:hAnsi="Times New Roman" w:cs="Times New Roman"/>
          <w:sz w:val="28"/>
          <w:szCs w:val="28"/>
          <w:vertAlign w:val="superscript"/>
        </w:rPr>
        <w:t>a</w:t>
      </w:r>
      <w:r>
        <w:rPr>
          <w:rFonts w:hint="default" w:ascii="Times New Roman" w:hAnsi="Times New Roman" w:cs="Times New Roman"/>
          <w:sz w:val="28"/>
          <w:szCs w:val="28"/>
        </w:rPr>
        <w:t>, Yue Liu</w:t>
      </w:r>
      <w:r>
        <w:rPr>
          <w:rFonts w:hint="default" w:ascii="Times New Roman" w:hAnsi="Times New Roman" w:cs="Times New Roman"/>
          <w:sz w:val="28"/>
          <w:szCs w:val="28"/>
          <w:vertAlign w:val="superscript"/>
        </w:rPr>
        <w:t>a</w:t>
      </w:r>
      <w:r>
        <w:rPr>
          <w:rFonts w:hint="default" w:ascii="Times New Roman" w:hAnsi="Times New Roman" w:cs="Times New Roman"/>
          <w:sz w:val="28"/>
          <w:szCs w:val="28"/>
        </w:rPr>
        <w:t>,</w:t>
      </w:r>
      <w:r>
        <w:rPr>
          <w:rFonts w:hint="default" w:ascii="Times New Roman" w:hAnsi="Times New Roman" w:cs="Times New Roman"/>
          <w:sz w:val="28"/>
          <w:szCs w:val="28"/>
          <w:vertAlign w:val="baseline"/>
          <w:lang w:val="en-US" w:eastAsia="zh-CN"/>
        </w:rPr>
        <w:t xml:space="preserve"> </w:t>
      </w:r>
      <w:r>
        <w:rPr>
          <w:rFonts w:hint="default" w:ascii="Times New Roman" w:hAnsi="Times New Roman" w:cs="Times New Roman"/>
          <w:sz w:val="28"/>
          <w:szCs w:val="28"/>
        </w:rPr>
        <w:t>Zhishu Tang</w:t>
      </w:r>
      <w:r>
        <w:rPr>
          <w:rFonts w:hint="default" w:ascii="Times New Roman" w:hAnsi="Times New Roman" w:cs="Times New Roman"/>
          <w:sz w:val="28"/>
          <w:szCs w:val="28"/>
          <w:vertAlign w:val="superscript"/>
        </w:rPr>
        <w:t>a,*</w:t>
      </w:r>
      <w:r>
        <w:rPr>
          <w:rFonts w:hint="default" w:ascii="Times New Roman" w:hAnsi="Times New Roman" w:cs="Times New Roman"/>
          <w:sz w:val="28"/>
          <w:szCs w:val="28"/>
        </w:rPr>
        <w:t>, Bing Xu</w:t>
      </w:r>
      <w:r>
        <w:rPr>
          <w:rFonts w:hint="default" w:ascii="Times New Roman" w:hAnsi="Times New Roman" w:cs="Times New Roman"/>
          <w:sz w:val="28"/>
          <w:szCs w:val="28"/>
          <w:vertAlign w:val="superscript"/>
        </w:rPr>
        <w:t>a,c,*</w:t>
      </w:r>
    </w:p>
    <w:p w14:paraId="2A6C6D13">
      <w:pPr>
        <w:rPr>
          <w:rFonts w:hint="default" w:ascii="Times New Roman" w:hAnsi="Times New Roman" w:cs="Times New Roman"/>
          <w:sz w:val="24"/>
          <w:szCs w:val="24"/>
          <w:vertAlign w:val="superscript"/>
        </w:rPr>
      </w:pPr>
    </w:p>
    <w:p w14:paraId="1CA134AA">
      <w:pPr>
        <w:pStyle w:val="9"/>
        <w:numPr>
          <w:ilvl w:val="0"/>
          <w:numId w:val="1"/>
        </w:numPr>
        <w:spacing w:line="360" w:lineRule="auto"/>
        <w:ind w:left="720" w:hanging="360"/>
        <w:contextualSpacing w:val="0"/>
        <w:rPr>
          <w:rFonts w:hint="default" w:ascii="Times New Roman" w:hAnsi="Times New Roman" w:cs="Times New Roman"/>
        </w:rPr>
      </w:pPr>
      <w:bookmarkStart w:id="0" w:name="OLE_LINK1"/>
      <w:r>
        <w:rPr>
          <w:rFonts w:hint="default" w:ascii="Times New Roman" w:hAnsi="Times New Roman" w:cs="Times New Roman"/>
        </w:rPr>
        <w:t>School of Chinese Materia Medica, Beijing University of Chinese Medicine, Beijing, 102488, China</w:t>
      </w:r>
    </w:p>
    <w:p w14:paraId="6F6E3186">
      <w:pPr>
        <w:pStyle w:val="9"/>
        <w:numPr>
          <w:ilvl w:val="0"/>
          <w:numId w:val="1"/>
        </w:numPr>
        <w:spacing w:line="360" w:lineRule="auto"/>
        <w:ind w:left="720" w:hanging="360"/>
        <w:contextualSpacing w:val="0"/>
        <w:rPr>
          <w:rFonts w:hint="default" w:ascii="Times New Roman" w:hAnsi="Times New Roman" w:cs="Times New Roman"/>
        </w:rPr>
      </w:pPr>
      <w:r>
        <w:rPr>
          <w:rFonts w:hint="default" w:ascii="Times New Roman" w:hAnsi="Times New Roman" w:cs="Times New Roman"/>
        </w:rPr>
        <w:t>School of Mechanical Engineering, Ningxia University, Yinchuan, 750021, China</w:t>
      </w:r>
    </w:p>
    <w:p w14:paraId="716EE4BA">
      <w:pPr>
        <w:pStyle w:val="9"/>
        <w:numPr>
          <w:ilvl w:val="0"/>
          <w:numId w:val="1"/>
        </w:numPr>
        <w:spacing w:line="360" w:lineRule="auto"/>
        <w:ind w:left="720" w:hanging="360"/>
        <w:contextualSpacing w:val="0"/>
        <w:rPr>
          <w:rFonts w:hint="default" w:ascii="Times New Roman" w:hAnsi="Times New Roman" w:cs="Times New Roman"/>
        </w:rPr>
      </w:pPr>
      <w:r>
        <w:rPr>
          <w:rFonts w:hint="default" w:ascii="Times New Roman" w:hAnsi="Times New Roman" w:cs="Times New Roman"/>
        </w:rPr>
        <w:t>Beijing Key Laboratory of Chinese Medicine Manufacturing Process Control and Quality Evaluation, Beijing 100029, China</w:t>
      </w:r>
    </w:p>
    <w:bookmarkEnd w:id="0"/>
    <w:p w14:paraId="4649A7EF">
      <w:pPr>
        <w:pStyle w:val="9"/>
        <w:numPr>
          <w:ilvl w:val="255"/>
          <w:numId w:val="0"/>
        </w:numPr>
        <w:ind w:left="360"/>
        <w:rPr>
          <w:rFonts w:hint="default" w:ascii="Times New Roman" w:hAnsi="Times New Roman" w:cs="Times New Roman"/>
          <w:sz w:val="24"/>
          <w:szCs w:val="24"/>
        </w:rPr>
      </w:pPr>
      <w:bookmarkStart w:id="1" w:name="OLE_LINK70"/>
    </w:p>
    <w:p w14:paraId="12BC591D">
      <w:pPr>
        <w:spacing w:line="360" w:lineRule="auto"/>
        <w:ind w:firstLine="420"/>
        <w:rPr>
          <w:rFonts w:hint="default" w:ascii="Times New Roman" w:hAnsi="Times New Roman" w:cs="Times New Roman"/>
          <w:sz w:val="24"/>
          <w:szCs w:val="24"/>
        </w:rPr>
      </w:pPr>
      <w:r>
        <w:rPr>
          <w:rFonts w:hint="default" w:ascii="Times New Roman" w:hAnsi="Times New Roman" w:cs="Times New Roman"/>
          <w:sz w:val="24"/>
          <w:szCs w:val="24"/>
          <w:vertAlign w:val="superscript"/>
        </w:rPr>
        <w:t>*</w:t>
      </w:r>
      <w:r>
        <w:rPr>
          <w:rFonts w:hint="default" w:ascii="Times New Roman" w:hAnsi="Times New Roman" w:cs="Times New Roman"/>
          <w:sz w:val="24"/>
          <w:szCs w:val="24"/>
        </w:rPr>
        <w:t>: Corresponding author: Dr. Bing Xu,</w:t>
      </w:r>
      <w:bookmarkStart w:id="2" w:name="OLE_LINK98"/>
      <w:r>
        <w:rPr>
          <w:rFonts w:hint="default" w:ascii="Times New Roman" w:hAnsi="Times New Roman" w:cs="Times New Roman"/>
          <w:sz w:val="24"/>
          <w:szCs w:val="24"/>
        </w:rPr>
        <w:t xml:space="preserve"> Email:</w:t>
      </w:r>
      <w:bookmarkEnd w:id="2"/>
      <w:r>
        <w:rPr>
          <w:rFonts w:hint="default" w:ascii="Times New Roman" w:hAnsi="Times New Roman" w:cs="Times New Roman"/>
          <w:sz w:val="24"/>
          <w:szCs w:val="24"/>
        </w:rPr>
        <w:t xml:space="preserve"> </w:t>
      </w:r>
      <w:r>
        <w:rPr>
          <w:rFonts w:hint="default" w:ascii="Times New Roman" w:hAnsi="Times New Roman" w:cs="Times New Roman"/>
        </w:rPr>
        <w:fldChar w:fldCharType="begin"/>
      </w:r>
      <w:r>
        <w:rPr>
          <w:rFonts w:hint="default" w:ascii="Times New Roman" w:hAnsi="Times New Roman" w:cs="Times New Roman"/>
        </w:rPr>
        <w:instrText xml:space="preserve"> HYPERLINK "mailto:lsznn@bucm.edu.cn" </w:instrText>
      </w:r>
      <w:r>
        <w:rPr>
          <w:rFonts w:hint="default" w:ascii="Times New Roman" w:hAnsi="Times New Roman" w:cs="Times New Roman"/>
        </w:rPr>
        <w:fldChar w:fldCharType="separate"/>
      </w:r>
      <w:r>
        <w:rPr>
          <w:rFonts w:hint="default" w:ascii="Times New Roman" w:hAnsi="Times New Roman" w:cs="Times New Roman"/>
          <w:sz w:val="24"/>
          <w:szCs w:val="24"/>
        </w:rPr>
        <w:t>xubing@bucm.edu.cn</w:t>
      </w:r>
      <w:r>
        <w:rPr>
          <w:rFonts w:hint="default" w:ascii="Times New Roman" w:hAnsi="Times New Roman" w:cs="Times New Roman"/>
          <w:sz w:val="24"/>
          <w:szCs w:val="24"/>
        </w:rPr>
        <w:fldChar w:fldCharType="end"/>
      </w:r>
    </w:p>
    <w:p w14:paraId="5EB3667B">
      <w:pPr>
        <w:spacing w:line="360" w:lineRule="auto"/>
        <w:ind w:firstLine="2880" w:firstLineChars="1200"/>
        <w:rPr>
          <w:rFonts w:hint="default" w:ascii="Times New Roman" w:hAnsi="Times New Roman" w:cs="Times New Roman"/>
          <w:sz w:val="24"/>
          <w:szCs w:val="24"/>
        </w:rPr>
      </w:pPr>
      <w:r>
        <w:rPr>
          <w:rFonts w:hint="default" w:ascii="Times New Roman" w:hAnsi="Times New Roman" w:cs="Times New Roman"/>
          <w:sz w:val="24"/>
          <w:szCs w:val="24"/>
        </w:rPr>
        <w:t>Dr. Zhishu Tang, Email: tzs6565@163.com</w:t>
      </w:r>
    </w:p>
    <w:p w14:paraId="019C2140">
      <w:pPr>
        <w:pStyle w:val="9"/>
        <w:rPr>
          <w:rFonts w:hint="default" w:ascii="Times New Roman" w:hAnsi="Times New Roman" w:cs="Times New Roman"/>
          <w:sz w:val="24"/>
          <w:szCs w:val="24"/>
        </w:rPr>
      </w:pPr>
      <w:r>
        <w:rPr>
          <w:rFonts w:hint="default" w:ascii="Times New Roman" w:hAnsi="Times New Roman" w:cs="Times New Roman"/>
          <w:sz w:val="24"/>
          <w:szCs w:val="24"/>
          <w:vertAlign w:val="superscript"/>
        </w:rPr>
        <w:t>†</w:t>
      </w:r>
      <w:r>
        <w:rPr>
          <w:rFonts w:hint="default" w:ascii="Times New Roman" w:hAnsi="Times New Roman" w:cs="Times New Roman"/>
          <w:sz w:val="24"/>
          <w:szCs w:val="24"/>
        </w:rPr>
        <w:t>: This author contributes equally to the first author.</w:t>
      </w:r>
    </w:p>
    <w:bookmarkEnd w:id="1"/>
    <w:p w14:paraId="5DB45776">
      <w:pPr>
        <w:rPr>
          <w:rFonts w:hint="default" w:ascii="Times New Roman" w:hAnsi="Times New Roman" w:cs="Times New Roman"/>
          <w:sz w:val="24"/>
          <w:szCs w:val="24"/>
        </w:rPr>
      </w:pPr>
      <w:r>
        <w:rPr>
          <w:rFonts w:hint="default" w:ascii="Times New Roman" w:hAnsi="Times New Roman" w:cs="Times New Roman"/>
          <w:sz w:val="24"/>
          <w:szCs w:val="24"/>
        </w:rPr>
        <w:br w:type="page"/>
      </w:r>
    </w:p>
    <w:p w14:paraId="209B7D41">
      <w:pPr>
        <w:rPr>
          <w:rFonts w:hint="default" w:ascii="Times New Roman" w:hAnsi="Times New Roman" w:eastAsia="宋体" w:cs="Times New Roman"/>
          <w:b/>
          <w:bCs/>
          <w:i/>
          <w:iCs/>
          <w:sz w:val="28"/>
          <w:szCs w:val="28"/>
        </w:rPr>
      </w:pPr>
      <w:r>
        <w:rPr>
          <w:rFonts w:hint="default" w:ascii="Times New Roman" w:hAnsi="Times New Roman" w:eastAsia="宋体" w:cs="Times New Roman"/>
          <w:b/>
          <w:bCs/>
          <w:i/>
          <w:iCs/>
          <w:sz w:val="28"/>
          <w:szCs w:val="28"/>
          <w:lang w:val="en-US" w:eastAsia="zh-CN"/>
        </w:rPr>
        <w:t>1</w:t>
      </w:r>
      <w:r>
        <w:rPr>
          <w:rFonts w:hint="default" w:ascii="Times New Roman" w:hAnsi="Times New Roman" w:eastAsia="宋体" w:cs="Times New Roman"/>
          <w:b/>
          <w:bCs/>
          <w:i/>
          <w:iCs/>
          <w:sz w:val="28"/>
          <w:szCs w:val="28"/>
        </w:rPr>
        <w:t>.</w:t>
      </w:r>
      <w:r>
        <w:rPr>
          <w:rFonts w:hint="default" w:ascii="Times New Roman" w:hAnsi="Times New Roman" w:cs="Times New Roman"/>
        </w:rPr>
        <w:t xml:space="preserve"> </w:t>
      </w:r>
      <w:r>
        <w:rPr>
          <w:rFonts w:hint="default" w:ascii="Times New Roman" w:hAnsi="Times New Roman" w:eastAsia="宋体" w:cs="Times New Roman"/>
          <w:b/>
          <w:bCs/>
          <w:i/>
          <w:iCs/>
          <w:sz w:val="28"/>
          <w:szCs w:val="28"/>
        </w:rPr>
        <w:t>Electronic-tongue evaluation of ATR-I</w:t>
      </w:r>
    </w:p>
    <w:p w14:paraId="33C2172D">
      <w:pPr>
        <w:pStyle w:val="9"/>
        <w:spacing w:line="360" w:lineRule="auto"/>
        <w:ind w:left="0" w:firstLine="480" w:firstLineChars="200"/>
        <w:rPr>
          <w:rFonts w:hint="default" w:ascii="Times New Roman" w:hAnsi="Times New Roman" w:cs="Times New Roman"/>
          <w:sz w:val="24"/>
          <w:szCs w:val="24"/>
        </w:rPr>
      </w:pPr>
      <w:bookmarkStart w:id="3" w:name="OLE_LINK19"/>
      <w:r>
        <w:rPr>
          <w:rFonts w:hint="default" w:ascii="Times New Roman" w:hAnsi="Times New Roman" w:cs="Times New Roman"/>
          <w:sz w:val="24"/>
          <w:szCs w:val="24"/>
        </w:rPr>
        <w:t>Sucrose solutions at concentrations of 3, 10, 30, 50, and 100 mmol/L were prepared in 5% ethanol and used as reference sweet samples.</w:t>
      </w:r>
      <w:r>
        <w:rPr>
          <w:rFonts w:hint="default" w:ascii="Times New Roman" w:hAnsi="Times New Roman" w:cs="Times New Roman"/>
        </w:rPr>
        <w:t xml:space="preserve"> </w:t>
      </w:r>
      <w:r>
        <w:rPr>
          <w:rFonts w:hint="default" w:ascii="Times New Roman" w:hAnsi="Times New Roman" w:cs="Times New Roman"/>
          <w:sz w:val="24"/>
          <w:szCs w:val="24"/>
        </w:rPr>
        <w:t>ATR-I was first dissolved in ethanol and subsequently diluted to the required concentration with a final ethanol content of 5% (v/v). The samples were analyzed using an electronic tongue, with potassium chloride solution used as the reference solution. Each sample was measured four times under identical conditions, and the stable sweetness-channel responses were recorded for subsequent analysis.</w:t>
      </w:r>
    </w:p>
    <w:bookmarkEnd w:id="3"/>
    <w:p w14:paraId="0D85A9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rPr>
      </w:pPr>
      <w:r>
        <w:rPr>
          <w:rFonts w:hint="default" w:ascii="Times New Roman" w:hAnsi="Times New Roman" w:eastAsia="宋体" w:cs="Times New Roman"/>
          <w:b w:val="0"/>
          <w:bCs w:val="0"/>
          <w:i w:val="0"/>
          <w:iCs w:val="0"/>
          <w:sz w:val="24"/>
          <w:szCs w:val="24"/>
        </w:rPr>
        <w:t xml:space="preserve">Sucrose, a typical sweet substance, was used as a reference to evaluate the taste characteristics of ATR-I using an electronic tongue. As shown in </w:t>
      </w:r>
      <w:r>
        <w:rPr>
          <w:rFonts w:hint="default" w:ascii="Times New Roman" w:hAnsi="Times New Roman" w:cs="Times New Roman"/>
          <w:color w:val="00B0F0"/>
          <w:sz w:val="24"/>
          <w:szCs w:val="24"/>
        </w:rPr>
        <w:fldChar w:fldCharType="begin"/>
      </w:r>
      <w:r>
        <w:rPr>
          <w:rFonts w:hint="default" w:ascii="Times New Roman" w:hAnsi="Times New Roman" w:cs="Times New Roman"/>
          <w:color w:val="00B0F0"/>
          <w:sz w:val="24"/>
          <w:szCs w:val="24"/>
        </w:rPr>
        <w:instrText xml:space="preserve"> REF _Ref215599899 \h  \* MERGEFORMAT </w:instrText>
      </w:r>
      <w:r>
        <w:rPr>
          <w:rFonts w:hint="default" w:ascii="Times New Roman" w:hAnsi="Times New Roman" w:cs="Times New Roman"/>
          <w:color w:val="00B0F0"/>
          <w:sz w:val="24"/>
          <w:szCs w:val="24"/>
        </w:rPr>
        <w:fldChar w:fldCharType="separate"/>
      </w:r>
      <w:r>
        <w:rPr>
          <w:rFonts w:hint="default" w:ascii="Times New Roman" w:hAnsi="Times New Roman" w:cs="Times New Roman"/>
          <w:b/>
          <w:bCs/>
          <w:color w:val="00B0F0"/>
          <w:sz w:val="24"/>
          <w:szCs w:val="24"/>
        </w:rPr>
        <w:t xml:space="preserve">Fig. </w:t>
      </w:r>
      <w:r>
        <w:rPr>
          <w:rFonts w:hint="default" w:ascii="Times New Roman" w:hAnsi="Times New Roman" w:cs="Times New Roman"/>
          <w:b/>
          <w:bCs/>
          <w:color w:val="00B0F0"/>
          <w:sz w:val="24"/>
          <w:szCs w:val="24"/>
          <w:lang w:val="en-US" w:eastAsia="zh-CN"/>
        </w:rPr>
        <w:t>S1</w:t>
      </w:r>
      <w:r>
        <w:rPr>
          <w:rFonts w:hint="default" w:ascii="Times New Roman" w:hAnsi="Times New Roman" w:cs="Times New Roman"/>
          <w:color w:val="00B0F0"/>
          <w:sz w:val="24"/>
          <w:szCs w:val="24"/>
        </w:rPr>
        <w:fldChar w:fldCharType="end"/>
      </w:r>
      <w:r>
        <w:rPr>
          <w:rFonts w:hint="default" w:ascii="Times New Roman" w:hAnsi="Times New Roman" w:eastAsia="宋体" w:cs="Times New Roman"/>
          <w:b w:val="0"/>
          <w:bCs w:val="0"/>
          <w:i w:val="0"/>
          <w:iCs w:val="0"/>
          <w:sz w:val="24"/>
          <w:szCs w:val="24"/>
        </w:rPr>
        <w:t>, sucrose solutions at 3–100 mmol/L produced evident responses in the sweetness channel, confirming the response of the electronic tongue toward sweet-tasting substances. Although the sweetness-channel responses varied among different sucrose concentrations, a clear concentration-dependent relationship was not observed over the tested range.</w:t>
      </w:r>
    </w:p>
    <w:p w14:paraId="5BC11E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rPr>
      </w:pPr>
      <w:r>
        <w:rPr>
          <w:rFonts w:hint="default" w:ascii="Times New Roman" w:hAnsi="Times New Roman" w:eastAsia="宋体" w:cs="Times New Roman"/>
          <w:b w:val="0"/>
          <w:bCs w:val="0"/>
          <w:i w:val="0"/>
          <w:iCs w:val="0"/>
          <w:sz w:val="24"/>
          <w:szCs w:val="24"/>
        </w:rPr>
        <w:t>ATR-I at 200 μmol/L produced a stable sweetness-channel response of 1</w:t>
      </w:r>
      <w:r>
        <w:rPr>
          <w:rFonts w:hint="default" w:ascii="Times New Roman" w:hAnsi="Times New Roman" w:eastAsia="宋体" w:cs="Times New Roman"/>
          <w:sz w:val="24"/>
          <w:szCs w:val="24"/>
          <w:highlight w:val="none"/>
        </w:rPr>
        <w:t>3.11</w:t>
      </w:r>
      <w:r>
        <w:rPr>
          <w:rFonts w:hint="default" w:ascii="Times New Roman" w:hAnsi="Times New Roman" w:eastAsia="宋体" w:cs="Times New Roman"/>
          <w:b w:val="0"/>
          <w:bCs w:val="0"/>
          <w:i w:val="0"/>
          <w:iCs w:val="0"/>
          <w:sz w:val="24"/>
          <w:szCs w:val="24"/>
        </w:rPr>
        <w:t xml:space="preserve"> ± 0.</w:t>
      </w:r>
      <w:r>
        <w:rPr>
          <w:rFonts w:hint="default" w:ascii="Times New Roman" w:hAnsi="Times New Roman" w:eastAsia="宋体" w:cs="Times New Roman"/>
          <w:sz w:val="24"/>
          <w:szCs w:val="24"/>
          <w:highlight w:val="none"/>
        </w:rPr>
        <w:t>67</w:t>
      </w:r>
      <w:r>
        <w:rPr>
          <w:rFonts w:hint="default" w:ascii="Times New Roman" w:hAnsi="Times New Roman" w:eastAsia="宋体" w:cs="Times New Roman"/>
          <w:b w:val="0"/>
          <w:bCs w:val="0"/>
          <w:i w:val="0"/>
          <w:iCs w:val="0"/>
          <w:sz w:val="24"/>
          <w:szCs w:val="24"/>
        </w:rPr>
        <w:t>, which was within the response range observed for the sucrose samples. The detectable response of ATR-I in the sweetness channel indicates that ATR-I exhibits a sweetness-related taste characteristic. This observation is also consistent with its interaction with the sweet taste receptor T1R2 described above.</w:t>
      </w:r>
    </w:p>
    <w:p w14:paraId="0CD7BB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highlight w:val="none"/>
        </w:rPr>
      </w:pPr>
      <w:r>
        <w:rPr>
          <w:rFonts w:hint="default" w:ascii="Times New Roman" w:hAnsi="Times New Roman" w:eastAsia="宋体" w:cs="Times New Roman"/>
          <w:b w:val="0"/>
          <w:bCs w:val="0"/>
          <w:i w:val="0"/>
          <w:iCs w:val="0"/>
          <w:sz w:val="24"/>
          <w:szCs w:val="24"/>
        </w:rPr>
        <w:t xml:space="preserve">The electronic tongue evaluates taste properties through the response patterns of taste-sensitive sensor membranes. Under the present experimental conditions, its response was more suitable for distinguishing and characterizing taste attributes than for establishing an accurate concentration–response relationship. Therefore, the electronic-tongue results were mainly used as qualitative evidence for the sweetness characteristic of ATR-I. </w:t>
      </w:r>
      <w:r>
        <w:rPr>
          <w:rFonts w:hint="default" w:ascii="Times New Roman" w:hAnsi="Times New Roman" w:eastAsia="宋体" w:cs="Times New Roman"/>
          <w:b w:val="0"/>
          <w:bCs w:val="0"/>
          <w:i w:val="0"/>
          <w:iCs w:val="0"/>
          <w:sz w:val="24"/>
          <w:szCs w:val="24"/>
          <w:highlight w:val="none"/>
        </w:rPr>
        <w:t>In contrast, the T1R2-based electrochemical biosensor showed a well-defined concentration-dependent response toward ATR-I, demonstrating its advantage for quantitative determination of ATR-I.</w:t>
      </w:r>
    </w:p>
    <w:p w14:paraId="4175FA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2668905" cy="2361565"/>
            <wp:effectExtent l="0" t="0" r="1714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2668905" cy="2361565"/>
                    </a:xfrm>
                    <a:prstGeom prst="rect">
                      <a:avLst/>
                    </a:prstGeom>
                    <a:noFill/>
                    <a:ln>
                      <a:noFill/>
                    </a:ln>
                  </pic:spPr>
                </pic:pic>
              </a:graphicData>
            </a:graphic>
          </wp:inline>
        </w:drawing>
      </w:r>
    </w:p>
    <w:p w14:paraId="0B959C97">
      <w:pPr>
        <w:pStyle w:val="2"/>
        <w:rPr>
          <w:rFonts w:hint="default" w:ascii="Times New Roman" w:hAnsi="Times New Roman" w:cs="Times New Roman"/>
          <w:szCs w:val="20"/>
          <w:lang w:val="en-US" w:eastAsia="zh-CN"/>
        </w:rPr>
      </w:pPr>
      <w:r>
        <w:rPr>
          <w:rFonts w:hint="default" w:ascii="Times New Roman" w:hAnsi="Times New Roman" w:cs="Times New Roman"/>
          <w:szCs w:val="20"/>
          <w:lang w:val="en-US" w:eastAsia="zh-CN"/>
        </w:rPr>
        <w:t>Fig S</w:t>
      </w:r>
      <w:r>
        <w:rPr>
          <w:rFonts w:hint="default" w:ascii="Times New Roman" w:hAnsi="Times New Roman" w:cs="Times New Roman"/>
          <w:szCs w:val="20"/>
          <w:lang w:val="en-US" w:eastAsia="zh-CN"/>
        </w:rPr>
        <w:fldChar w:fldCharType="begin"/>
      </w:r>
      <w:r>
        <w:rPr>
          <w:rFonts w:hint="default" w:ascii="Times New Roman" w:hAnsi="Times New Roman" w:cs="Times New Roman"/>
          <w:szCs w:val="20"/>
          <w:lang w:val="en-US" w:eastAsia="zh-CN"/>
        </w:rPr>
        <w:instrText xml:space="preserve"> SEQ Fig \* ARABIC </w:instrText>
      </w:r>
      <w:r>
        <w:rPr>
          <w:rFonts w:hint="default" w:ascii="Times New Roman" w:hAnsi="Times New Roman" w:cs="Times New Roman"/>
          <w:szCs w:val="20"/>
          <w:lang w:val="en-US" w:eastAsia="zh-CN"/>
        </w:rPr>
        <w:fldChar w:fldCharType="separate"/>
      </w:r>
      <w:r>
        <w:rPr>
          <w:rFonts w:hint="default" w:ascii="Times New Roman" w:hAnsi="Times New Roman" w:cs="Times New Roman"/>
          <w:szCs w:val="20"/>
          <w:lang w:val="en-US" w:eastAsia="zh-CN"/>
        </w:rPr>
        <w:t>1</w:t>
      </w:r>
      <w:r>
        <w:rPr>
          <w:rFonts w:hint="default" w:ascii="Times New Roman" w:hAnsi="Times New Roman" w:cs="Times New Roman"/>
          <w:szCs w:val="20"/>
          <w:lang w:val="en-US" w:eastAsia="zh-CN"/>
        </w:rPr>
        <w:fldChar w:fldCharType="end"/>
      </w:r>
      <w:r>
        <w:rPr>
          <w:rFonts w:hint="default" w:ascii="Times New Roman" w:hAnsi="Times New Roman" w:cs="Times New Roman"/>
          <w:szCs w:val="20"/>
          <w:lang w:val="en-US" w:eastAsia="zh-CN"/>
        </w:rPr>
        <w:t xml:space="preserve"> Sweetness-channel responses of sucrose solutions at different concentrations (3, 10, 30, 50, and 100 mmol/L) and the ATR-I sample (N=4)</w:t>
      </w:r>
    </w:p>
    <w:p w14:paraId="206B6BC2">
      <w:pPr>
        <w:numPr>
          <w:ilvl w:val="0"/>
          <w:numId w:val="2"/>
        </w:numPr>
        <w:rPr>
          <w:rFonts w:hint="default" w:ascii="Times New Roman" w:hAnsi="Times New Roman" w:eastAsia="宋体" w:cs="Times New Roman"/>
          <w:b/>
          <w:bCs/>
          <w:i/>
          <w:iCs/>
          <w:sz w:val="28"/>
          <w:szCs w:val="28"/>
        </w:rPr>
      </w:pPr>
      <w:r>
        <w:rPr>
          <w:rFonts w:hint="default" w:ascii="Times New Roman" w:hAnsi="Times New Roman" w:eastAsia="宋体" w:cs="Times New Roman"/>
          <w:b/>
          <w:bCs/>
          <w:i/>
          <w:iCs/>
          <w:sz w:val="28"/>
          <w:szCs w:val="28"/>
          <w:lang w:val="en-US" w:eastAsia="zh-CN"/>
        </w:rPr>
        <w:t>M</w:t>
      </w:r>
      <w:r>
        <w:rPr>
          <w:rFonts w:hint="default" w:ascii="Times New Roman" w:hAnsi="Times New Roman" w:eastAsia="宋体" w:cs="Times New Roman"/>
          <w:b/>
          <w:bCs/>
          <w:i/>
          <w:iCs/>
          <w:sz w:val="28"/>
          <w:szCs w:val="28"/>
        </w:rPr>
        <w:t>olecular docking simulation</w:t>
      </w:r>
    </w:p>
    <w:p w14:paraId="6187A54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i w:val="0"/>
          <w:iCs w:val="0"/>
          <w:sz w:val="24"/>
          <w:szCs w:val="24"/>
        </w:rPr>
      </w:pPr>
      <w:r>
        <w:rPr>
          <w:rFonts w:hint="default" w:ascii="Times New Roman" w:hAnsi="Times New Roman" w:eastAsia="宋体" w:cs="Times New Roman"/>
          <w:b w:val="0"/>
          <w:bCs w:val="0"/>
          <w:i w:val="0"/>
          <w:iCs w:val="0"/>
          <w:sz w:val="24"/>
          <w:szCs w:val="24"/>
        </w:rPr>
        <w:t xml:space="preserve">In this study, homology modeling was employed to construct the three‑dimensional structure of the target protein on the SWISS‑MODEL server. The AlphaFold‑predicted structure of squirrel monkey T1R2 (TS1R2_SAISC, A3QP08.1.A) was used as the template, yielding a sequence identity of 88.85% between the target and template sequences. The Global Model Quality Estimation (GMQE) score of the built model was 0.87, and 97.37% of residues fell within the favored region in the Ramachandran plot, demonstrating favorable structural quality of the model for subsequent molecular docking analyses. All molecular docking calculations were implemented with Discovery Studio 2019 (BIOVIA, USA). The LibDock algorithm was utilized for docking simulations. Its scoring function performs comprehensive evaluation based on the geometric complementarity between ligand molecules and polar (hydrogen‑bonding) as well as non‑polar (hydrophobic) hot‑spot regions within the receptor active site. The “From Receptor Cavities” tool in Discovery Studio was applied to detect potential binding pockets of T1R2, and a total of 24 candidate sites were obtained. The pocket with the largest volume and highest score located in the Venus flytrap domain was selected as the final docking binding site. The docking search space was defined by SBD_Site_Sphere (red sphere) with coordinates of (−2.04208, 3.52123, −27.8796). </w:t>
      </w:r>
    </w:p>
    <w:p w14:paraId="7C89CF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rPr>
      </w:pPr>
      <w:r>
        <w:rPr>
          <w:rFonts w:hint="default" w:ascii="Times New Roman" w:hAnsi="Times New Roman" w:eastAsia="宋体" w:cs="Times New Roman"/>
          <w:b w:val="0"/>
          <w:bCs w:val="0"/>
          <w:i w:val="0"/>
          <w:iCs w:val="0"/>
          <w:sz w:val="24"/>
          <w:szCs w:val="24"/>
        </w:rPr>
        <w:t>To sufficiently verify the reliability of the established T1R2 receptor docking system, re‑docking of T1R2‑glucose was performed and the LibDock scores of the top‑7 poses were collected. The gradient distribution of scores among distinct poses confirmed that the docking parameters, receptor model and pocket‑searching range were stably and effectively configured. The scores of TOP7 poses were as follows: Pose1: 93.6091, Pose2: 88.2195, Pose3: 85.6052, Pose4: 84.7916, Pose5: 80.7514, Pose6: 76.0943, Pose7: 76.6166.</w:t>
      </w:r>
      <w:bookmarkStart w:id="6" w:name="_GoBack"/>
      <w:bookmarkEnd w:id="6"/>
    </w:p>
    <w:p w14:paraId="431BE5D8">
      <w:pPr>
        <w:rPr>
          <w:rFonts w:hint="default" w:ascii="Times New Roman" w:hAnsi="Times New Roman" w:eastAsia="宋体" w:cs="Times New Roman"/>
          <w:b/>
          <w:bCs/>
          <w:i/>
          <w:iCs/>
          <w:sz w:val="28"/>
          <w:szCs w:val="28"/>
        </w:rPr>
      </w:pPr>
      <w:r>
        <w:rPr>
          <w:rFonts w:hint="default" w:ascii="Times New Roman" w:hAnsi="Times New Roman" w:eastAsia="宋体" w:cs="Times New Roman"/>
          <w:b/>
          <w:bCs/>
          <w:i/>
          <w:iCs/>
          <w:sz w:val="28"/>
          <w:szCs w:val="28"/>
          <w:lang w:val="en-US" w:eastAsia="zh-CN"/>
        </w:rPr>
        <w:t>3.</w:t>
      </w:r>
      <w:r>
        <w:rPr>
          <w:rFonts w:hint="default" w:ascii="Times New Roman" w:hAnsi="Times New Roman" w:eastAsia="宋体" w:cs="Times New Roman"/>
          <w:b/>
          <w:bCs/>
          <w:i/>
          <w:iCs/>
          <w:sz w:val="28"/>
          <w:szCs w:val="28"/>
        </w:rPr>
        <w:t xml:space="preserve"> Real-sample analysis and LC–MS/MS comparison</w:t>
      </w:r>
    </w:p>
    <w:p w14:paraId="5F667405">
      <w:pPr>
        <w:numPr>
          <w:ilvl w:val="-1"/>
          <w:numId w:val="0"/>
        </w:numPr>
        <w:spacing w:line="360" w:lineRule="auto"/>
        <w:ind w:firstLine="480" w:firstLineChars="200"/>
        <w:rPr>
          <w:rFonts w:hint="default" w:ascii="Times New Roman" w:hAnsi="Times New Roman" w:eastAsia="宋体" w:cs="Times New Roman"/>
          <w:b/>
          <w:bCs/>
          <w:i/>
          <w:iCs/>
          <w:sz w:val="28"/>
          <w:szCs w:val="28"/>
        </w:rPr>
      </w:pPr>
      <w:r>
        <w:rPr>
          <w:rFonts w:hint="default" w:ascii="Times New Roman" w:hAnsi="Times New Roman" w:cs="Times New Roman"/>
          <w:sz w:val="24"/>
          <w:szCs w:val="24"/>
        </w:rPr>
        <w:t xml:space="preserve">An </w:t>
      </w:r>
      <w:r>
        <w:rPr>
          <w:rFonts w:hint="default" w:ascii="Times New Roman" w:hAnsi="Times New Roman" w:cs="Times New Roman"/>
          <w:i/>
          <w:iCs/>
          <w:sz w:val="24"/>
          <w:szCs w:val="24"/>
        </w:rPr>
        <w:t>Atractylodes macrocephala</w:t>
      </w:r>
      <w:r>
        <w:rPr>
          <w:rFonts w:hint="default" w:ascii="Times New Roman" w:hAnsi="Times New Roman" w:cs="Times New Roman"/>
          <w:sz w:val="24"/>
          <w:szCs w:val="24"/>
        </w:rPr>
        <w:t xml:space="preserve"> extract was used as the complex sample matrix. Following appropri</w:t>
      </w:r>
      <w:bookmarkStart w:id="4" w:name="OLE_LINK21"/>
      <w:r>
        <w:rPr>
          <w:rFonts w:hint="default" w:ascii="Times New Roman" w:hAnsi="Times New Roman" w:cs="Times New Roman"/>
          <w:sz w:val="24"/>
          <w:szCs w:val="24"/>
        </w:rPr>
        <w:t xml:space="preserve">ate pretreatment, aliquots of the same extract were independently analyzed using the proposed biosensor and LC–MS/MS. Samples analyzed by the biosensor were appropriately diluted to ensure that the responses fell within the established calibration range. </w:t>
      </w:r>
      <w:bookmarkEnd w:id="4"/>
      <w:r>
        <w:rPr>
          <w:rFonts w:hint="default" w:ascii="Times New Roman" w:hAnsi="Times New Roman" w:cs="Times New Roman"/>
          <w:sz w:val="24"/>
          <w:szCs w:val="24"/>
        </w:rPr>
        <w:t>LC–MS/MS was used as the reference method for the determination of atractylenolide I. Six parallel measurements were performed using each method, and the biosensor results were compared with those obtained by LC–MS/MS.</w:t>
      </w:r>
    </w:p>
    <w:p w14:paraId="700581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 xml:space="preserve">The applicability of the proposed biosensor in a complex matrix was evaluated using </w:t>
      </w:r>
      <w:r>
        <w:rPr>
          <w:rFonts w:hint="default" w:ascii="Times New Roman" w:hAnsi="Times New Roman" w:eastAsia="黑体" w:cs="Times New Roman"/>
          <w:b w:val="0"/>
          <w:bCs w:val="0"/>
          <w:i/>
          <w:iCs/>
          <w:sz w:val="24"/>
          <w:szCs w:val="24"/>
        </w:rPr>
        <w:t>Atractylodes macrocephala</w:t>
      </w:r>
      <w:r>
        <w:rPr>
          <w:rFonts w:hint="default" w:ascii="Times New Roman" w:hAnsi="Times New Roman" w:eastAsia="黑体" w:cs="Times New Roman"/>
          <w:b w:val="0"/>
          <w:bCs w:val="0"/>
          <w:sz w:val="24"/>
          <w:szCs w:val="24"/>
        </w:rPr>
        <w:t xml:space="preserve"> extracts. Aliquots of the same extracts were independently analyzed using the proposed biosensor and LC–MS/MS, with LC–MS/MS serving as the reference method for ATR-I determination. Six parallel measurements were performed using each method</w:t>
      </w:r>
      <w:r>
        <w:rPr>
          <w:rFonts w:hint="default" w:ascii="Times New Roman" w:hAnsi="Times New Roman" w:eastAsia="黑体" w:cs="Times New Roman"/>
          <w:sz w:val="24"/>
          <w:szCs w:val="24"/>
        </w:rPr>
        <w:t>.</w:t>
      </w:r>
      <w:r>
        <w:rPr>
          <w:rFonts w:hint="default" w:ascii="Times New Roman" w:hAnsi="Times New Roman" w:eastAsia="黑体" w:cs="Times New Roman"/>
          <w:b w:val="0"/>
          <w:bCs w:val="0"/>
          <w:sz w:val="24"/>
          <w:szCs w:val="24"/>
        </w:rPr>
        <w:t xml:space="preserve"> </w:t>
      </w:r>
      <w:r>
        <w:rPr>
          <w:rFonts w:hint="default" w:ascii="Times New Roman" w:hAnsi="Times New Roman" w:eastAsia="黑体" w:cs="Times New Roman"/>
          <w:sz w:val="24"/>
          <w:szCs w:val="24"/>
        </w:rPr>
        <w:t xml:space="preserve">As shown in Table 2, the values obtained by the biosensor were generally higher than those obtained by LC–MS/MS, while a consistent variation trend was observed among the tested samples. </w:t>
      </w:r>
      <w:r>
        <w:rPr>
          <w:rFonts w:hint="default" w:ascii="Times New Roman" w:hAnsi="Times New Roman" w:eastAsia="黑体" w:cs="Times New Roman"/>
          <w:b w:val="0"/>
          <w:bCs w:val="0"/>
          <w:sz w:val="24"/>
          <w:szCs w:val="24"/>
        </w:rPr>
        <w:t xml:space="preserve">The relatively higher values obtained by the biosensor may be attributed to matrix components in the extracts that can interact with the receptor-modified sensing interface and contribute to the electrochemical response. In addition, analyte loss during sample pretreatment or matrix-induced ion suppression may result in relatively lower values in LC–MS/MS analysis. Overall, the comparable results demonstrate the applicability of the proposed biosensor for ATR-I determination in </w:t>
      </w:r>
      <w:r>
        <w:rPr>
          <w:rFonts w:hint="default" w:ascii="Times New Roman" w:hAnsi="Times New Roman" w:eastAsia="黑体" w:cs="Times New Roman"/>
          <w:b w:val="0"/>
          <w:bCs w:val="0"/>
          <w:i/>
          <w:iCs/>
          <w:sz w:val="24"/>
          <w:szCs w:val="24"/>
        </w:rPr>
        <w:t>Atractylodes macrocephala</w:t>
      </w:r>
      <w:r>
        <w:rPr>
          <w:rFonts w:hint="default" w:ascii="Times New Roman" w:hAnsi="Times New Roman" w:eastAsia="黑体" w:cs="Times New Roman"/>
          <w:b w:val="0"/>
          <w:bCs w:val="0"/>
          <w:sz w:val="24"/>
          <w:szCs w:val="24"/>
        </w:rPr>
        <w:t xml:space="preserve"> extracts.</w:t>
      </w:r>
    </w:p>
    <w:p w14:paraId="76A48357">
      <w:pPr>
        <w:ind w:firstLine="402" w:firstLineChars="200"/>
        <w:rPr>
          <w:rFonts w:hint="default" w:ascii="Times New Roman" w:hAnsi="Times New Roman" w:eastAsia="黑体" w:cs="Times New Roman"/>
          <w:sz w:val="20"/>
          <w:szCs w:val="20"/>
        </w:rPr>
      </w:pPr>
      <w:r>
        <w:rPr>
          <w:rFonts w:hint="default" w:ascii="Times New Roman" w:hAnsi="Times New Roman" w:eastAsia="黑体" w:cs="Times New Roman"/>
          <w:b/>
          <w:bCs/>
          <w:sz w:val="20"/>
          <w:szCs w:val="20"/>
        </w:rPr>
        <w:t xml:space="preserve">Table </w:t>
      </w:r>
      <w:r>
        <w:rPr>
          <w:rFonts w:hint="eastAsia" w:ascii="Times New Roman" w:hAnsi="Times New Roman" w:eastAsia="黑体" w:cs="Times New Roman"/>
          <w:b/>
          <w:bCs/>
          <w:sz w:val="20"/>
          <w:szCs w:val="20"/>
          <w:lang w:val="en-US" w:eastAsia="zh-CN"/>
        </w:rPr>
        <w:t>S1</w:t>
      </w:r>
      <w:r>
        <w:rPr>
          <w:rFonts w:hint="default" w:ascii="Times New Roman" w:hAnsi="Times New Roman" w:eastAsia="黑体" w:cs="Times New Roman"/>
          <w:sz w:val="20"/>
          <w:szCs w:val="20"/>
        </w:rPr>
        <w:t xml:space="preserve"> Comparison of ATR-I determination in Atractylodes macrocephala samples by LC–MS/MS and the electrochemical biosensor (N=6)</w:t>
      </w:r>
    </w:p>
    <w:tbl>
      <w:tblPr>
        <w:tblStyle w:val="8"/>
        <w:tblW w:w="8355"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93"/>
        <w:gridCol w:w="1894"/>
        <w:gridCol w:w="1593"/>
        <w:gridCol w:w="1680"/>
        <w:gridCol w:w="1595"/>
      </w:tblGrid>
      <w:tr w14:paraId="0E749B0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trPr>
        <w:tc>
          <w:tcPr>
            <w:tcW w:w="1593" w:type="dxa"/>
            <w:tcBorders>
              <w:top w:val="single" w:color="000000" w:sz="8" w:space="0"/>
              <w:bottom w:val="single" w:color="000000" w:sz="8" w:space="0"/>
              <w:insideH w:val="single" w:sz="4" w:space="0"/>
            </w:tcBorders>
            <w:vAlign w:val="center"/>
          </w:tcPr>
          <w:p w14:paraId="2F766A6E">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Sample</w:t>
            </w:r>
          </w:p>
        </w:tc>
        <w:tc>
          <w:tcPr>
            <w:tcW w:w="1894" w:type="dxa"/>
            <w:tcBorders>
              <w:top w:val="single" w:color="000000" w:sz="8" w:space="0"/>
              <w:bottom w:val="single" w:color="000000" w:sz="8" w:space="0"/>
              <w:insideH w:val="single" w:sz="4" w:space="0"/>
            </w:tcBorders>
            <w:vAlign w:val="center"/>
          </w:tcPr>
          <w:p w14:paraId="6CDDDB78">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Biosensor(mg/g)</w:t>
            </w:r>
          </w:p>
        </w:tc>
        <w:tc>
          <w:tcPr>
            <w:tcW w:w="1593" w:type="dxa"/>
            <w:tcBorders>
              <w:top w:val="single" w:color="000000" w:sz="8" w:space="0"/>
              <w:bottom w:val="single" w:color="000000" w:sz="8" w:space="0"/>
              <w:insideH w:val="single" w:sz="4" w:space="0"/>
            </w:tcBorders>
            <w:vAlign w:val="center"/>
          </w:tcPr>
          <w:p w14:paraId="16397ECF">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RSD(%)</w:t>
            </w:r>
          </w:p>
        </w:tc>
        <w:tc>
          <w:tcPr>
            <w:tcW w:w="1680" w:type="dxa"/>
            <w:tcBorders>
              <w:top w:val="single" w:color="000000" w:sz="8" w:space="0"/>
              <w:bottom w:val="single" w:color="000000" w:sz="8" w:space="0"/>
              <w:insideH w:val="single" w:sz="4" w:space="0"/>
            </w:tcBorders>
            <w:vAlign w:val="center"/>
          </w:tcPr>
          <w:p w14:paraId="36C29A8D">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LC-MS/MS(mg/g)</w:t>
            </w:r>
          </w:p>
        </w:tc>
        <w:tc>
          <w:tcPr>
            <w:tcW w:w="1595" w:type="dxa"/>
            <w:tcBorders>
              <w:top w:val="single" w:color="000000" w:sz="8" w:space="0"/>
              <w:bottom w:val="single" w:color="000000" w:sz="8" w:space="0"/>
              <w:insideH w:val="single" w:sz="4" w:space="0"/>
            </w:tcBorders>
            <w:vAlign w:val="center"/>
          </w:tcPr>
          <w:p w14:paraId="62AFD469">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RSD(%)</w:t>
            </w:r>
          </w:p>
        </w:tc>
      </w:tr>
      <w:tr w14:paraId="5D61540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593" w:type="dxa"/>
            <w:tcBorders>
              <w:top w:val="single" w:color="000000" w:sz="8" w:space="0"/>
              <w:bottom w:val="nil"/>
              <w:insideH w:val="single" w:sz="4" w:space="0"/>
            </w:tcBorders>
          </w:tcPr>
          <w:p w14:paraId="2A6C6869">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Sample1</w:t>
            </w:r>
          </w:p>
        </w:tc>
        <w:tc>
          <w:tcPr>
            <w:tcW w:w="1894" w:type="dxa"/>
            <w:tcBorders>
              <w:top w:val="single" w:color="000000" w:sz="8" w:space="0"/>
              <w:bottom w:val="nil"/>
              <w:insideH w:val="single" w:sz="4" w:space="0"/>
            </w:tcBorders>
          </w:tcPr>
          <w:p w14:paraId="1BEE4A34">
            <w:pPr>
              <w:jc w:val="center"/>
              <w:rPr>
                <w:rFonts w:hint="default" w:ascii="Times New Roman" w:hAnsi="Times New Roman" w:cs="Times New Roman"/>
                <w:sz w:val="18"/>
                <w:szCs w:val="18"/>
              </w:rPr>
            </w:pPr>
            <w:r>
              <w:rPr>
                <w:rFonts w:hint="default" w:ascii="Times New Roman" w:hAnsi="Times New Roman" w:cs="Times New Roman"/>
                <w:sz w:val="18"/>
                <w:szCs w:val="18"/>
              </w:rPr>
              <w:t>0.62</w:t>
            </w:r>
          </w:p>
        </w:tc>
        <w:tc>
          <w:tcPr>
            <w:tcW w:w="1593" w:type="dxa"/>
            <w:tcBorders>
              <w:top w:val="single" w:color="000000" w:sz="8" w:space="0"/>
              <w:bottom w:val="nil"/>
              <w:insideH w:val="single" w:sz="4" w:space="0"/>
            </w:tcBorders>
          </w:tcPr>
          <w:p w14:paraId="1FA1805D">
            <w:pPr>
              <w:jc w:val="center"/>
              <w:rPr>
                <w:rFonts w:hint="default" w:ascii="Times New Roman" w:hAnsi="Times New Roman" w:cs="Times New Roman"/>
                <w:sz w:val="18"/>
                <w:szCs w:val="18"/>
              </w:rPr>
            </w:pPr>
            <w:r>
              <w:rPr>
                <w:rFonts w:hint="default" w:ascii="Times New Roman" w:hAnsi="Times New Roman" w:cs="Times New Roman"/>
                <w:sz w:val="18"/>
                <w:szCs w:val="18"/>
              </w:rPr>
              <w:t>1.85</w:t>
            </w:r>
          </w:p>
        </w:tc>
        <w:tc>
          <w:tcPr>
            <w:tcW w:w="1680" w:type="dxa"/>
            <w:tcBorders>
              <w:top w:val="single" w:color="000000" w:sz="8" w:space="0"/>
              <w:bottom w:val="nil"/>
              <w:insideH w:val="single" w:sz="4" w:space="0"/>
            </w:tcBorders>
          </w:tcPr>
          <w:p w14:paraId="11C6309A">
            <w:pPr>
              <w:jc w:val="center"/>
              <w:rPr>
                <w:rFonts w:hint="default" w:ascii="Times New Roman" w:hAnsi="Times New Roman" w:cs="Times New Roman"/>
                <w:sz w:val="18"/>
                <w:szCs w:val="18"/>
              </w:rPr>
            </w:pPr>
            <w:r>
              <w:rPr>
                <w:rFonts w:hint="default" w:ascii="Times New Roman" w:hAnsi="Times New Roman" w:cs="Times New Roman"/>
                <w:sz w:val="18"/>
                <w:szCs w:val="18"/>
              </w:rPr>
              <w:t>0.41</w:t>
            </w:r>
          </w:p>
        </w:tc>
        <w:tc>
          <w:tcPr>
            <w:tcW w:w="1595" w:type="dxa"/>
            <w:tcBorders>
              <w:top w:val="single" w:color="000000" w:sz="8" w:space="0"/>
              <w:bottom w:val="nil"/>
              <w:insideH w:val="single" w:sz="4" w:space="0"/>
            </w:tcBorders>
          </w:tcPr>
          <w:p w14:paraId="7B433BFD">
            <w:pPr>
              <w:jc w:val="center"/>
              <w:rPr>
                <w:rFonts w:hint="default" w:ascii="Times New Roman" w:hAnsi="Times New Roman" w:cs="Times New Roman"/>
                <w:sz w:val="18"/>
                <w:szCs w:val="18"/>
              </w:rPr>
            </w:pPr>
            <w:r>
              <w:rPr>
                <w:rFonts w:hint="default" w:ascii="Times New Roman" w:hAnsi="Times New Roman" w:cs="Times New Roman"/>
                <w:sz w:val="18"/>
                <w:szCs w:val="18"/>
              </w:rPr>
              <w:t>1.01</w:t>
            </w:r>
          </w:p>
        </w:tc>
      </w:tr>
      <w:tr w14:paraId="684924E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1593" w:type="dxa"/>
            <w:tcBorders>
              <w:top w:val="nil"/>
              <w:bottom w:val="nil"/>
            </w:tcBorders>
          </w:tcPr>
          <w:p w14:paraId="79E10813">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Sample2</w:t>
            </w:r>
          </w:p>
        </w:tc>
        <w:tc>
          <w:tcPr>
            <w:tcW w:w="1894" w:type="dxa"/>
            <w:tcBorders>
              <w:top w:val="nil"/>
              <w:bottom w:val="nil"/>
            </w:tcBorders>
          </w:tcPr>
          <w:p w14:paraId="48FFACF3">
            <w:pPr>
              <w:jc w:val="center"/>
              <w:rPr>
                <w:rFonts w:hint="default" w:ascii="Times New Roman" w:hAnsi="Times New Roman" w:cs="Times New Roman"/>
                <w:sz w:val="18"/>
                <w:szCs w:val="18"/>
              </w:rPr>
            </w:pPr>
            <w:r>
              <w:rPr>
                <w:rFonts w:hint="default" w:ascii="Times New Roman" w:hAnsi="Times New Roman" w:cs="Times New Roman"/>
                <w:sz w:val="18"/>
                <w:szCs w:val="18"/>
              </w:rPr>
              <w:t>0.85</w:t>
            </w:r>
          </w:p>
        </w:tc>
        <w:tc>
          <w:tcPr>
            <w:tcW w:w="1593" w:type="dxa"/>
            <w:tcBorders>
              <w:top w:val="nil"/>
              <w:bottom w:val="nil"/>
            </w:tcBorders>
          </w:tcPr>
          <w:p w14:paraId="139ABD6C">
            <w:pPr>
              <w:jc w:val="center"/>
              <w:rPr>
                <w:rFonts w:hint="default" w:ascii="Times New Roman" w:hAnsi="Times New Roman" w:cs="Times New Roman"/>
                <w:sz w:val="18"/>
                <w:szCs w:val="18"/>
              </w:rPr>
            </w:pPr>
            <w:r>
              <w:rPr>
                <w:rFonts w:hint="default" w:ascii="Times New Roman" w:hAnsi="Times New Roman" w:cs="Times New Roman"/>
                <w:sz w:val="18"/>
                <w:szCs w:val="18"/>
              </w:rPr>
              <w:t>3.36</w:t>
            </w:r>
          </w:p>
        </w:tc>
        <w:tc>
          <w:tcPr>
            <w:tcW w:w="1680" w:type="dxa"/>
            <w:tcBorders>
              <w:top w:val="nil"/>
              <w:bottom w:val="nil"/>
            </w:tcBorders>
          </w:tcPr>
          <w:p w14:paraId="3261953A">
            <w:pPr>
              <w:jc w:val="center"/>
              <w:rPr>
                <w:rFonts w:hint="default" w:ascii="Times New Roman" w:hAnsi="Times New Roman" w:cs="Times New Roman"/>
                <w:sz w:val="18"/>
                <w:szCs w:val="18"/>
              </w:rPr>
            </w:pPr>
            <w:r>
              <w:rPr>
                <w:rFonts w:hint="default" w:ascii="Times New Roman" w:hAnsi="Times New Roman" w:cs="Times New Roman"/>
                <w:sz w:val="18"/>
                <w:szCs w:val="18"/>
              </w:rPr>
              <w:t>0.77</w:t>
            </w:r>
          </w:p>
        </w:tc>
        <w:tc>
          <w:tcPr>
            <w:tcW w:w="1595" w:type="dxa"/>
            <w:tcBorders>
              <w:top w:val="nil"/>
              <w:bottom w:val="nil"/>
            </w:tcBorders>
          </w:tcPr>
          <w:p w14:paraId="64A6A65D">
            <w:pPr>
              <w:jc w:val="center"/>
              <w:rPr>
                <w:rFonts w:hint="default" w:ascii="Times New Roman" w:hAnsi="Times New Roman" w:cs="Times New Roman"/>
                <w:sz w:val="18"/>
                <w:szCs w:val="18"/>
              </w:rPr>
            </w:pPr>
            <w:r>
              <w:rPr>
                <w:rFonts w:hint="default" w:ascii="Times New Roman" w:hAnsi="Times New Roman" w:cs="Times New Roman"/>
                <w:sz w:val="18"/>
                <w:szCs w:val="18"/>
              </w:rPr>
              <w:t>0.92</w:t>
            </w:r>
          </w:p>
        </w:tc>
      </w:tr>
      <w:tr w14:paraId="1DA1323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1593" w:type="dxa"/>
            <w:tcBorders>
              <w:top w:val="nil"/>
              <w:bottom w:val="single" w:color="000000" w:sz="8" w:space="0"/>
              <w:insideH w:val="single" w:sz="4" w:space="0"/>
            </w:tcBorders>
          </w:tcPr>
          <w:p w14:paraId="5918EFE8">
            <w:pPr>
              <w:jc w:val="center"/>
              <w:rPr>
                <w:rFonts w:hint="default" w:ascii="Times New Roman" w:hAnsi="Times New Roman" w:cs="Times New Roman"/>
                <w:b/>
                <w:bCs/>
                <w:sz w:val="18"/>
                <w:szCs w:val="18"/>
              </w:rPr>
            </w:pPr>
            <w:r>
              <w:rPr>
                <w:rFonts w:hint="default" w:ascii="Times New Roman" w:hAnsi="Times New Roman" w:cs="Times New Roman"/>
                <w:b/>
                <w:bCs/>
                <w:sz w:val="18"/>
                <w:szCs w:val="18"/>
              </w:rPr>
              <w:t>Sample3</w:t>
            </w:r>
          </w:p>
        </w:tc>
        <w:tc>
          <w:tcPr>
            <w:tcW w:w="1894" w:type="dxa"/>
            <w:tcBorders>
              <w:top w:val="nil"/>
              <w:bottom w:val="single" w:color="000000" w:sz="8" w:space="0"/>
              <w:insideH w:val="single" w:sz="4" w:space="0"/>
            </w:tcBorders>
          </w:tcPr>
          <w:p w14:paraId="2CB87026">
            <w:pPr>
              <w:jc w:val="center"/>
              <w:rPr>
                <w:rFonts w:hint="default" w:ascii="Times New Roman" w:hAnsi="Times New Roman" w:cs="Times New Roman"/>
                <w:sz w:val="18"/>
                <w:szCs w:val="18"/>
              </w:rPr>
            </w:pPr>
            <w:r>
              <w:rPr>
                <w:rFonts w:hint="default" w:ascii="Times New Roman" w:hAnsi="Times New Roman" w:cs="Times New Roman"/>
                <w:sz w:val="18"/>
                <w:szCs w:val="18"/>
              </w:rPr>
              <w:t>0.68</w:t>
            </w:r>
          </w:p>
        </w:tc>
        <w:tc>
          <w:tcPr>
            <w:tcW w:w="1593" w:type="dxa"/>
            <w:tcBorders>
              <w:top w:val="nil"/>
              <w:bottom w:val="single" w:color="000000" w:sz="8" w:space="0"/>
              <w:insideH w:val="single" w:sz="4" w:space="0"/>
            </w:tcBorders>
          </w:tcPr>
          <w:p w14:paraId="3AB3259E">
            <w:pPr>
              <w:jc w:val="center"/>
              <w:rPr>
                <w:rFonts w:hint="default" w:ascii="Times New Roman" w:hAnsi="Times New Roman" w:cs="Times New Roman"/>
                <w:sz w:val="18"/>
                <w:szCs w:val="18"/>
              </w:rPr>
            </w:pPr>
            <w:r>
              <w:rPr>
                <w:rFonts w:hint="default" w:ascii="Times New Roman" w:hAnsi="Times New Roman" w:cs="Times New Roman"/>
                <w:sz w:val="18"/>
                <w:szCs w:val="18"/>
              </w:rPr>
              <w:t>3.77</w:t>
            </w:r>
          </w:p>
        </w:tc>
        <w:tc>
          <w:tcPr>
            <w:tcW w:w="1680" w:type="dxa"/>
            <w:tcBorders>
              <w:top w:val="nil"/>
              <w:bottom w:val="single" w:color="000000" w:sz="8" w:space="0"/>
              <w:insideH w:val="single" w:sz="4" w:space="0"/>
            </w:tcBorders>
          </w:tcPr>
          <w:p w14:paraId="05B6E0A4">
            <w:pPr>
              <w:jc w:val="center"/>
              <w:rPr>
                <w:rFonts w:hint="default" w:ascii="Times New Roman" w:hAnsi="Times New Roman" w:cs="Times New Roman"/>
                <w:sz w:val="18"/>
                <w:szCs w:val="18"/>
              </w:rPr>
            </w:pPr>
            <w:r>
              <w:rPr>
                <w:rFonts w:hint="default" w:ascii="Times New Roman" w:hAnsi="Times New Roman" w:cs="Times New Roman"/>
                <w:sz w:val="18"/>
                <w:szCs w:val="18"/>
              </w:rPr>
              <w:t>0.53</w:t>
            </w:r>
          </w:p>
        </w:tc>
        <w:tc>
          <w:tcPr>
            <w:tcW w:w="1595" w:type="dxa"/>
            <w:tcBorders>
              <w:top w:val="nil"/>
              <w:bottom w:val="single" w:color="000000" w:sz="8" w:space="0"/>
              <w:insideH w:val="single" w:sz="4" w:space="0"/>
            </w:tcBorders>
          </w:tcPr>
          <w:p w14:paraId="53D49692">
            <w:pPr>
              <w:jc w:val="center"/>
              <w:rPr>
                <w:rFonts w:hint="default" w:ascii="Times New Roman" w:hAnsi="Times New Roman" w:cs="Times New Roman"/>
                <w:sz w:val="18"/>
                <w:szCs w:val="18"/>
              </w:rPr>
            </w:pPr>
            <w:r>
              <w:rPr>
                <w:rFonts w:hint="default" w:ascii="Times New Roman" w:hAnsi="Times New Roman" w:cs="Times New Roman"/>
                <w:sz w:val="18"/>
                <w:szCs w:val="18"/>
              </w:rPr>
              <w:t>2.75</w:t>
            </w:r>
          </w:p>
        </w:tc>
      </w:tr>
    </w:tbl>
    <w:p w14:paraId="27CF110B">
      <w:pPr>
        <w:rPr>
          <w:rFonts w:hint="default" w:ascii="Times New Roman" w:hAnsi="Times New Roman" w:cs="Times New Roman"/>
          <w:lang w:val="en-US" w:eastAsia="zh-CN"/>
        </w:rPr>
      </w:pPr>
    </w:p>
    <w:p w14:paraId="12F7F7CD">
      <w:pPr>
        <w:numPr>
          <w:ilvl w:val="0"/>
          <w:numId w:val="2"/>
        </w:numPr>
        <w:ind w:left="0" w:leftChars="0" w:firstLine="0" w:firstLineChars="0"/>
        <w:rPr>
          <w:rFonts w:hint="default" w:ascii="Times New Roman" w:hAnsi="Times New Roman" w:eastAsia="宋体" w:cs="Times New Roman"/>
          <w:b/>
          <w:bCs/>
          <w:i/>
          <w:iCs/>
          <w:sz w:val="28"/>
          <w:szCs w:val="28"/>
          <w:lang w:val="en-US" w:eastAsia="zh-CN"/>
        </w:rPr>
      </w:pPr>
      <w:r>
        <w:rPr>
          <w:rFonts w:hint="default" w:ascii="Times New Roman" w:hAnsi="Times New Roman" w:eastAsia="宋体" w:cs="Times New Roman"/>
          <w:b/>
          <w:bCs/>
          <w:i/>
          <w:iCs/>
          <w:sz w:val="28"/>
          <w:szCs w:val="28"/>
          <w:lang w:val="en-US" w:eastAsia="zh-CN"/>
        </w:rPr>
        <w:t>Performance Comparison Between This Sensor and Similar Sensors</w:t>
      </w:r>
    </w:p>
    <w:p w14:paraId="649CBB33">
      <w:pPr>
        <w:numPr>
          <w:ilvl w:val="0"/>
          <w:numId w:val="0"/>
        </w:numPr>
        <w:rPr>
          <w:rFonts w:hint="default" w:ascii="Times New Roman" w:hAnsi="Times New Roman" w:eastAsia="宋体" w:cs="Times New Roman"/>
          <w:b/>
          <w:bCs/>
          <w:i/>
          <w:iCs/>
          <w:sz w:val="28"/>
          <w:szCs w:val="28"/>
          <w:lang w:val="en-US" w:eastAsia="zh-CN"/>
        </w:rPr>
      </w:pPr>
      <w:r>
        <w:rPr>
          <w:rFonts w:hint="default" w:ascii="Times New Roman" w:hAnsi="Times New Roman" w:eastAsia="黑体" w:cs="Times New Roman"/>
          <w:b/>
          <w:bCs/>
          <w:sz w:val="20"/>
          <w:szCs w:val="20"/>
        </w:rPr>
        <w:t xml:space="preserve">Table </w:t>
      </w:r>
      <w:r>
        <w:rPr>
          <w:rFonts w:hint="eastAsia" w:ascii="Times New Roman" w:hAnsi="Times New Roman" w:eastAsia="黑体" w:cs="Times New Roman"/>
          <w:b/>
          <w:bCs/>
          <w:sz w:val="20"/>
          <w:szCs w:val="20"/>
          <w:lang w:val="en-US" w:eastAsia="zh-CN"/>
        </w:rPr>
        <w:t>S2</w:t>
      </w:r>
      <w:r>
        <w:rPr>
          <w:rFonts w:hint="default" w:ascii="Times New Roman" w:hAnsi="Times New Roman" w:eastAsia="黑体" w:cs="Times New Roman"/>
          <w:sz w:val="20"/>
          <w:szCs w:val="20"/>
        </w:rPr>
        <w:t xml:space="preserve"> Comparison of ATR-I determination in Atractylodes macrocephala samples by LC–MS/MS and the electrochemical bios</w:t>
      </w:r>
    </w:p>
    <w:tbl>
      <w:tblPr>
        <w:tblStyle w:val="4"/>
        <w:tblW w:w="9525" w:type="dxa"/>
        <w:tblInd w:w="-427" w:type="dxa"/>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72"/>
        <w:gridCol w:w="1603"/>
        <w:gridCol w:w="2225"/>
        <w:gridCol w:w="986"/>
        <w:gridCol w:w="1477"/>
        <w:gridCol w:w="1462"/>
      </w:tblGrid>
      <w:tr w14:paraId="1B2EF527">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772" w:type="dxa"/>
            <w:tcBorders>
              <w:top w:val="single" w:color="000000" w:sz="8" w:space="0"/>
              <w:bottom w:val="single" w:color="000000" w:sz="8" w:space="0"/>
            </w:tcBorders>
            <w:vAlign w:val="center"/>
          </w:tcPr>
          <w:p w14:paraId="3D9A37AF">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cs="Times New Roman"/>
                <w:b/>
                <w:bCs/>
                <w:color w:val="000000"/>
                <w:sz w:val="18"/>
                <w:szCs w:val="18"/>
              </w:rPr>
              <w:t>Sensor Type</w:t>
            </w:r>
          </w:p>
        </w:tc>
        <w:tc>
          <w:tcPr>
            <w:tcW w:w="1603" w:type="dxa"/>
            <w:tcBorders>
              <w:bottom w:val="single" w:color="000000" w:sz="8" w:space="0"/>
            </w:tcBorders>
            <w:vAlign w:val="center"/>
          </w:tcPr>
          <w:p w14:paraId="22B77635">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eastAsia="Segoe UI" w:cs="Times New Roman"/>
                <w:b/>
                <w:bCs/>
                <w:i w:val="0"/>
                <w:iCs w:val="0"/>
                <w:caps w:val="0"/>
                <w:color w:val="0F1115"/>
                <w:spacing w:val="0"/>
                <w:sz w:val="18"/>
                <w:szCs w:val="18"/>
                <w:shd w:val="clear" w:fill="FFFFFF"/>
              </w:rPr>
              <w:t>LOD</w:t>
            </w:r>
          </w:p>
        </w:tc>
        <w:tc>
          <w:tcPr>
            <w:tcW w:w="2225" w:type="dxa"/>
            <w:tcBorders>
              <w:bottom w:val="single" w:color="000000" w:sz="8" w:space="0"/>
            </w:tcBorders>
            <w:vAlign w:val="center"/>
          </w:tcPr>
          <w:p w14:paraId="342CF475">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eastAsia="Segoe UI" w:cs="Times New Roman"/>
                <w:b/>
                <w:bCs/>
                <w:i w:val="0"/>
                <w:iCs w:val="0"/>
                <w:caps w:val="0"/>
                <w:color w:val="0F1115"/>
                <w:spacing w:val="0"/>
                <w:sz w:val="18"/>
                <w:szCs w:val="18"/>
                <w:shd w:val="clear" w:fill="FFFFFF"/>
              </w:rPr>
              <w:t>Linear Range</w:t>
            </w:r>
          </w:p>
        </w:tc>
        <w:tc>
          <w:tcPr>
            <w:tcW w:w="986" w:type="dxa"/>
            <w:tcBorders>
              <w:bottom w:val="single" w:color="000000" w:sz="8" w:space="0"/>
            </w:tcBorders>
            <w:vAlign w:val="center"/>
          </w:tcPr>
          <w:p w14:paraId="585146D1">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eastAsia="Segoe UI" w:cs="Times New Roman"/>
                <w:b/>
                <w:bCs/>
                <w:i w:val="0"/>
                <w:iCs w:val="0"/>
                <w:caps w:val="0"/>
                <w:color w:val="0F1115"/>
                <w:spacing w:val="0"/>
                <w:sz w:val="18"/>
                <w:szCs w:val="18"/>
                <w:shd w:val="clear" w:fill="FFFFFF"/>
              </w:rPr>
              <w:t>Response Time</w:t>
            </w:r>
          </w:p>
        </w:tc>
        <w:tc>
          <w:tcPr>
            <w:tcW w:w="1477" w:type="dxa"/>
            <w:tcBorders>
              <w:bottom w:val="single" w:color="000000" w:sz="8" w:space="0"/>
            </w:tcBorders>
            <w:vAlign w:val="center"/>
          </w:tcPr>
          <w:p w14:paraId="40B6F490">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eastAsia="Segoe UI" w:cs="Times New Roman"/>
                <w:b/>
                <w:bCs/>
                <w:i w:val="0"/>
                <w:iCs w:val="0"/>
                <w:caps w:val="0"/>
                <w:color w:val="0F1115"/>
                <w:spacing w:val="0"/>
                <w:sz w:val="18"/>
                <w:szCs w:val="18"/>
                <w:shd w:val="clear" w:fill="FFFFFF"/>
              </w:rPr>
              <w:t>Selectivity System</w:t>
            </w:r>
          </w:p>
        </w:tc>
        <w:tc>
          <w:tcPr>
            <w:tcW w:w="1462" w:type="dxa"/>
            <w:tcBorders>
              <w:bottom w:val="single" w:color="000000" w:sz="8" w:space="0"/>
            </w:tcBorders>
            <w:vAlign w:val="center"/>
          </w:tcPr>
          <w:p w14:paraId="5847E1D4">
            <w:pPr>
              <w:widowControl/>
              <w:spacing w:line="360" w:lineRule="atLeast"/>
              <w:ind w:right="-132" w:rightChars="-63"/>
              <w:jc w:val="center"/>
              <w:rPr>
                <w:rFonts w:hint="default" w:ascii="Times New Roman" w:hAnsi="Times New Roman" w:cs="Times New Roman"/>
                <w:b/>
                <w:bCs/>
                <w:color w:val="000000"/>
                <w:sz w:val="18"/>
                <w:szCs w:val="18"/>
              </w:rPr>
            </w:pPr>
            <w:r>
              <w:rPr>
                <w:rFonts w:hint="default" w:ascii="Times New Roman" w:hAnsi="Times New Roman" w:eastAsia="Segoe UI" w:cs="Times New Roman"/>
                <w:b/>
                <w:bCs/>
                <w:i w:val="0"/>
                <w:iCs w:val="0"/>
                <w:caps w:val="0"/>
                <w:color w:val="0F1115"/>
                <w:spacing w:val="0"/>
                <w:sz w:val="18"/>
                <w:szCs w:val="18"/>
                <w:shd w:val="clear" w:fill="FFFFFF"/>
              </w:rPr>
              <w:t>Real</w:t>
            </w:r>
            <w:r>
              <w:rPr>
                <w:rFonts w:hint="default" w:ascii="Times New Roman" w:hAnsi="Times New Roman" w:eastAsia="Segoe UI" w:cs="Times New Roman"/>
                <w:b/>
                <w:bCs/>
                <w:i w:val="0"/>
                <w:iCs w:val="0"/>
                <w:caps w:val="0"/>
                <w:color w:val="0F1115"/>
                <w:spacing w:val="0"/>
                <w:sz w:val="18"/>
                <w:szCs w:val="18"/>
                <w:shd w:val="clear" w:fill="FFFFFF"/>
              </w:rPr>
              <w:noBreakHyphen/>
            </w:r>
            <w:r>
              <w:rPr>
                <w:rFonts w:hint="default" w:ascii="Times New Roman" w:hAnsi="Times New Roman" w:eastAsia="Segoe UI" w:cs="Times New Roman"/>
                <w:b/>
                <w:bCs/>
                <w:i w:val="0"/>
                <w:iCs w:val="0"/>
                <w:caps w:val="0"/>
                <w:color w:val="0F1115"/>
                <w:spacing w:val="0"/>
                <w:sz w:val="18"/>
                <w:szCs w:val="18"/>
                <w:shd w:val="clear" w:fill="FFFFFF"/>
              </w:rPr>
              <w:t>Matrix Validation</w:t>
            </w:r>
          </w:p>
        </w:tc>
      </w:tr>
      <w:tr w14:paraId="053C7C5A">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7" w:hRule="atLeast"/>
        </w:trPr>
        <w:tc>
          <w:tcPr>
            <w:tcW w:w="1772" w:type="dxa"/>
            <w:tcBorders>
              <w:top w:val="single" w:color="000000" w:sz="8" w:space="0"/>
            </w:tcBorders>
            <w:vAlign w:val="center"/>
          </w:tcPr>
          <w:p w14:paraId="37E5882B">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宋体" w:cs="Times New Roman"/>
                <w:sz w:val="18"/>
                <w:szCs w:val="18"/>
              </w:rPr>
              <w:t>This study (T1R2@AgNWs/ITO)</w:t>
            </w:r>
          </w:p>
        </w:tc>
        <w:tc>
          <w:tcPr>
            <w:tcW w:w="1603" w:type="dxa"/>
            <w:tcBorders>
              <w:top w:val="single" w:color="000000" w:sz="8" w:space="0"/>
            </w:tcBorders>
            <w:vAlign w:val="center"/>
          </w:tcPr>
          <w:p w14:paraId="59AD4504">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10</w:t>
            </w:r>
            <w:r>
              <w:rPr>
                <w:rFonts w:hint="default" w:ascii="Times New Roman" w:hAnsi="Times New Roman" w:cs="Times New Roman"/>
                <w:color w:val="000000"/>
                <w:sz w:val="18"/>
                <w:szCs w:val="18"/>
                <w:vertAlign w:val="superscript"/>
              </w:rPr>
              <w:t>-1</w:t>
            </w:r>
            <w:r>
              <w:rPr>
                <w:rFonts w:hint="default" w:ascii="Times New Roman" w:hAnsi="Times New Roman" w:cs="Times New Roman"/>
                <w:color w:val="000000"/>
                <w:sz w:val="18"/>
                <w:szCs w:val="18"/>
                <w:vertAlign w:val="superscript"/>
                <w:lang w:val="en-US" w:eastAsia="zh-CN"/>
              </w:rPr>
              <w:t>3</w:t>
            </w:r>
            <w:r>
              <w:rPr>
                <w:rFonts w:hint="default" w:ascii="Times New Roman" w:hAnsi="Times New Roman" w:cs="Times New Roman"/>
                <w:color w:val="000000"/>
                <w:sz w:val="18"/>
                <w:szCs w:val="18"/>
              </w:rPr>
              <w:t>mol/L</w:t>
            </w:r>
          </w:p>
        </w:tc>
        <w:tc>
          <w:tcPr>
            <w:tcW w:w="2225" w:type="dxa"/>
            <w:tcBorders>
              <w:top w:val="single" w:color="000000" w:sz="8" w:space="0"/>
            </w:tcBorders>
            <w:vAlign w:val="center"/>
          </w:tcPr>
          <w:p w14:paraId="2AD8D173">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10</w:t>
            </w:r>
            <w:r>
              <w:rPr>
                <w:rFonts w:hint="default" w:ascii="Times New Roman" w:hAnsi="Times New Roman" w:cs="Times New Roman"/>
                <w:color w:val="000000"/>
                <w:sz w:val="18"/>
                <w:szCs w:val="18"/>
                <w:vertAlign w:val="superscript"/>
              </w:rPr>
              <w:t>-1</w:t>
            </w:r>
            <w:r>
              <w:rPr>
                <w:rFonts w:hint="default" w:ascii="Times New Roman" w:hAnsi="Times New Roman" w:cs="Times New Roman"/>
                <w:color w:val="000000"/>
                <w:sz w:val="18"/>
                <w:szCs w:val="18"/>
                <w:vertAlign w:val="superscript"/>
                <w:lang w:val="en-US" w:eastAsia="zh-CN"/>
              </w:rPr>
              <w:t>1</w:t>
            </w:r>
            <w:r>
              <w:rPr>
                <w:rFonts w:hint="default" w:ascii="Times New Roman" w:hAnsi="Times New Roman" w:cs="Times New Roman"/>
                <w:color w:val="000000"/>
                <w:sz w:val="18"/>
                <w:szCs w:val="18"/>
                <w:vertAlign w:val="superscript"/>
              </w:rPr>
              <w:t xml:space="preserve"> </w:t>
            </w:r>
            <w:r>
              <w:rPr>
                <w:rFonts w:hint="default" w:ascii="Times New Roman" w:hAnsi="Times New Roman" w:cs="Times New Roman"/>
                <w:color w:val="000000"/>
                <w:sz w:val="18"/>
                <w:szCs w:val="18"/>
              </w:rPr>
              <w:t>~ 10</w:t>
            </w:r>
            <w:r>
              <w:rPr>
                <w:rFonts w:hint="default" w:ascii="Times New Roman" w:hAnsi="Times New Roman" w:cs="Times New Roman"/>
                <w:color w:val="000000"/>
                <w:sz w:val="18"/>
                <w:szCs w:val="18"/>
                <w:vertAlign w:val="superscript"/>
              </w:rPr>
              <w:t>-6</w:t>
            </w:r>
            <w:r>
              <w:rPr>
                <w:rFonts w:hint="default" w:ascii="Times New Roman" w:hAnsi="Times New Roman" w:cs="Times New Roman"/>
                <w:color w:val="000000"/>
                <w:sz w:val="18"/>
                <w:szCs w:val="18"/>
              </w:rPr>
              <w:t>mol/L</w:t>
            </w:r>
          </w:p>
        </w:tc>
        <w:tc>
          <w:tcPr>
            <w:tcW w:w="986" w:type="dxa"/>
            <w:tcBorders>
              <w:top w:val="single" w:color="000000" w:sz="8" w:space="0"/>
            </w:tcBorders>
            <w:vAlign w:val="center"/>
          </w:tcPr>
          <w:p w14:paraId="4F41FC26">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lang w:val="en-US" w:eastAsia="zh-CN"/>
              </w:rPr>
              <w:t>2</w:t>
            </w:r>
            <w:r>
              <w:rPr>
                <w:rFonts w:hint="default" w:ascii="Times New Roman" w:hAnsi="Times New Roman" w:cs="Times New Roman"/>
                <w:color w:val="000000"/>
                <w:sz w:val="18"/>
                <w:szCs w:val="18"/>
              </w:rPr>
              <w:t>0min</w:t>
            </w:r>
          </w:p>
          <w:p w14:paraId="713626FB">
            <w:pPr>
              <w:widowControl/>
              <w:spacing w:line="360" w:lineRule="atLeast"/>
              <w:ind w:right="-132" w:rightChars="-63"/>
              <w:jc w:val="center"/>
              <w:rPr>
                <w:rFonts w:hint="default" w:ascii="Times New Roman" w:hAnsi="Times New Roman" w:cs="Times New Roman"/>
                <w:color w:val="000000"/>
                <w:sz w:val="18"/>
                <w:szCs w:val="18"/>
              </w:rPr>
            </w:pPr>
          </w:p>
        </w:tc>
        <w:tc>
          <w:tcPr>
            <w:tcW w:w="1477" w:type="dxa"/>
            <w:tcBorders>
              <w:top w:val="single" w:color="000000" w:sz="8" w:space="0"/>
            </w:tcBorders>
            <w:vAlign w:val="center"/>
          </w:tcPr>
          <w:p w14:paraId="2E269EEF">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Segoe UI" w:cs="Times New Roman"/>
                <w:i w:val="0"/>
                <w:iCs w:val="0"/>
                <w:caps w:val="0"/>
                <w:color w:val="0F1115"/>
                <w:spacing w:val="0"/>
                <w:sz w:val="18"/>
                <w:szCs w:val="18"/>
                <w:shd w:val="clear" w:fill="FFFFFF"/>
              </w:rPr>
              <w:t>ATR</w:t>
            </w:r>
            <w:r>
              <w:rPr>
                <w:rFonts w:hint="default" w:ascii="Times New Roman" w:hAnsi="Times New Roman" w:eastAsia="Segoe UI" w:cs="Times New Roman"/>
                <w:i w:val="0"/>
                <w:iCs w:val="0"/>
                <w:caps w:val="0"/>
                <w:color w:val="0F1115"/>
                <w:spacing w:val="0"/>
                <w:sz w:val="18"/>
                <w:szCs w:val="18"/>
                <w:shd w:val="clear" w:fill="FFFFFF"/>
              </w:rPr>
              <w:noBreakHyphen/>
            </w:r>
            <w:r>
              <w:rPr>
                <w:rFonts w:hint="default" w:ascii="Times New Roman" w:hAnsi="Times New Roman" w:eastAsia="Segoe UI" w:cs="Times New Roman"/>
                <w:i w:val="0"/>
                <w:iCs w:val="0"/>
                <w:caps w:val="0"/>
                <w:color w:val="0F1115"/>
                <w:spacing w:val="0"/>
                <w:sz w:val="18"/>
                <w:szCs w:val="18"/>
                <w:shd w:val="clear" w:fill="FFFFFF"/>
              </w:rPr>
              <w:t>I vs glucose, ferulic acid, capsaicin, amygdalin</w:t>
            </w:r>
          </w:p>
        </w:tc>
        <w:tc>
          <w:tcPr>
            <w:tcW w:w="1462" w:type="dxa"/>
            <w:tcBorders>
              <w:top w:val="single" w:color="000000" w:sz="8" w:space="0"/>
            </w:tcBorders>
            <w:vAlign w:val="center"/>
          </w:tcPr>
          <w:p w14:paraId="09CA2E93">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Segoe UI" w:cs="Times New Roman"/>
                <w:i w:val="0"/>
                <w:iCs w:val="0"/>
                <w:caps w:val="0"/>
                <w:color w:val="0F1115"/>
                <w:spacing w:val="0"/>
                <w:sz w:val="18"/>
                <w:szCs w:val="18"/>
                <w:shd w:val="clear" w:fill="FFFFFF"/>
              </w:rPr>
              <w:t>TCM complex matrices</w:t>
            </w:r>
          </w:p>
        </w:tc>
      </w:tr>
      <w:tr w14:paraId="5DA87C59">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1772" w:type="dxa"/>
            <w:vAlign w:val="center"/>
          </w:tcPr>
          <w:p w14:paraId="6D6B2194">
            <w:pPr>
              <w:widowControl/>
              <w:spacing w:line="360" w:lineRule="atLeast"/>
              <w:ind w:right="-132" w:rightChars="-63"/>
              <w:jc w:val="center"/>
              <w:rPr>
                <w:rFonts w:hint="default" w:ascii="Times New Roman" w:hAnsi="Times New Roman" w:eastAsia="宋体" w:cs="Times New Roman"/>
                <w:color w:val="000000"/>
                <w:sz w:val="18"/>
                <w:szCs w:val="18"/>
                <w:lang w:val="en-US" w:eastAsia="zh-CN"/>
              </w:rPr>
            </w:pPr>
            <w:r>
              <w:rPr>
                <w:rFonts w:hint="default" w:ascii="Times New Roman" w:hAnsi="Times New Roman" w:eastAsia="宋体" w:cs="Times New Roman"/>
                <w:sz w:val="18"/>
                <w:szCs w:val="18"/>
              </w:rPr>
              <w:t>T1R2@MIL-101 (Fe)+AuNPs/GCE</w:t>
            </w:r>
            <w:r>
              <w:rPr>
                <w:rFonts w:hint="default" w:ascii="Times New Roman" w:hAnsi="Times New Roman" w:eastAsia="宋体" w:cs="Times New Roman"/>
                <w:color w:val="00B0F0"/>
                <w:sz w:val="18"/>
                <w:szCs w:val="18"/>
                <w:lang w:val="en-US" w:eastAsia="zh-CN"/>
              </w:rPr>
              <w:t>[1]</w:t>
            </w:r>
          </w:p>
        </w:tc>
        <w:tc>
          <w:tcPr>
            <w:tcW w:w="1603" w:type="dxa"/>
            <w:vAlign w:val="center"/>
          </w:tcPr>
          <w:p w14:paraId="0AF0ED78">
            <w:pPr>
              <w:widowControl/>
              <w:spacing w:line="360" w:lineRule="atLeas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Sucrose: 5.1 pM</w:t>
            </w:r>
          </w:p>
          <w:p w14:paraId="280B7CF2">
            <w:pPr>
              <w:widowControl/>
              <w:spacing w:line="360" w:lineRule="atLeas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Glucose: 4.7 pM</w:t>
            </w:r>
          </w:p>
          <w:p w14:paraId="51F6D8D8">
            <w:pPr>
              <w:widowControl/>
              <w:spacing w:line="360" w:lineRule="atLeas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Aspartame:5.4pM</w:t>
            </w:r>
          </w:p>
        </w:tc>
        <w:tc>
          <w:tcPr>
            <w:tcW w:w="2225" w:type="dxa"/>
            <w:vAlign w:val="center"/>
          </w:tcPr>
          <w:p w14:paraId="09321361">
            <w:pPr>
              <w:widowControl/>
              <w:spacing w:line="360" w:lineRule="atLeast"/>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Sucrose: 50 pM ~ 50 µM</w:t>
            </w:r>
          </w:p>
          <w:p w14:paraId="28AFE177">
            <w:pPr>
              <w:widowControl/>
              <w:spacing w:line="360" w:lineRule="atLeast"/>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Glucose: 10 pM ~ 10 µM</w:t>
            </w:r>
          </w:p>
          <w:p w14:paraId="6CCF1800">
            <w:pPr>
              <w:widowControl/>
              <w:spacing w:line="360" w:lineRule="atLeast"/>
              <w:jc w:val="left"/>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Aspartame: 10pM~100µM</w:t>
            </w:r>
          </w:p>
        </w:tc>
        <w:tc>
          <w:tcPr>
            <w:tcW w:w="986" w:type="dxa"/>
            <w:vAlign w:val="center"/>
          </w:tcPr>
          <w:p w14:paraId="3162FF16">
            <w:pPr>
              <w:widowControl/>
              <w:spacing w:line="360" w:lineRule="atLeast"/>
              <w:ind w:right="-132" w:rightChars="-63"/>
              <w:jc w:val="center"/>
              <w:rPr>
                <w:rFonts w:hint="default" w:ascii="Times New Roman" w:hAnsi="Times New Roman" w:cs="Times New Roman"/>
                <w:color w:val="000000"/>
                <w:sz w:val="18"/>
                <w:szCs w:val="18"/>
              </w:rPr>
            </w:pPr>
            <w:r>
              <w:rPr>
                <w:rStyle w:val="6"/>
                <w:rFonts w:hint="default" w:ascii="Times New Roman" w:hAnsi="Times New Roman" w:eastAsia="宋体" w:cs="Times New Roman"/>
                <w:b w:val="0"/>
                <w:bCs/>
                <w:color w:val="000000"/>
                <w:sz w:val="18"/>
                <w:szCs w:val="18"/>
              </w:rPr>
              <w:t>50 min</w:t>
            </w:r>
          </w:p>
        </w:tc>
        <w:tc>
          <w:tcPr>
            <w:tcW w:w="1477" w:type="dxa"/>
            <w:vAlign w:val="center"/>
          </w:tcPr>
          <w:p w14:paraId="306A03C7">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宋体" w:cs="Times New Roman"/>
                <w:sz w:val="18"/>
                <w:szCs w:val="18"/>
              </w:rPr>
              <w:t>Cyclamate, NaCl, sodium glutamate, denatonium benzoate, citric acid</w:t>
            </w:r>
          </w:p>
        </w:tc>
        <w:tc>
          <w:tcPr>
            <w:tcW w:w="1462" w:type="dxa"/>
            <w:vAlign w:val="center"/>
          </w:tcPr>
          <w:p w14:paraId="79EA5B6F">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Segoe UI" w:cs="Times New Roman"/>
                <w:i w:val="0"/>
                <w:iCs w:val="0"/>
                <w:caps w:val="0"/>
                <w:color w:val="0F1115"/>
                <w:spacing w:val="0"/>
                <w:sz w:val="18"/>
                <w:szCs w:val="18"/>
                <w:shd w:val="clear" w:fill="FFFFFF"/>
              </w:rPr>
              <w:t>Apple juice, chamomile tea, etc.</w:t>
            </w:r>
          </w:p>
        </w:tc>
      </w:tr>
      <w:tr w14:paraId="00DE846F">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8" w:hRule="atLeast"/>
        </w:trPr>
        <w:tc>
          <w:tcPr>
            <w:tcW w:w="1772" w:type="dxa"/>
            <w:vAlign w:val="center"/>
          </w:tcPr>
          <w:p w14:paraId="0F3EED5F">
            <w:pPr>
              <w:widowControl/>
              <w:spacing w:line="360" w:lineRule="atLeast"/>
              <w:ind w:right="-132" w:rightChars="-63"/>
              <w:jc w:val="center"/>
              <w:rPr>
                <w:rFonts w:hint="default" w:ascii="Times New Roman" w:hAnsi="Times New Roman" w:eastAsia="宋体" w:cs="Times New Roman"/>
                <w:color w:val="FFFFFF" w:themeColor="background1"/>
                <w:sz w:val="18"/>
                <w:szCs w:val="18"/>
                <w:lang w:val="en-US" w:eastAsia="zh-CN"/>
                <w14:textFill>
                  <w14:solidFill>
                    <w14:schemeClr w14:val="bg1"/>
                  </w14:solidFill>
                </w14:textFill>
              </w:rPr>
            </w:pPr>
            <w:r>
              <w:rPr>
                <w:rFonts w:hint="default" w:ascii="Times New Roman" w:hAnsi="Times New Roman" w:eastAsia="Segoe UI" w:cs="Times New Roman"/>
                <w:i w:val="0"/>
                <w:iCs w:val="0"/>
                <w:caps w:val="0"/>
                <w:color w:val="0F1115"/>
                <w:spacing w:val="0"/>
                <w:sz w:val="18"/>
                <w:szCs w:val="18"/>
                <w:shd w:val="clear" w:fill="FFFFFF"/>
              </w:rPr>
              <w:t>NCI</w:t>
            </w:r>
            <w:r>
              <w:rPr>
                <w:rFonts w:hint="default" w:ascii="Times New Roman" w:hAnsi="Times New Roman" w:eastAsia="Segoe UI" w:cs="Times New Roman"/>
                <w:i w:val="0"/>
                <w:iCs w:val="0"/>
                <w:caps w:val="0"/>
                <w:color w:val="0F1115"/>
                <w:spacing w:val="0"/>
                <w:sz w:val="18"/>
                <w:szCs w:val="18"/>
                <w:shd w:val="clear" w:fill="FFFFFF"/>
              </w:rPr>
              <w:noBreakHyphen/>
            </w:r>
            <w:r>
              <w:rPr>
                <w:rFonts w:hint="default" w:ascii="Times New Roman" w:hAnsi="Times New Roman" w:eastAsia="Segoe UI" w:cs="Times New Roman"/>
                <w:i w:val="0"/>
                <w:iCs w:val="0"/>
                <w:caps w:val="0"/>
                <w:color w:val="0F1115"/>
                <w:spacing w:val="0"/>
                <w:sz w:val="18"/>
                <w:szCs w:val="18"/>
                <w:shd w:val="clear" w:fill="FFFFFF"/>
              </w:rPr>
              <w:t>H716</w:t>
            </w:r>
            <w:r>
              <w:rPr>
                <w:rFonts w:hint="default" w:ascii="Times New Roman" w:hAnsi="Times New Roman" w:eastAsia="宋体" w:cs="Times New Roman"/>
                <w:i w:val="0"/>
                <w:iCs w:val="0"/>
                <w:caps w:val="0"/>
                <w:color w:val="0F1115"/>
                <w:spacing w:val="0"/>
                <w:sz w:val="18"/>
                <w:szCs w:val="18"/>
                <w:shd w:val="clear" w:fill="FFFFFF"/>
                <w:lang w:val="en-US" w:eastAsia="zh-CN"/>
              </w:rPr>
              <w:t xml:space="preserve"> </w:t>
            </w:r>
            <w:r>
              <w:rPr>
                <w:rFonts w:hint="default" w:ascii="Times New Roman" w:hAnsi="Times New Roman" w:eastAsia="Segoe UI" w:cs="Times New Roman"/>
                <w:i w:val="0"/>
                <w:iCs w:val="0"/>
                <w:caps w:val="0"/>
                <w:color w:val="0F1115"/>
                <w:spacing w:val="0"/>
                <w:sz w:val="18"/>
                <w:szCs w:val="18"/>
                <w:shd w:val="clear" w:fill="FFFFFF"/>
              </w:rPr>
              <w:t>cell</w:t>
            </w:r>
            <w:r>
              <w:rPr>
                <w:rFonts w:hint="default" w:ascii="Times New Roman" w:hAnsi="Times New Roman" w:eastAsia="Segoe UI" w:cs="Times New Roman"/>
                <w:i w:val="0"/>
                <w:iCs w:val="0"/>
                <w:caps w:val="0"/>
                <w:color w:val="0F1115"/>
                <w:spacing w:val="0"/>
                <w:sz w:val="18"/>
                <w:szCs w:val="18"/>
                <w:shd w:val="clear" w:fill="FFFFFF"/>
              </w:rPr>
              <w:noBreakHyphen/>
            </w:r>
            <w:r>
              <w:rPr>
                <w:rFonts w:hint="default" w:ascii="Times New Roman" w:hAnsi="Times New Roman" w:eastAsia="Segoe UI" w:cs="Times New Roman"/>
                <w:i w:val="0"/>
                <w:iCs w:val="0"/>
                <w:caps w:val="0"/>
                <w:color w:val="0F1115"/>
                <w:spacing w:val="0"/>
                <w:sz w:val="18"/>
                <w:szCs w:val="18"/>
                <w:shd w:val="clear" w:fill="FFFFFF"/>
              </w:rPr>
              <w:t>based electrochemical impedance taste cell sensor</w:t>
            </w:r>
            <w:r>
              <w:rPr>
                <w:rFonts w:hint="default" w:ascii="Times New Roman" w:hAnsi="Times New Roman" w:eastAsia="宋体" w:cs="Times New Roman"/>
                <w:i w:val="0"/>
                <w:iCs w:val="0"/>
                <w:caps w:val="0"/>
                <w:color w:val="00B0F0"/>
                <w:spacing w:val="0"/>
                <w:sz w:val="18"/>
                <w:szCs w:val="18"/>
                <w:shd w:val="clear" w:fill="FFFFFF"/>
                <w:lang w:val="en-US" w:eastAsia="zh-CN"/>
              </w:rPr>
              <w:t>[2]</w:t>
            </w:r>
          </w:p>
        </w:tc>
        <w:tc>
          <w:tcPr>
            <w:tcW w:w="1603" w:type="dxa"/>
            <w:vAlign w:val="center"/>
          </w:tcPr>
          <w:p w14:paraId="7C251B91">
            <w:pPr>
              <w:widowControl/>
              <w:spacing w:line="360" w:lineRule="atLeast"/>
              <w:rPr>
                <w:rFonts w:hint="default" w:ascii="Times New Roman" w:hAnsi="Times New Roman" w:cs="Times New Roman"/>
                <w:color w:val="FFFFFF" w:themeColor="background1"/>
                <w:sz w:val="18"/>
                <w:szCs w:val="18"/>
                <w14:textFill>
                  <w14:solidFill>
                    <w14:schemeClr w14:val="bg1"/>
                  </w14:solidFill>
                </w14:textFill>
              </w:rPr>
            </w:pPr>
            <w:r>
              <w:rPr>
                <w:rFonts w:hint="default" w:ascii="Times New Roman" w:hAnsi="Times New Roman" w:eastAsia="Segoe UI" w:cs="Times New Roman"/>
                <w:i w:val="0"/>
                <w:iCs w:val="0"/>
                <w:caps w:val="0"/>
                <w:color w:val="0F1115"/>
                <w:spacing w:val="0"/>
                <w:sz w:val="18"/>
                <w:szCs w:val="18"/>
                <w:shd w:val="clear" w:fill="FFFFFF"/>
              </w:rPr>
              <w:t>No</w:t>
            </w:r>
            <w:r>
              <w:rPr>
                <w:rFonts w:hint="default" w:ascii="Times New Roman" w:hAnsi="Times New Roman" w:eastAsia="宋体" w:cs="Times New Roman"/>
                <w:i w:val="0"/>
                <w:iCs w:val="0"/>
                <w:caps w:val="0"/>
                <w:color w:val="0F1115"/>
                <w:spacing w:val="0"/>
                <w:sz w:val="18"/>
                <w:szCs w:val="18"/>
                <w:shd w:val="clear" w:fill="FFFFFF"/>
                <w:lang w:val="en-US" w:eastAsia="zh-CN"/>
              </w:rPr>
              <w:t xml:space="preserve"> </w:t>
            </w:r>
            <w:r>
              <w:rPr>
                <w:rFonts w:hint="default" w:ascii="Times New Roman" w:hAnsi="Times New Roman" w:eastAsia="Segoe UI" w:cs="Times New Roman"/>
                <w:i w:val="0"/>
                <w:iCs w:val="0"/>
                <w:caps w:val="0"/>
                <w:color w:val="0F1115"/>
                <w:spacing w:val="0"/>
                <w:sz w:val="18"/>
                <w:szCs w:val="18"/>
                <w:shd w:val="clear" w:fill="FFFFFF"/>
              </w:rPr>
              <w:t>quantitative LOD;lowest</w:t>
            </w:r>
            <w:r>
              <w:rPr>
                <w:rFonts w:hint="default" w:ascii="Times New Roman" w:hAnsi="Times New Roman" w:eastAsia="宋体" w:cs="Times New Roman"/>
                <w:i w:val="0"/>
                <w:iCs w:val="0"/>
                <w:caps w:val="0"/>
                <w:color w:val="0F1115"/>
                <w:spacing w:val="0"/>
                <w:sz w:val="18"/>
                <w:szCs w:val="18"/>
                <w:shd w:val="clear" w:fill="FFFFFF"/>
                <w:lang w:val="en-US" w:eastAsia="zh-CN"/>
              </w:rPr>
              <w:t xml:space="preserve"> </w:t>
            </w:r>
            <w:r>
              <w:rPr>
                <w:rFonts w:hint="default" w:ascii="Times New Roman" w:hAnsi="Times New Roman" w:eastAsia="Segoe UI" w:cs="Times New Roman"/>
                <w:i w:val="0"/>
                <w:iCs w:val="0"/>
                <w:caps w:val="0"/>
                <w:color w:val="0F1115"/>
                <w:spacing w:val="0"/>
                <w:sz w:val="18"/>
                <w:szCs w:val="18"/>
                <w:shd w:val="clear" w:fill="FFFFFF"/>
              </w:rPr>
              <w:t>measurable0.0170M(sucrose)</w:t>
            </w:r>
            <w:r>
              <w:rPr>
                <w:rFonts w:hint="default" w:ascii="Times New Roman" w:hAnsi="Times New Roman" w:cs="Times New Roman"/>
                <w:color w:val="FFFFFF" w:themeColor="background1"/>
                <w:sz w:val="18"/>
                <w:szCs w:val="18"/>
                <w14:textFill>
                  <w14:solidFill>
                    <w14:schemeClr w14:val="bg1"/>
                  </w14:solidFill>
                </w14:textFill>
              </w:rPr>
              <w:t>量 LOD，最低可测浓度 0.0170 M</w:t>
            </w:r>
          </w:p>
        </w:tc>
        <w:tc>
          <w:tcPr>
            <w:tcW w:w="2225" w:type="dxa"/>
            <w:vAlign w:val="center"/>
          </w:tcPr>
          <w:p w14:paraId="369F8383">
            <w:pPr>
              <w:widowControl/>
              <w:spacing w:line="360" w:lineRule="atLeast"/>
              <w:jc w:val="left"/>
              <w:rPr>
                <w:rFonts w:hint="default" w:ascii="Times New Roman" w:hAnsi="Times New Roman" w:cs="Times New Roman"/>
                <w:color w:val="FFFFFF" w:themeColor="background1"/>
                <w:sz w:val="18"/>
                <w:szCs w:val="18"/>
                <w14:textFill>
                  <w14:solidFill>
                    <w14:schemeClr w14:val="bg1"/>
                  </w14:solidFill>
                </w14:textFill>
              </w:rPr>
            </w:pPr>
            <w:r>
              <w:rPr>
                <w:rFonts w:hint="default" w:ascii="Times New Roman" w:hAnsi="Times New Roman" w:eastAsia="Segoe UI" w:cs="Times New Roman"/>
                <w:i w:val="0"/>
                <w:iCs w:val="0"/>
                <w:caps w:val="0"/>
                <w:color w:val="0F1115"/>
                <w:spacing w:val="0"/>
                <w:sz w:val="18"/>
                <w:szCs w:val="18"/>
                <w:shd w:val="clear" w:fill="FFFFFF"/>
              </w:rPr>
              <w:t>0.0170–0.2000 mol/L (monotonic, no linear equation)</w:t>
            </w:r>
            <w:r>
              <w:rPr>
                <w:rFonts w:hint="default" w:ascii="Times New Roman" w:hAnsi="Times New Roman" w:cs="Times New Roman"/>
                <w:color w:val="FFFFFF" w:themeColor="background1"/>
                <w:sz w:val="18"/>
                <w:szCs w:val="18"/>
                <w14:textFill>
                  <w14:solidFill>
                    <w14:schemeClr w14:val="bg1"/>
                  </w14:solidFill>
                </w14:textFill>
              </w:rPr>
              <w:t>l/L 蔗糖（单调响应，无线性方程）</w:t>
            </w:r>
          </w:p>
        </w:tc>
        <w:tc>
          <w:tcPr>
            <w:tcW w:w="986" w:type="dxa"/>
            <w:vAlign w:val="center"/>
          </w:tcPr>
          <w:p w14:paraId="2084F98E">
            <w:pPr>
              <w:widowControl/>
              <w:spacing w:line="360" w:lineRule="atLeast"/>
              <w:ind w:right="-132" w:rightChars="-63"/>
              <w:jc w:val="center"/>
              <w:rPr>
                <w:rStyle w:val="6"/>
                <w:rFonts w:hint="default" w:ascii="Times New Roman" w:hAnsi="Times New Roman" w:eastAsia="宋体" w:cs="Times New Roman"/>
                <w:b w:val="0"/>
                <w:bCs/>
                <w:color w:val="FFFFFF" w:themeColor="background1"/>
                <w:sz w:val="18"/>
                <w:szCs w:val="18"/>
                <w14:textFill>
                  <w14:solidFill>
                    <w14:schemeClr w14:val="bg1"/>
                  </w14:solidFill>
                </w14:textFill>
              </w:rPr>
            </w:pPr>
            <w:r>
              <w:rPr>
                <w:rFonts w:hint="default" w:ascii="Times New Roman" w:hAnsi="Times New Roman" w:eastAsia="Segoe UI" w:cs="Times New Roman"/>
                <w:i w:val="0"/>
                <w:iCs w:val="0"/>
                <w:caps w:val="0"/>
                <w:color w:val="0F1115"/>
                <w:spacing w:val="0"/>
                <w:sz w:val="18"/>
                <w:szCs w:val="18"/>
                <w:shd w:val="clear" w:fill="FFFFFF"/>
              </w:rPr>
              <w:t>~1000 s</w:t>
            </w:r>
            <w:r>
              <w:rPr>
                <w:rStyle w:val="6"/>
                <w:rFonts w:hint="default" w:ascii="Times New Roman" w:hAnsi="Times New Roman" w:eastAsia="宋体" w:cs="Times New Roman"/>
                <w:b w:val="0"/>
                <w:bCs/>
                <w:color w:val="FFFFFF" w:themeColor="background1"/>
                <w:sz w:val="18"/>
                <w:szCs w:val="18"/>
                <w14:textFill>
                  <w14:solidFill>
                    <w14:schemeClr w14:val="bg1"/>
                  </w14:solidFill>
                </w14:textFill>
              </w:rPr>
              <w:t xml:space="preserve"> 1000 s</w:t>
            </w:r>
          </w:p>
        </w:tc>
        <w:tc>
          <w:tcPr>
            <w:tcW w:w="1477" w:type="dxa"/>
            <w:vAlign w:val="center"/>
          </w:tcPr>
          <w:p w14:paraId="28668292">
            <w:pPr>
              <w:widowControl/>
              <w:spacing w:line="360" w:lineRule="atLeast"/>
              <w:ind w:right="-132" w:rightChars="-63"/>
              <w:jc w:val="center"/>
              <w:rPr>
                <w:rFonts w:hint="default" w:ascii="Times New Roman" w:hAnsi="Times New Roman" w:eastAsia="宋体" w:cs="Times New Roman"/>
                <w:color w:val="FFFFFF" w:themeColor="background1"/>
                <w:sz w:val="18"/>
                <w:szCs w:val="18"/>
                <w14:textFill>
                  <w14:solidFill>
                    <w14:schemeClr w14:val="bg1"/>
                  </w14:solidFill>
                </w14:textFill>
              </w:rPr>
            </w:pPr>
            <w:r>
              <w:rPr>
                <w:rFonts w:hint="default" w:ascii="Times New Roman" w:hAnsi="Times New Roman" w:eastAsia="宋体" w:cs="Times New Roman"/>
                <w:color w:val="FFFFFF" w:themeColor="background1"/>
                <w:sz w:val="18"/>
                <w:szCs w:val="18"/>
                <w14:textFill>
                  <w14:solidFill>
                    <w14:schemeClr w14:val="bg1"/>
                  </w14:solidFill>
                </w14:textFill>
              </w:rPr>
              <w:t>蔗糖（甜）、</w:t>
            </w:r>
            <w:r>
              <w:rPr>
                <w:rFonts w:hint="default" w:ascii="Times New Roman" w:hAnsi="Times New Roman" w:eastAsia="Segoe UI" w:cs="Times New Roman"/>
                <w:i w:val="0"/>
                <w:iCs w:val="0"/>
                <w:caps w:val="0"/>
                <w:color w:val="0F1115"/>
                <w:spacing w:val="0"/>
                <w:sz w:val="18"/>
                <w:szCs w:val="18"/>
                <w:shd w:val="clear" w:fill="FFFFFF"/>
              </w:rPr>
              <w:t>Sucrose (sweet), HCl (sour), NaCl (salty), MgSO₄ (bitter)</w:t>
            </w:r>
            <w:r>
              <w:rPr>
                <w:rFonts w:hint="default" w:ascii="Times New Roman" w:hAnsi="Times New Roman" w:eastAsia="宋体" w:cs="Times New Roman"/>
                <w:color w:val="FFFFFF" w:themeColor="background1"/>
                <w:sz w:val="18"/>
                <w:szCs w:val="18"/>
                <w14:textFill>
                  <w14:solidFill>
                    <w14:schemeClr w14:val="bg1"/>
                  </w14:solidFill>
                </w14:textFill>
              </w:rPr>
              <w:t>₄（苦）</w:t>
            </w:r>
          </w:p>
        </w:tc>
        <w:tc>
          <w:tcPr>
            <w:tcW w:w="1462" w:type="dxa"/>
            <w:vAlign w:val="center"/>
          </w:tcPr>
          <w:p w14:paraId="7FABE78A">
            <w:pPr>
              <w:widowControl/>
              <w:spacing w:line="360" w:lineRule="atLeast"/>
              <w:ind w:right="-132" w:rightChars="-63"/>
              <w:jc w:val="center"/>
              <w:rPr>
                <w:rFonts w:hint="default" w:ascii="Times New Roman" w:hAnsi="Times New Roman" w:cs="Times New Roman"/>
                <w:color w:val="FFFFFF" w:themeColor="background1"/>
                <w:sz w:val="18"/>
                <w:szCs w:val="18"/>
                <w14:textFill>
                  <w14:solidFill>
                    <w14:schemeClr w14:val="bg1"/>
                  </w14:solidFill>
                </w14:textFill>
              </w:rPr>
            </w:pPr>
            <w:r>
              <w:rPr>
                <w:rFonts w:hint="default" w:ascii="Times New Roman" w:hAnsi="Times New Roman" w:eastAsia="Segoe UI" w:cs="Times New Roman"/>
                <w:i w:val="0"/>
                <w:iCs w:val="0"/>
                <w:caps w:val="0"/>
                <w:color w:val="0F1115"/>
                <w:spacing w:val="0"/>
                <w:sz w:val="18"/>
                <w:szCs w:val="18"/>
                <w:shd w:val="clear" w:fill="FFFFFF"/>
              </w:rPr>
              <w:t>Buffer standards</w:t>
            </w:r>
            <w:r>
              <w:rPr>
                <w:rFonts w:hint="default" w:ascii="Times New Roman" w:hAnsi="Times New Roman" w:eastAsia="宋体" w:cs="Times New Roman"/>
                <w:i w:val="0"/>
                <w:iCs w:val="0"/>
                <w:caps w:val="0"/>
                <w:color w:val="0F1115"/>
                <w:spacing w:val="0"/>
                <w:sz w:val="18"/>
                <w:szCs w:val="18"/>
                <w:shd w:val="clear" w:fill="FFFFFF"/>
                <w:lang w:val="en-US" w:eastAsia="zh-CN"/>
              </w:rPr>
              <w:t xml:space="preserve"> </w:t>
            </w:r>
            <w:r>
              <w:rPr>
                <w:rFonts w:hint="default" w:ascii="Times New Roman" w:hAnsi="Times New Roman" w:eastAsia="Segoe UI" w:cs="Times New Roman"/>
                <w:i w:val="0"/>
                <w:iCs w:val="0"/>
                <w:caps w:val="0"/>
                <w:color w:val="0F1115"/>
                <w:spacing w:val="0"/>
                <w:sz w:val="18"/>
                <w:szCs w:val="18"/>
                <w:shd w:val="clear" w:fill="FFFFFF"/>
              </w:rPr>
              <w:t>only, no real food matrix</w:t>
            </w:r>
            <w:r>
              <w:rPr>
                <w:rFonts w:hint="default" w:ascii="Times New Roman" w:hAnsi="Times New Roman" w:cs="Times New Roman"/>
                <w:color w:val="FFFFFF" w:themeColor="background1"/>
                <w:sz w:val="18"/>
                <w:szCs w:val="18"/>
                <w14:textFill>
                  <w14:solidFill>
                    <w14:schemeClr w14:val="bg1"/>
                  </w14:solidFill>
                </w14:textFill>
              </w:rPr>
              <w:t>缓冲液标准品测试，无真实食品基质验证实验。</w:t>
            </w:r>
          </w:p>
        </w:tc>
      </w:tr>
      <w:tr w14:paraId="70AA0944">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772" w:type="dxa"/>
            <w:vAlign w:val="center"/>
          </w:tcPr>
          <w:p w14:paraId="0ECB9A16">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Surface plasmon resonance（SPR）</w:t>
            </w:r>
          </w:p>
          <w:p w14:paraId="2C9F9162">
            <w:pPr>
              <w:widowControl/>
              <w:spacing w:line="360" w:lineRule="atLeast"/>
              <w:ind w:right="-132" w:rightChars="-63"/>
              <w:jc w:val="center"/>
              <w:rPr>
                <w:rFonts w:hint="default" w:ascii="Times New Roman" w:hAnsi="Times New Roman" w:cs="Times New Roman" w:eastAsiaTheme="minorEastAsia"/>
                <w:color w:val="000000"/>
                <w:sz w:val="18"/>
                <w:szCs w:val="18"/>
                <w:lang w:val="en-US" w:eastAsia="zh-CN"/>
              </w:rPr>
            </w:pPr>
            <w:r>
              <w:rPr>
                <w:rFonts w:hint="default" w:ascii="Times New Roman" w:hAnsi="Times New Roman" w:cs="Times New Roman"/>
                <w:color w:val="00B0F0"/>
                <w:sz w:val="18"/>
                <w:szCs w:val="18"/>
                <w:lang w:val="en-US" w:eastAsia="zh-CN"/>
              </w:rPr>
              <w:t>[3]</w:t>
            </w:r>
          </w:p>
        </w:tc>
        <w:tc>
          <w:tcPr>
            <w:tcW w:w="1603" w:type="dxa"/>
            <w:vAlign w:val="center"/>
          </w:tcPr>
          <w:p w14:paraId="32E4C09D">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20 μM</w:t>
            </w:r>
          </w:p>
        </w:tc>
        <w:tc>
          <w:tcPr>
            <w:tcW w:w="2225" w:type="dxa"/>
            <w:vAlign w:val="center"/>
          </w:tcPr>
          <w:p w14:paraId="3A729A08">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0 ~ 50 μM</w:t>
            </w:r>
          </w:p>
        </w:tc>
        <w:tc>
          <w:tcPr>
            <w:tcW w:w="986" w:type="dxa"/>
            <w:vAlign w:val="center"/>
          </w:tcPr>
          <w:p w14:paraId="192C4469">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10min</w:t>
            </w:r>
          </w:p>
        </w:tc>
        <w:tc>
          <w:tcPr>
            <w:tcW w:w="1477" w:type="dxa"/>
            <w:vAlign w:val="center"/>
          </w:tcPr>
          <w:p w14:paraId="3FB416CC">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Segoe UI" w:cs="Times New Roman"/>
                <w:i w:val="0"/>
                <w:iCs w:val="0"/>
                <w:caps w:val="0"/>
                <w:color w:val="0F1115"/>
                <w:spacing w:val="0"/>
                <w:sz w:val="18"/>
                <w:szCs w:val="18"/>
                <w:shd w:val="clear" w:fill="FFFFFF"/>
              </w:rPr>
              <w:t>T1R2/T1R3 vs T1R1 subtype discrimination</w:t>
            </w:r>
          </w:p>
        </w:tc>
        <w:tc>
          <w:tcPr>
            <w:tcW w:w="1462" w:type="dxa"/>
            <w:vAlign w:val="center"/>
          </w:tcPr>
          <w:p w14:paraId="54C4980A">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eastAsia="Segoe UI" w:cs="Times New Roman"/>
                <w:i w:val="0"/>
                <w:iCs w:val="0"/>
                <w:caps w:val="0"/>
                <w:color w:val="0F1115"/>
                <w:spacing w:val="0"/>
                <w:sz w:val="18"/>
                <w:szCs w:val="18"/>
                <w:shd w:val="clear" w:fill="FFFFFF"/>
              </w:rPr>
              <w:t>Buffer</w:t>
            </w:r>
            <w:r>
              <w:rPr>
                <w:rFonts w:hint="default" w:ascii="Times New Roman" w:hAnsi="Times New Roman" w:eastAsia="Segoe UI" w:cs="Times New Roman"/>
                <w:i w:val="0"/>
                <w:iCs w:val="0"/>
                <w:caps w:val="0"/>
                <w:color w:val="0F1115"/>
                <w:spacing w:val="0"/>
                <w:sz w:val="18"/>
                <w:szCs w:val="18"/>
                <w:shd w:val="clear" w:fill="FFFFFF"/>
              </w:rPr>
              <w:noBreakHyphen/>
            </w:r>
            <w:r>
              <w:rPr>
                <w:rFonts w:hint="default" w:ascii="Times New Roman" w:hAnsi="Times New Roman" w:eastAsia="Segoe UI" w:cs="Times New Roman"/>
                <w:i w:val="0"/>
                <w:iCs w:val="0"/>
                <w:caps w:val="0"/>
                <w:color w:val="0F1115"/>
                <w:spacing w:val="0"/>
                <w:sz w:val="18"/>
                <w:szCs w:val="18"/>
                <w:shd w:val="clear" w:fill="FFFFFF"/>
              </w:rPr>
              <w:t>based in vitro only, no food/biological samples</w:t>
            </w:r>
          </w:p>
        </w:tc>
      </w:tr>
      <w:tr w14:paraId="56EDDC63">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772" w:type="dxa"/>
            <w:vAlign w:val="center"/>
          </w:tcPr>
          <w:p w14:paraId="56C05204">
            <w:pPr>
              <w:widowControl/>
              <w:spacing w:line="360" w:lineRule="atLeast"/>
              <w:ind w:right="-132" w:rightChars="-63"/>
              <w:jc w:val="center"/>
              <w:rPr>
                <w:rFonts w:hint="default" w:ascii="Times New Roman" w:hAnsi="Times New Roman" w:cs="Times New Roman"/>
                <w:color w:val="00B0F0"/>
                <w:sz w:val="18"/>
                <w:szCs w:val="18"/>
                <w:lang w:val="en-US" w:eastAsia="zh-CN"/>
              </w:rPr>
            </w:pPr>
            <w:r>
              <w:rPr>
                <w:rFonts w:hint="default" w:ascii="Times New Roman" w:hAnsi="Times New Roman" w:cs="Times New Roman"/>
                <w:color w:val="000000"/>
                <w:sz w:val="18"/>
                <w:szCs w:val="18"/>
              </w:rPr>
              <w:t xml:space="preserve">T1R2-VFT/CNT-FET bioelectronic tongue </w:t>
            </w:r>
            <w:r>
              <w:rPr>
                <w:rFonts w:hint="default" w:ascii="Times New Roman" w:hAnsi="Times New Roman" w:cs="Times New Roman"/>
                <w:color w:val="00B0F0"/>
                <w:sz w:val="18"/>
                <w:szCs w:val="18"/>
              </w:rPr>
              <w:t>[</w:t>
            </w:r>
            <w:r>
              <w:rPr>
                <w:rFonts w:hint="default" w:ascii="Times New Roman" w:hAnsi="Times New Roman" w:cs="Times New Roman"/>
                <w:color w:val="00B0F0"/>
                <w:sz w:val="18"/>
                <w:szCs w:val="18"/>
                <w:lang w:val="en-US" w:eastAsia="zh-CN"/>
              </w:rPr>
              <w:t>4</w:t>
            </w:r>
            <w:r>
              <w:rPr>
                <w:rFonts w:hint="default" w:ascii="Times New Roman" w:hAnsi="Times New Roman" w:cs="Times New Roman"/>
                <w:color w:val="00B0F0"/>
                <w:sz w:val="18"/>
                <w:szCs w:val="18"/>
              </w:rPr>
              <w:t>]</w:t>
            </w:r>
          </w:p>
        </w:tc>
        <w:tc>
          <w:tcPr>
            <w:tcW w:w="1603" w:type="dxa"/>
            <w:vAlign w:val="center"/>
          </w:tcPr>
          <w:p w14:paraId="4617617A">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0.1 fM</w:t>
            </w:r>
          </w:p>
        </w:tc>
        <w:tc>
          <w:tcPr>
            <w:tcW w:w="2225" w:type="dxa"/>
            <w:vAlign w:val="center"/>
          </w:tcPr>
          <w:p w14:paraId="5A1AC4E7">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0.1</w:t>
            </w:r>
            <w:r>
              <w:rPr>
                <w:rFonts w:hint="default" w:ascii="Times New Roman" w:hAnsi="Times New Roman" w:cs="Times New Roman"/>
                <w:color w:val="000000"/>
                <w:sz w:val="18"/>
                <w:szCs w:val="18"/>
                <w:lang w:val="en-US" w:eastAsia="zh-CN"/>
              </w:rPr>
              <w:t xml:space="preserve"> </w:t>
            </w:r>
            <w:r>
              <w:rPr>
                <w:rFonts w:hint="default" w:ascii="Times New Roman" w:hAnsi="Times New Roman" w:cs="Times New Roman"/>
                <w:color w:val="000000"/>
                <w:sz w:val="18"/>
                <w:szCs w:val="18"/>
              </w:rPr>
              <w:t>fM~1</w:t>
            </w:r>
            <w:r>
              <w:rPr>
                <w:rFonts w:hint="default" w:ascii="Times New Roman" w:hAnsi="Times New Roman" w:cs="Times New Roman"/>
                <w:color w:val="000000"/>
                <w:sz w:val="18"/>
                <w:szCs w:val="18"/>
                <w:lang w:val="en-US" w:eastAsia="zh-CN"/>
              </w:rPr>
              <w:t xml:space="preserve"> </w:t>
            </w:r>
            <w:r>
              <w:rPr>
                <w:rFonts w:hint="default" w:ascii="Times New Roman" w:hAnsi="Times New Roman" w:cs="Times New Roman"/>
                <w:color w:val="000000"/>
                <w:sz w:val="18"/>
                <w:szCs w:val="18"/>
              </w:rPr>
              <w:t>μM</w:t>
            </w:r>
          </w:p>
        </w:tc>
        <w:tc>
          <w:tcPr>
            <w:tcW w:w="986" w:type="dxa"/>
            <w:vAlign w:val="center"/>
          </w:tcPr>
          <w:p w14:paraId="7C926440">
            <w:pPr>
              <w:widowControl/>
              <w:spacing w:line="360" w:lineRule="atLeast"/>
              <w:ind w:right="-132" w:rightChars="-63"/>
              <w:jc w:val="center"/>
              <w:rPr>
                <w:rFonts w:hint="default" w:ascii="Times New Roman" w:hAnsi="Times New Roman" w:cs="Times New Roman"/>
                <w:color w:val="000000"/>
                <w:sz w:val="18"/>
                <w:szCs w:val="18"/>
              </w:rPr>
            </w:pPr>
            <w:r>
              <w:rPr>
                <w:rFonts w:hint="default" w:ascii="Times New Roman" w:hAnsi="Times New Roman" w:cs="Times New Roman"/>
                <w:color w:val="000000"/>
                <w:sz w:val="18"/>
                <w:szCs w:val="18"/>
              </w:rPr>
              <w:t>real‑time monitoring</w:t>
            </w:r>
          </w:p>
        </w:tc>
        <w:tc>
          <w:tcPr>
            <w:tcW w:w="1477" w:type="dxa"/>
            <w:vAlign w:val="center"/>
          </w:tcPr>
          <w:p w14:paraId="6334DFB3">
            <w:pPr>
              <w:widowControl/>
              <w:spacing w:line="360" w:lineRule="atLeast"/>
              <w:ind w:right="-132" w:rightChars="-63"/>
              <w:jc w:val="center"/>
              <w:rPr>
                <w:rFonts w:hint="default" w:ascii="Times New Roman" w:hAnsi="Times New Roman" w:eastAsia="Segoe UI" w:cs="Times New Roman"/>
                <w:i w:val="0"/>
                <w:iCs w:val="0"/>
                <w:caps w:val="0"/>
                <w:color w:val="0F1115"/>
                <w:spacing w:val="0"/>
                <w:sz w:val="18"/>
                <w:szCs w:val="18"/>
                <w:shd w:val="clear" w:fill="FFFFFF"/>
              </w:rPr>
            </w:pPr>
            <w:r>
              <w:rPr>
                <w:rFonts w:hint="default" w:ascii="Times New Roman" w:hAnsi="Times New Roman" w:eastAsia="Segoe UI" w:cs="Times New Roman"/>
                <w:color w:val="0F1115"/>
                <w:sz w:val="18"/>
                <w:szCs w:val="18"/>
                <w:shd w:val="clear" w:color="auto" w:fill="FFFFFF"/>
              </w:rPr>
              <w:t>Sweet substances versus other taste substances; tests included sweeteners and non-sweet/taste controls such as cellobiose, MSG and denatonium-type controls</w:t>
            </w:r>
          </w:p>
        </w:tc>
        <w:tc>
          <w:tcPr>
            <w:tcW w:w="1462" w:type="dxa"/>
            <w:vAlign w:val="center"/>
          </w:tcPr>
          <w:p w14:paraId="1FC91699">
            <w:pPr>
              <w:widowControl/>
              <w:spacing w:line="360" w:lineRule="atLeast"/>
              <w:ind w:right="-132" w:rightChars="-63"/>
              <w:jc w:val="center"/>
              <w:rPr>
                <w:rFonts w:hint="default" w:ascii="Times New Roman" w:hAnsi="Times New Roman" w:eastAsia="Segoe UI" w:cs="Times New Roman"/>
                <w:i w:val="0"/>
                <w:iCs w:val="0"/>
                <w:caps w:val="0"/>
                <w:color w:val="0F1115"/>
                <w:spacing w:val="0"/>
                <w:sz w:val="18"/>
                <w:szCs w:val="18"/>
                <w:shd w:val="clear" w:fill="FFFFFF"/>
              </w:rPr>
            </w:pPr>
            <w:r>
              <w:rPr>
                <w:rFonts w:hint="default" w:ascii="Times New Roman" w:hAnsi="Times New Roman" w:eastAsia="宋体" w:cs="Times New Roman"/>
                <w:color w:val="0F1115"/>
                <w:sz w:val="18"/>
                <w:szCs w:val="18"/>
                <w:shd w:val="clear" w:color="auto" w:fill="FFFFFF"/>
                <w:lang w:val="en-US" w:eastAsia="zh-CN"/>
              </w:rPr>
              <w:t>A</w:t>
            </w:r>
            <w:r>
              <w:rPr>
                <w:rFonts w:hint="default" w:ascii="Times New Roman" w:hAnsi="Times New Roman" w:eastAsia="Segoe UI" w:cs="Times New Roman"/>
                <w:color w:val="0F1115"/>
                <w:sz w:val="18"/>
                <w:szCs w:val="18"/>
                <w:shd w:val="clear" w:color="auto" w:fill="FFFFFF"/>
              </w:rPr>
              <w:t xml:space="preserve">pple juice and </w:t>
            </w:r>
            <w:r>
              <w:rPr>
                <w:rFonts w:hint="default" w:ascii="Times New Roman" w:hAnsi="Times New Roman" w:eastAsia="宋体" w:cs="Times New Roman"/>
                <w:color w:val="0F1115"/>
                <w:sz w:val="18"/>
                <w:szCs w:val="18"/>
                <w:shd w:val="clear" w:color="auto" w:fill="FFFFFF"/>
                <w:lang w:val="en-US" w:eastAsia="zh-CN"/>
              </w:rPr>
              <w:t>C</w:t>
            </w:r>
            <w:r>
              <w:rPr>
                <w:rFonts w:hint="default" w:ascii="Times New Roman" w:hAnsi="Times New Roman" w:eastAsia="Segoe UI" w:cs="Times New Roman"/>
                <w:color w:val="0F1115"/>
                <w:sz w:val="18"/>
                <w:szCs w:val="18"/>
                <w:shd w:val="clear" w:color="auto" w:fill="FFFFFF"/>
              </w:rPr>
              <w:t>hamomile herb tea</w:t>
            </w:r>
          </w:p>
        </w:tc>
      </w:tr>
    </w:tbl>
    <w:p w14:paraId="3E3D0646">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[1]Atsuki Yoshida, Ayumi Ito, Norihisa Yasui, Atsuko Yamashita, Direct binding of calmodulin to the cytosolic C-terminal regions of sweet/umami taste receptors, The Journal of Biochemistry, Volume 174, Issue 5, November 2023, Pages 451–459,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"https://doi.org/10.1093/jb/mvad060" </w:instrText>
      </w:r>
      <w:r>
        <w:rPr>
          <w:rFonts w:hint="default" w:ascii="Times New Roman" w:hAnsi="Times New Roman" w:cs="Times New Roman"/>
          <w:lang w:val="en-US" w:eastAsia="zh-CN"/>
        </w:rPr>
        <w:fldChar w:fldCharType="separate"/>
      </w:r>
      <w:r>
        <w:rPr>
          <w:rStyle w:val="7"/>
          <w:rFonts w:hint="default" w:ascii="Times New Roman" w:hAnsi="Times New Roman" w:cs="Times New Roman"/>
          <w:lang w:val="en-US" w:eastAsia="zh-CN"/>
        </w:rPr>
        <w:t>https://doi.org/10.1093/jb/mvad060</w:t>
      </w:r>
      <w:r>
        <w:rPr>
          <w:rFonts w:hint="default" w:ascii="Times New Roman" w:hAnsi="Times New Roman" w:cs="Times New Roman"/>
          <w:lang w:val="en-US" w:eastAsia="zh-CN"/>
        </w:rPr>
        <w:fldChar w:fldCharType="end"/>
      </w:r>
    </w:p>
    <w:p w14:paraId="2EE795F4">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[2]Teng-Hao Wang, Guo-Hua Hui, Shao-Ping Deng. A novel sweet taste cell-based sensor. Biosensors and Bioelectronics, Volume 26, Issue 2, 2010, Pages 929-934, ISSN 0956-5663,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"https://doi.org/10.1016/j.bios.2010.06.049." </w:instrText>
      </w:r>
      <w:r>
        <w:rPr>
          <w:rFonts w:hint="default" w:ascii="Times New Roman" w:hAnsi="Times New Roman" w:cs="Times New Roman"/>
          <w:lang w:val="en-US" w:eastAsia="zh-CN"/>
        </w:rPr>
        <w:fldChar w:fldCharType="separate"/>
      </w:r>
      <w:r>
        <w:rPr>
          <w:rStyle w:val="7"/>
          <w:rFonts w:hint="default" w:ascii="Times New Roman" w:hAnsi="Times New Roman" w:cs="Times New Roman"/>
          <w:lang w:val="en-US" w:eastAsia="zh-CN"/>
        </w:rPr>
        <w:t>https://doi.org/10.1016/j.bios.2010.06.049.</w:t>
      </w:r>
      <w:r>
        <w:rPr>
          <w:rFonts w:hint="default" w:ascii="Times New Roman" w:hAnsi="Times New Roman" w:cs="Times New Roman"/>
          <w:lang w:val="en-US" w:eastAsia="zh-CN"/>
        </w:rPr>
        <w:fldChar w:fldCharType="end"/>
      </w:r>
    </w:p>
    <w:p w14:paraId="0FD14AFB">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 xml:space="preserve">[3]Jing Ye, Minzhi Fan, Xiaoyu Zhang, Qi Liang, Yunshan Zhang, Xiaoyu Zhao, Cheng-Te Lin, Diming Zhang. A novel biomimetic electrochemical taste-biosensor based on conformational changes of the taste receptor. Biosensors and Bioelectronics, Volume 249, 2024, 116001, ISSN 0956-5663. </w:t>
      </w:r>
      <w:r>
        <w:rPr>
          <w:rFonts w:hint="default" w:ascii="Times New Roman" w:hAnsi="Times New Roman" w:cs="Times New Roman"/>
          <w:lang w:val="en-US" w:eastAsia="zh-CN"/>
        </w:rPr>
        <w:fldChar w:fldCharType="begin"/>
      </w:r>
      <w:r>
        <w:rPr>
          <w:rFonts w:hint="default" w:ascii="Times New Roman" w:hAnsi="Times New Roman" w:cs="Times New Roman"/>
          <w:lang w:val="en-US" w:eastAsia="zh-CN"/>
        </w:rPr>
        <w:instrText xml:space="preserve"> HYPERLINK "https://doi.org/10.1016/j.bios.2024.116001." </w:instrText>
      </w:r>
      <w:r>
        <w:rPr>
          <w:rFonts w:hint="default" w:ascii="Times New Roman" w:hAnsi="Times New Roman" w:cs="Times New Roman"/>
          <w:lang w:val="en-US" w:eastAsia="zh-CN"/>
        </w:rPr>
        <w:fldChar w:fldCharType="separate"/>
      </w:r>
      <w:r>
        <w:rPr>
          <w:rStyle w:val="7"/>
          <w:rFonts w:hint="default" w:ascii="Times New Roman" w:hAnsi="Times New Roman" w:cs="Times New Roman"/>
          <w:lang w:val="en-US" w:eastAsia="zh-CN"/>
        </w:rPr>
        <w:t>https://doi.org/10.1016/j.bios.2024.116001.</w:t>
      </w:r>
      <w:r>
        <w:rPr>
          <w:rFonts w:hint="default" w:ascii="Times New Roman" w:hAnsi="Times New Roman" w:cs="Times New Roman"/>
          <w:lang w:val="en-US" w:eastAsia="zh-CN"/>
        </w:rPr>
        <w:fldChar w:fldCharType="end"/>
      </w:r>
    </w:p>
    <w:p w14:paraId="7300E8F2">
      <w:pPr>
        <w:keepNext w:val="0"/>
        <w:keepLines w:val="0"/>
        <w:pageBreakBefore w:val="0"/>
        <w:widowControl w:val="0"/>
        <w:kinsoku/>
        <w:wordWrap/>
        <w:overflowPunct/>
        <w:topLinePunct w:val="0"/>
        <w:autoSpaceDE/>
        <w:autoSpaceDN/>
        <w:bidi w:val="0"/>
        <w:adjustRightInd/>
        <w:snapToGrid/>
        <w:spacing w:line="336" w:lineRule="auto"/>
        <w:textAlignment w:val="auto"/>
        <w:rPr>
          <w:rFonts w:hint="default" w:ascii="Times New Roman" w:hAnsi="Times New Roman" w:cs="Times New Roman"/>
        </w:rPr>
      </w:pPr>
      <w:r>
        <w:rPr>
          <w:rFonts w:hint="default" w:ascii="Times New Roman" w:hAnsi="Times New Roman" w:cs="Times New Roman"/>
          <w:lang w:val="en-US" w:eastAsia="zh-CN"/>
        </w:rPr>
        <w:t>[4] J.-Y. Jeong, Y.K. Cha, S.R. Ahn, J. Shin, Y. Choi, T.H. Park, S. Hong, Ultrasensitive Bioelectronic Tongue Based on the Venus Flytrap Domain of a Human S</w:t>
      </w:r>
      <w:bookmarkStart w:id="5" w:name="OLE_LINK46"/>
      <w:r>
        <w:rPr>
          <w:rFonts w:hint="default" w:ascii="Times New Roman" w:hAnsi="Times New Roman" w:cs="Times New Roman"/>
          <w:lang w:val="en-US" w:eastAsia="zh-CN"/>
        </w:rPr>
        <w:t xml:space="preserve">weet Taste Receptor, ACS Applied Materials &amp; Interfaces (2022). </w:t>
      </w:r>
      <w:bookmarkEnd w:id="5"/>
      <w:r>
        <w:rPr>
          <w:rFonts w:hint="default" w:ascii="Times New Roman" w:hAnsi="Times New Roman" w:cs="Times New Roman"/>
        </w:rPr>
        <w:fldChar w:fldCharType="begin"/>
      </w:r>
      <w:r>
        <w:rPr>
          <w:rFonts w:hint="default" w:ascii="Times New Roman" w:hAnsi="Times New Roman" w:cs="Times New Roman"/>
        </w:rPr>
        <w:instrText xml:space="preserve"> HYPERLINK "http://dx.doi.org/10.1021/acsami.1c17349" </w:instrText>
      </w:r>
      <w:r>
        <w:rPr>
          <w:rFonts w:hint="default" w:ascii="Times New Roman" w:hAnsi="Times New Roman" w:cs="Times New Roman"/>
        </w:rPr>
        <w:fldChar w:fldCharType="separate"/>
      </w:r>
      <w:r>
        <w:rPr>
          <w:rStyle w:val="7"/>
          <w:rFonts w:hint="default" w:ascii="Times New Roman" w:hAnsi="Times New Roman" w:cs="Times New Roman"/>
        </w:rPr>
        <w:t>http://dx.doi.org/10.1021/acsami.1c17349</w:t>
      </w:r>
      <w:r>
        <w:rPr>
          <w:rStyle w:val="7"/>
          <w:rFonts w:hint="default" w:ascii="Times New Roman" w:hAnsi="Times New Roman" w:cs="Times New Roman"/>
        </w:rPr>
        <w:fldChar w:fldCharType="end"/>
      </w:r>
    </w:p>
    <w:p w14:paraId="0F6A73B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leftChars="0"/>
        <w:textAlignment w:val="auto"/>
        <w:rPr>
          <w:rFonts w:hint="default" w:ascii="Times New Roman" w:hAnsi="Times New Roman" w:eastAsia="宋体" w:cs="Times New Roman"/>
          <w:b/>
          <w:bCs/>
          <w:i/>
          <w:i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457C94"/>
    <w:multiLevelType w:val="singleLevel"/>
    <w:tmpl w:val="D5457C94"/>
    <w:lvl w:ilvl="0" w:tentative="0">
      <w:start w:val="1"/>
      <w:numFmt w:val="lowerLetter"/>
      <w:lvlText w:val="%1."/>
      <w:lvlJc w:val="left"/>
      <w:pPr>
        <w:ind w:left="425" w:hanging="425"/>
      </w:pPr>
      <w:rPr>
        <w:rFonts w:hint="default"/>
      </w:rPr>
    </w:lvl>
  </w:abstractNum>
  <w:abstractNum w:abstractNumId="1">
    <w:nsid w:val="F1294DB6"/>
    <w:multiLevelType w:val="multilevel"/>
    <w:tmpl w:val="F1294DB6"/>
    <w:lvl w:ilvl="0" w:tentative="0">
      <w:start w:val="2"/>
      <w:numFmt w:val="decimal"/>
      <w:suff w:val="space"/>
      <w:lvlText w:val="%1."/>
      <w:lvlJc w:val="left"/>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E3B99"/>
    <w:rsid w:val="04640655"/>
    <w:rsid w:val="0670611D"/>
    <w:rsid w:val="0CE75641"/>
    <w:rsid w:val="0D162DEE"/>
    <w:rsid w:val="11CE6EC0"/>
    <w:rsid w:val="16050914"/>
    <w:rsid w:val="1E0665E1"/>
    <w:rsid w:val="1EF17361"/>
    <w:rsid w:val="305A6193"/>
    <w:rsid w:val="3CF422DF"/>
    <w:rsid w:val="4CDF1473"/>
    <w:rsid w:val="59BD071E"/>
    <w:rsid w:val="5BA3675E"/>
    <w:rsid w:val="61DE1B83"/>
    <w:rsid w:val="6D6E3B99"/>
    <w:rsid w:val="7CFD13CA"/>
    <w:rsid w:val="7E6662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styleId="7">
    <w:name w:val="Hyperlink"/>
    <w:basedOn w:val="5"/>
    <w:uiPriority w:val="0"/>
    <w:rPr>
      <w:color w:val="0000FF"/>
      <w:u w:val="single"/>
    </w:rPr>
  </w:style>
  <w:style w:type="table" w:customStyle="1" w:styleId="8">
    <w:name w:val="Plain Table 2"/>
    <w:basedOn w:val="3"/>
    <w:qFormat/>
    <w:uiPriority w:val="42"/>
    <w:rPr>
      <w:rFonts w:asciiTheme="minorHAnsi" w:hAnsiTheme="minorHAnsi" w:eastAsiaTheme="minorEastAsia" w:cstheme="minorBidi"/>
      <w:kern w:val="2"/>
      <w:sz w:val="21"/>
      <w:szCs w:val="22"/>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1315</Words>
  <Characters>8064</Characters>
  <Lines>0</Lines>
  <Paragraphs>0</Paragraphs>
  <TotalTime>67</TotalTime>
  <ScaleCrop>false</ScaleCrop>
  <LinksUpToDate>false</LinksUpToDate>
  <CharactersWithSpaces>9238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2026-09-01T09:14:00Z</dcterms:created>
  <dc:creator>QWZ</dc:creator>
  <cp:lastModifiedBy>QWZ</cp:lastModifiedBy>
  <dcterms:modified xsi:type="dcterms:W3CDTF">2026-09-03T05:45:12Z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A492BEC7A36A49A7A78F4CA390DF2C75_13</vt:lpwstr>
  </property>
  <property fmtid="{D5CDD505-2E9C-101B-9397-08002B2CF9AE}" pid="4" name="KSOTemplateDocerSaveRecord">
    <vt:lpwstr>eyJoZGlkIjoiMGQxNTU0YWVmZTg3Y2IyOTQzMmQ0OTU1YmZiMzdjZjkiLCJ1c2VySWQiOiI4NTg0OTk3ODkifQ==</vt:lpwstr>
  </property>
</Properties>
</file>