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spacing w:before="0"/>
      </w:pPr>
      <w:r>
        <w:rPr>
          <w:rFonts w:ascii="Times New Roman" w:hAnsi="Times New Roman"/>
          <w:b/>
          <w:sz w:val="22"/>
        </w:rPr>
        <w:t>Additional file 3</w:t>
      </w:r>
    </w:p>
    <w:p>
      <w:pPr>
        <w:spacing w:before="0"/>
      </w:pPr>
      <w:r>
        <w:rPr>
          <w:rFonts w:ascii="Times New Roman" w:hAnsi="Times New Roman"/>
          <w:sz w:val="22"/>
        </w:rPr>
        <w:t>Divergent drivers of enteric disease burden in six East Asian settings, 1990–2023: a decomposition analysis of the Global Burden of Disease Study 2023</w:t>
      </w:r>
    </w:p>
    <w:p>
      <w:pPr>
        <w:spacing w:before="240"/>
      </w:pPr>
      <w:r>
        <w:rPr>
          <w:rFonts w:ascii="Times New Roman" w:hAnsi="Times New Roman"/>
          <w:b/>
          <w:sz w:val="20"/>
        </w:rPr>
        <w:t>Table S28.</w:t>
      </w:r>
      <w:r>
        <w:rPr>
          <w:rFonts w:ascii="Times New Roman" w:hAnsi="Times New Roman"/>
          <w:sz w:val="20"/>
        </w:rPr>
        <w:t xml:space="preserve"> Decomposition of the change in crude rates of diarrhoeal diseases into epidemiological and demographic components, 1990–2023.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Setting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Total change in crude rate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Epidemiological component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Demographic component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Total change (log)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Epidemiological contribution (log)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Demographic contribution (log)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−51.9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−0.733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−0.708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−0.025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−21.6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−0.081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−0.244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0.162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−10.9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−0.115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−0.095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−0.020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655.8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683.6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2.023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2.059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−0.036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−1.957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−1.652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−0.305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343.3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235.4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32.2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1.489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1.210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0.279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−47.8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−46.9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−0.651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−0.633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−0.018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−20.3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−0.043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−0.227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0.183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−10.5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−0.130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−0.111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−0.020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572.1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605.7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1.905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1.954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−0.049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−78.7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−1.851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−1.549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−0.303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346.0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243.2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1.495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1.233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0.262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−52.9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−51.2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−0.753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−0.716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−0.037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−11.5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−0.123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−0.248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0.125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−0.153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−0.097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−0.056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640.1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677.1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2.002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2.050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−0.049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−1.955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−1.649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−0.306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316.1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26.5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1.426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1.191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0.235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−99.0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−23.1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−4.571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−4.308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−0.263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104.7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−33.1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0.716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−0.402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1.119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122.6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−0.368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−1.168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0.800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−83.8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−74.9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−1.823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−1.382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−0.441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−33.0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−4.518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−4.118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−0.400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−79.6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−1.590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−1.885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0.294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−95.5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−95.2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−3.099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−3.041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−0.059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−25.3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0.215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−0.292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0.508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−28.2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−0.331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−0.967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0.635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−16.5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−0.014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0.166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−0.180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−32.8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−4.305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−3.908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−0.397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29.8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0.433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0.173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0.261</w:t>
            </w:r>
          </w:p>
        </w:tc>
      </w:tr>
    </w:tbl>
    <w:p>
      <w:pPr>
        <w:spacing w:before="80"/>
      </w:pPr>
      <w:r>
        <w:rPr>
          <w:rFonts w:ascii="Times New Roman" w:hAnsi="Times New Roman"/>
          <w:sz w:val="18"/>
        </w:rPr>
        <w:t>The crude rate is decomposed exactly as log(crude rate) = log(ASR) + log(crude rate / ASR). The epidemiological component is the change in the age-standardised rate; the demographic component is the change in the age-structure term. Log contributions are additive and sum to the total change. Percentage columns are the corresponding exponentiated changes and are not additive. Abbreviations: ASR, age-standardised rate; ROK, Republic of Korea; DPRK, Democratic People's Republic of Korea; YLDs, years lived with disability; YLLs, years of life lost; DALYs, disability-adjusted life-years.</w:t>
      </w:r>
    </w:p>
    <w:p>
      <w:r>
        <w:br w:type="page"/>
      </w:r>
    </w:p>
    <w:p>
      <w:pPr>
        <w:spacing w:before="0"/>
      </w:pPr>
      <w:r>
        <w:rPr>
          <w:rFonts w:ascii="Times New Roman" w:hAnsi="Times New Roman"/>
          <w:b/>
          <w:sz w:val="20"/>
        </w:rPr>
        <w:t>Table S29.</w:t>
      </w:r>
      <w:r>
        <w:rPr>
          <w:rFonts w:ascii="Times New Roman" w:hAnsi="Times New Roman"/>
          <w:sz w:val="20"/>
        </w:rPr>
        <w:t xml:space="preserve"> Year-on-year change in age-standardised rates of diarrhoeal diseases between 2022 and 2023, compared with annual changes over 1991–2022.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</w:tblPr>
      <w:tblGrid>
        <w:gridCol w:w="1295"/>
        <w:gridCol w:w="1295"/>
        <w:gridCol w:w="1295"/>
        <w:gridCol w:w="1295"/>
        <w:gridCol w:w="1295"/>
        <w:gridCol w:w="1295"/>
        <w:gridCol w:w="1295"/>
      </w:tblGrid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Setting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ASR 2022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ASR 2023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Change 2022–2023 (%)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Median absolute annual change, 1991–2022 (%)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Largest absolute annual change, 1991–2022 (%)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112.91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241.21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+113.6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15.9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475.69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336.46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−29.3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6.4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84.80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84.66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4.7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1,071.42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1,098.90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11.7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43.56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43.58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14.8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835.34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848.34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7.6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7,629.18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15,554.44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+103.9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14.7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29,804.54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20,286.34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−31.9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7.6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5,525.38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5,517.00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4.9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63,862.10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65,355.84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11.0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3,132.10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3,135.58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+0.1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14.0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53,606.11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54,370.55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7.2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12.82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27.35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+113.4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16.1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53.91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38.06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−29.4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6.4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9.57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9.59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+0.2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4.5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120.71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123.82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11.9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5.06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5.06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15.0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92.43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93.79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7.5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10.48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9.67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−7.7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20.8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13.53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14.19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+4.9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12.3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24.39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24.95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9.9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30.86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28.37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9.9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19.06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19.42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26.3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8.86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8.78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72.0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23.30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37.02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+58.9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9.1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19.8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67.44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52.26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−22.5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5.1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33.97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34.54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8.8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151.57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152.19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+0.4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7.6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24.12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24.48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+1.5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11.0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24.6</w:t>
            </w:r>
          </w:p>
        </w:tc>
      </w:tr>
      <w:tr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295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101.30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102.57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+1.3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4.4</w:t>
            </w:r>
          </w:p>
        </w:tc>
        <w:tc>
          <w:tcPr>
            <w:tcW w:type="dxa" w:w="1295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19.8</w:t>
            </w:r>
          </w:p>
        </w:tc>
      </w:tr>
    </w:tbl>
    <w:p>
      <w:pPr>
        <w:spacing w:before="80"/>
      </w:pPr>
      <w:r>
        <w:rPr>
          <w:rFonts w:ascii="Times New Roman" w:hAnsi="Times New Roman"/>
          <w:sz w:val="18"/>
        </w:rPr>
        <w:t>Rates are age-standardised rates per 100 000 population for both sexes combined, from GBD 2023. Annual change is the percentage change from the preceding year. Abbreviations: ASR, age-standardised rate; DALYs, disability-adjusted life-years; DPRK, Democratic People’s Republic of Korea; ROK, Republic of Korea; YLDs, years lived with disability; YLLs, years of life lost.</w:t>
      </w:r>
    </w:p>
    <w:p>
      <w:r>
        <w:br w:type="page"/>
      </w:r>
    </w:p>
    <w:p>
      <w:pPr>
        <w:spacing w:before="0"/>
      </w:pPr>
      <w:r>
        <w:rPr>
          <w:rFonts w:ascii="Times New Roman" w:hAnsi="Times New Roman"/>
          <w:b/>
          <w:sz w:val="20"/>
        </w:rPr>
        <w:t>Table S30.</w:t>
      </w:r>
      <w:r>
        <w:rPr>
          <w:rFonts w:ascii="Times New Roman" w:hAnsi="Times New Roman"/>
          <w:sz w:val="20"/>
        </w:rPr>
        <w:t xml:space="preserve"> Estimated annual percentage change in age-standardised rates of diarrhoeal diseases with 2023 and with 2022 as the endpoint.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</w:tblPr>
      <w:tblGrid>
        <w:gridCol w:w="2266"/>
        <w:gridCol w:w="2266"/>
        <w:gridCol w:w="2266"/>
        <w:gridCol w:w="2266"/>
      </w:tblGrid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Setting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EAPC 1990–2023, % (95% CI)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EAPC 1990–2022, % (95% CI)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−5.16 (−5.83 to −4.48)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−5.65 (−6.06 to −5.24)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0.65 (0.24 to 1.07)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0.93 (0.63 to 1.23)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0.09 (−0.12 to 0.29)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0.17 (−0.03 to 0.36)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7.04 (6.72 to 7.36)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7.07 (6.73 to 7.41)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−4.76 (−5.48 to −4.04)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−4.61 (−5.35 to −3.86)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4.07 (3.65 to 4.49)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4.04 (3.60 to 4.48)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−4.72 (−5.34 to −4.10)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−5.18 (−5.55 to −4.80)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0.89 (0.41 to 1.37)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1.20 (0.85 to 1.55)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0.04 (−0.16 to 0.24)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0.12 (−0.07 to 0.31)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6.66 (6.37 to 6.95)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6.69 (6.39 to 7.00)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−4.52 (−5.18 to −3.85)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−4.38 (−5.06 to −3.69)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4.12 (3.75 to 4.48)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4.09 (3.71 to 4.48)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−5.19 (−5.87 to −4.51)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−5.68 (−6.10 to −5.26)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0.65 (0.23 to 1.07)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0.92 (0.63 to 1.22)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0.07 (−0.13 to 0.27)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0.15 (−0.04 to 0.35)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7.00 (6.69 to 7.32)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7.03 (6.70 to 7.37)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−4.75 (−5.47 to −4.03)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−4.59 (−5.33 to −3.85)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4.00 (3.60 to 4.40)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3.97 (3.55 to 4.40)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−13.62 (−14.22 to −13.03)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−13.70 (−14.33 to −13.07)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−0.85 (−1.34 to −0.35)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−0.72 (−1.21 to −0.21)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−2.67 (−3.17 to −2.16)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−2.71 (−3.25 to −2.17)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−4.18 (−4.41 to −3.95)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−4.15 (−4.39 to −3.91)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−12.96 (−13.47 to −12.44)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−13.18 (−13.66 to −12.70)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−5.67 (−6.48 to −4.86)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−5.88 (−6.70 to −5.05)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−11.40 (−12.05 to −10.73)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−11.77 (−12.30 to −11.24)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0.25 (−0.16 to 0.66)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0.49 (0.16 to 0.82)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−2.10 (−2.52 to −1.67)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−2.12 (−2.56 to −1.66)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0.53 (0.25 to 0.82)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0.44 (0.16 to 0.73)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−12.15 (−12.57 to −11.72)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−12.33 (−12.73 to −11.94)</w:t>
            </w:r>
          </w:p>
        </w:tc>
      </w:tr>
      <w:tr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2266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1.08 (0.33 to 1.83)</w:t>
            </w:r>
          </w:p>
        </w:tc>
        <w:tc>
          <w:tcPr>
            <w:tcW w:type="dxa" w:w="2266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0.95 (0.17 to 1.73)</w:t>
            </w:r>
          </w:p>
        </w:tc>
      </w:tr>
    </w:tbl>
    <w:p>
      <w:pPr>
        <w:spacing w:before="80"/>
      </w:pPr>
      <w:r>
        <w:rPr>
          <w:rFonts w:ascii="Times New Roman" w:hAnsi="Times New Roman"/>
          <w:sz w:val="18"/>
        </w:rPr>
        <w:t>EAPC was estimated from a log-linear regression of the age-standardised rate on calendar year over 1990–2023 (34 annual observations) and 1990–2022 (33 annual observations). Abbreviations: CI, confidence interval; EAPC, estimated annual percentage change; other abbreviations as in Table S29.</w:t>
      </w:r>
    </w:p>
    <w:p>
      <w:r>
        <w:br w:type="page"/>
      </w:r>
    </w:p>
    <w:p>
      <w:pPr>
        <w:spacing w:before="0"/>
      </w:pPr>
      <w:r>
        <w:rPr>
          <w:rFonts w:ascii="Times New Roman" w:hAnsi="Times New Roman"/>
          <w:b/>
          <w:sz w:val="20"/>
        </w:rPr>
        <w:t>Table S31.</w:t>
      </w:r>
      <w:r>
        <w:rPr>
          <w:rFonts w:ascii="Times New Roman" w:hAnsi="Times New Roman"/>
          <w:sz w:val="20"/>
        </w:rPr>
        <w:t xml:space="preserve"> Decomposition of the change in crude rates of diarrhoeal diseases since 1990 with 2023 and with 2022 as the endpoint.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</w:tblPr>
      <w:tblGrid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Measure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Setting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Crude rate, to 2023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Epidemiological, to 2023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Demographic, to 2023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Crude rate, to 2022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Epidemiological, to 2022 (%)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Demographic, to 2022 (%)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−51.9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−76.6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−76.9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+1.6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−21.6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+17.6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+7.3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−10.9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−11.5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+655.8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+683.6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+636.5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+664.0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−26.1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Prevalence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+343.3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+235.4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+32.2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+326.8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+230.2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+29.2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−47.8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−46.9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−73.2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−73.9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+2.9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−20.3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+20.1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+28.4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+17.1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+9.6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−10.5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−12.8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−10.4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+572.1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+605.7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+556.9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+589.6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−78.7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−25.9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Incidence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+346.0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+243.2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+30.0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+330.5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+238.3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+27.3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−52.9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−51.2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−77.1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−77.1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+0.2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−11.5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+13.3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+14.9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+10.6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+3.9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−15.0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−6.1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+640.1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+677.1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+621.6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+657.6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−4.7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−85.8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−80.7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−26.1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YLDs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+316.1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+228.9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+26.5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+301.4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+224.1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+23.8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−99.0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−23.1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−20.5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+104.7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−33.1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+206.1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+79.3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−36.3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+181.3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−30.8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+122.6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−35.6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−69.6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+111.7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−83.8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−74.9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−82.3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−72.7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−35.2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−33.0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−98.9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−31.1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YLLs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−79.6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−81.5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−84.7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+20.3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−95.5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−95.2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−5.7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−97.2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−97.0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−6.8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+24.0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−25.3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+66.1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+34.6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+39.7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−28.2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−62.0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+88.8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−32.4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−62.6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+80.6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+18.1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−16.5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−2.1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+17.6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−16.8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−32.8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−98.6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−98.0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−31.2</w:t>
            </w:r>
          </w:p>
        </w:tc>
      </w:tr>
      <w:tr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DALYs</w:t>
            </w:r>
          </w:p>
        </w:tc>
        <w:tc>
          <w:tcPr>
            <w:tcW w:type="dxa" w:w="113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+54.2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+18.8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+29.8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+48.0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+17.4</w:t>
            </w:r>
          </w:p>
        </w:tc>
        <w:tc>
          <w:tcPr>
            <w:tcW w:type="dxa" w:w="113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+26.1</w:t>
            </w:r>
          </w:p>
        </w:tc>
      </w:tr>
    </w:tbl>
    <w:p>
      <w:pPr>
        <w:spacing w:before="80"/>
      </w:pPr>
      <w:r>
        <w:rPr>
          <w:rFonts w:ascii="Times New Roman" w:hAnsi="Times New Roman"/>
          <w:sz w:val="18"/>
        </w:rPr>
        <w:t>The epidemiological component is the change in the age-standardised rate and the demographic component the change in the age-structure term, as defined for Table S28; the components are additive on the log scale and are shown here as percentage changes. Abbreviations as in Table S29.</w:t>
      </w:r>
    </w:p>
    <w:p>
      <w:pPr>
        <w:spacing w:before="360"/>
      </w:pPr>
      <w:r>
        <w:rPr>
          <w:rFonts w:ascii="Times New Roman" w:hAnsi="Times New Roman"/>
          <w:b/>
          <w:sz w:val="20"/>
        </w:rPr>
        <w:t>Table S32.</w:t>
      </w:r>
      <w:r>
        <w:rPr>
          <w:rFonts w:ascii="Times New Roman" w:hAnsi="Times New Roman"/>
          <w:sz w:val="20"/>
        </w:rPr>
        <w:t xml:space="preserve"> Age composition of prevalent diarrhoeal disease cases in 1990, 2022 and 2023.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</w:tblPr>
      <w:tblGrid>
        <w:gridCol w:w="1813"/>
        <w:gridCol w:w="1813"/>
        <w:gridCol w:w="1813"/>
        <w:gridCol w:w="1813"/>
        <w:gridCol w:w="1813"/>
      </w:tblGrid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Setting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16"/>
              </w:rPr>
              <w:t>Year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Cases aged under 5 years (%)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Cases aged 60 years and older (%)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Mean age of cases (years)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44.9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14.4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8.7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37.9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China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12.6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34.5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16.8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29.9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9.4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42.7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44.2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Japan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49.0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47.8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19.7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8.5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23.3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41.9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45.5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ROK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7.4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43.4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46.3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48.6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17.6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6.4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13.6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35.3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DPRK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6.1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13.9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35.7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66.8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0.3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6.3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23.5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18.5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Mongolia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22.7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3.4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18.7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1990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41.8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20.6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25.0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9.2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59.5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52.9</w:t>
            </w:r>
          </w:p>
        </w:tc>
      </w:tr>
      <w:tr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Taiwan</w:t>
            </w:r>
          </w:p>
        </w:tc>
        <w:tc>
          <w:tcPr>
            <w:tcW w:type="dxa" w:w="1813"/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2023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8.5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61.2</w:t>
            </w:r>
          </w:p>
        </w:tc>
        <w:tc>
          <w:tcPr>
            <w:tcW w:type="dxa" w:w="1813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53.7</w:t>
            </w:r>
          </w:p>
        </w:tc>
      </w:tr>
    </w:tbl>
    <w:p>
      <w:pPr>
        <w:spacing w:before="80"/>
      </w:pPr>
      <w:r>
        <w:rPr>
          <w:rFonts w:ascii="Times New Roman" w:hAnsi="Times New Roman"/>
          <w:sz w:val="18"/>
        </w:rPr>
        <w:t>Derived from age-specific prevalent case counts in thirteen age groups; mean age uses age-group midpoints. Abbreviations as in Table S29.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2026-09-02T14:25:44Z</dcterms:modified>
  <cp:category/>
</cp:coreProperties>
</file>