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0504" w:rsidRPr="002D67C4" w:rsidRDefault="002D67C4">
      <w:pPr>
        <w:spacing w:after="240"/>
      </w:pPr>
      <w:r w:rsidRPr="002D67C4">
        <w:rPr>
          <w:sz w:val="22"/>
          <w:szCs w:val="22"/>
        </w:rPr>
        <w:t>COREQ checklist</w:t>
      </w:r>
      <w:r w:rsidRPr="002D67C4">
        <w:rPr>
          <w:sz w:val="22"/>
          <w:szCs w:val="22"/>
        </w:rPr>
        <w:br/>
      </w:r>
      <w:r w:rsidR="00000000" w:rsidRPr="002D67C4">
        <w:rPr>
          <w:sz w:val="22"/>
          <w:szCs w:val="22"/>
        </w:rPr>
        <w:t>Manuscript: Evaluation of Hospital Preparedness and Response to Trauma Through a Full-Scale Disaster Drill: A Multimethod Study</w:t>
      </w:r>
    </w:p>
    <w:tbl>
      <w:tblPr>
        <w:tblW w:w="9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2"/>
        <w:gridCol w:w="1955"/>
        <w:gridCol w:w="4511"/>
        <w:gridCol w:w="2442"/>
      </w:tblGrid>
      <w:tr w:rsidR="000C050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rPr>
                <w:b/>
                <w:bCs/>
              </w:rPr>
              <w:t>Item</w:t>
            </w:r>
          </w:p>
        </w:tc>
        <w:tc>
          <w:tcPr>
            <w:tcW w:w="1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rPr>
                <w:b/>
                <w:bCs/>
              </w:rPr>
              <w:t>Domain / Topic</w:t>
            </w:r>
          </w:p>
        </w:tc>
        <w:tc>
          <w:tcPr>
            <w:tcW w:w="48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rPr>
                <w:b/>
                <w:bCs/>
              </w:rPr>
              <w:t>Guide question</w:t>
            </w:r>
          </w:p>
        </w:tc>
        <w:tc>
          <w:tcPr>
            <w:tcW w:w="25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rPr>
                <w:b/>
                <w:bCs/>
              </w:rPr>
              <w:t>Reported in manuscript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1 – Interviewer/facilitator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Which author(s) conducted the interview or focus group?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 xml:space="preserve">Methods, paragraph 3 – interviews were conducted by three of the authors: Kripa </w:t>
            </w:r>
            <w:proofErr w:type="spellStart"/>
            <w:r>
              <w:t>Maharjan</w:t>
            </w:r>
            <w:proofErr w:type="spellEnd"/>
            <w:r>
              <w:t xml:space="preserve">, MD; Aakash Bhandari, MBBS; Aayush </w:t>
            </w:r>
            <w:proofErr w:type="spellStart"/>
            <w:r>
              <w:t>Chaulagain</w:t>
            </w:r>
            <w:proofErr w:type="spellEnd"/>
            <w:r>
              <w:t>, MBBS.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1 – Credentials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were the researcher's credentials?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 xml:space="preserve">Methods, paragraph 3 and Title page – MD (Kripa </w:t>
            </w:r>
            <w:proofErr w:type="spellStart"/>
            <w:r>
              <w:t>Maharjan</w:t>
            </w:r>
            <w:proofErr w:type="spellEnd"/>
            <w:r>
              <w:t xml:space="preserve">) and MBBS (Aakash Bhandari; Aayush </w:t>
            </w:r>
            <w:proofErr w:type="spellStart"/>
            <w:r>
              <w:t>Chaulagain</w:t>
            </w:r>
            <w:proofErr w:type="spellEnd"/>
            <w:r>
              <w:t>).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3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1 – Occupation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was their occupation at the time of the study?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 xml:space="preserve">Methods, paragraph 3 – </w:t>
            </w:r>
            <w:r w:rsidR="0070437A">
              <w:t xml:space="preserve">consultant and </w:t>
            </w:r>
            <w:r>
              <w:t>resident physicians in emergency medicine at the study institution.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4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1 – Gender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Was the researcher male or female?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mixed-gender interview team (male and female).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5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1 – Experience and training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experience or training did the researcher have?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each interviewer had prior interviewing experience.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6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1 – Relationship established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Was a relationship established prior to study commencement?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interviewers and participants were colleagues at the same institution, with a pre-existing professional relationship.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7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1 – Participant knowledge of the interviewer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did participants know about the researcher?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participants were briefly informed about the purpose of the session beforehand; all had been directly involved in the drill.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8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1 – Interviewer characteristics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characteristics were reported about the interviewer/team (e.g., bias, assumptions, goals)?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Not reported.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9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Methodological orientation and theory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methodological orientation was stated to underpin the study?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(thematic analysis: familiarization, initial coding, theme generation, review/refinement, final synthesis)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10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Sampling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How were participants selected?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(purposive/criterion-based sampling by functional role, framed against COREQ conventions)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11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Method of approach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How were participants approached (face-to-face, telephone, mail, email)?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participants were approached in person.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12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Sample size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How many participants were in the study?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(“approximately 21 participants”)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13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Non-participation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How many people refused to participate or dropped out? Reasons?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no approached participant declined to take part or withdrew.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14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Setting of data collection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Where was the data collected (e.g., home, clinic, workplace)?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interviews were conducted in a hospital office.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15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Presence of non-participants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Was anyone else present besides the participants and researchers?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only the interviewer and participant were present.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16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Description of sample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are the important characteristics of the sample?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(drill planners, emergency department coordinators, HICS members, senior clinical staff)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17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Interview guide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Were questions, prompts, guides provided by the authors? Was it pilot tested?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a semi-structured interview guide developed from FEMA and HERT frameworks, expert-validated at the study institution.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18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Repeat interviews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Were repeat interviews carried out?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interviews were not repeated with any participant.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19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Audio/visual recording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Did the research use audio or visual recording to collect the data?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interviews were audio-recorded and subsequently transcribed.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20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Field notes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Were field notes made during and/or after the interview or focus group?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no additional field notes were taken.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21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Duration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was the duration of the interviews or focus group?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approximately 15 minutes per interview.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22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Data saturation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Was data saturation discussed?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recruitment concluded once all major functional roles were represented (21 participants); formal thematic saturation was not separately assessed.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23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2 – Transcripts returned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Were transcripts returned to participants for comment and/or correction?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transcripts were returned to participants for review and confirmation.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24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Number of data coders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How many data coders coded the data?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three coders.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25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Description of the coding tree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Did authors provide a description of the coding tree?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Not reported – analysis stages are described at a high level only (Methods, paragraph 3).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26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Derivation of themes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Were themes identified in advance or derived from the data?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and Results, paragraph 6 / Table 5 indicate themes were derived inductively through thematic analysis.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27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Software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What software, if applicable, was used to manage the data?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coding was performed manually, without qualitative analysis software.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28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Participant checking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Did participants provide feedback on the findings?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Methods, paragraph 3 – participant feedback on the final themes was not obtained.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29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Quotations presented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Were participant quotations used to illustrate themes/findings?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Not included – Table 5 presents summarized findings by domain and theme rather than verbatim participant quotations.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30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Data and findings consistent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Was there consistency between the data presented and the findings?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Discussion, paragraph 6 (qualitative themes are triangulated with quantitative and debriefing findings)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31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Clarity of major themes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Were major themes clearly presented in the findings?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Results, paragraph 6; Table 5 (four major domains of concern)</w:t>
            </w:r>
          </w:p>
        </w:tc>
      </w:tr>
      <w:tr w:rsidR="000C0504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32</w:t>
            </w:r>
          </w:p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Domain 3 – Clarity of minor themes</w:t>
            </w:r>
          </w:p>
        </w:tc>
        <w:tc>
          <w:tcPr>
            <w:tcW w:w="48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Is there a description of diverse cases or discussion of minor themes?</w:t>
            </w:r>
          </w:p>
        </w:tc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0C0504" w:rsidRDefault="00000000">
            <w:r>
              <w:t>Table 5 (sub-themes column for each domain)</w:t>
            </w:r>
          </w:p>
        </w:tc>
      </w:tr>
    </w:tbl>
    <w:p w:rsidR="003A5351" w:rsidRDefault="003A5351"/>
    <w:sectPr w:rsidR="003A5351">
      <w:pgSz w:w="15840" w:h="12240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7465C"/>
    <w:multiLevelType w:val="hybridMultilevel"/>
    <w:tmpl w:val="079683B6"/>
    <w:lvl w:ilvl="0" w:tplc="5BFE93BE">
      <w:start w:val="1"/>
      <w:numFmt w:val="bullet"/>
      <w:lvlText w:val="●"/>
      <w:lvlJc w:val="left"/>
      <w:pPr>
        <w:ind w:left="720" w:hanging="360"/>
      </w:pPr>
    </w:lvl>
    <w:lvl w:ilvl="1" w:tplc="4AF06028">
      <w:start w:val="1"/>
      <w:numFmt w:val="bullet"/>
      <w:lvlText w:val="○"/>
      <w:lvlJc w:val="left"/>
      <w:pPr>
        <w:ind w:left="1440" w:hanging="360"/>
      </w:pPr>
    </w:lvl>
    <w:lvl w:ilvl="2" w:tplc="5CC45E54">
      <w:start w:val="1"/>
      <w:numFmt w:val="bullet"/>
      <w:lvlText w:val="■"/>
      <w:lvlJc w:val="left"/>
      <w:pPr>
        <w:ind w:left="2160" w:hanging="360"/>
      </w:pPr>
    </w:lvl>
    <w:lvl w:ilvl="3" w:tplc="41AAA5B8">
      <w:start w:val="1"/>
      <w:numFmt w:val="bullet"/>
      <w:lvlText w:val="●"/>
      <w:lvlJc w:val="left"/>
      <w:pPr>
        <w:ind w:left="2880" w:hanging="360"/>
      </w:pPr>
    </w:lvl>
    <w:lvl w:ilvl="4" w:tplc="22EAB6A6">
      <w:start w:val="1"/>
      <w:numFmt w:val="bullet"/>
      <w:lvlText w:val="○"/>
      <w:lvlJc w:val="left"/>
      <w:pPr>
        <w:ind w:left="3600" w:hanging="360"/>
      </w:pPr>
    </w:lvl>
    <w:lvl w:ilvl="5" w:tplc="704212C0">
      <w:start w:val="1"/>
      <w:numFmt w:val="bullet"/>
      <w:lvlText w:val="■"/>
      <w:lvlJc w:val="left"/>
      <w:pPr>
        <w:ind w:left="4320" w:hanging="360"/>
      </w:pPr>
    </w:lvl>
    <w:lvl w:ilvl="6" w:tplc="D2C8F928">
      <w:start w:val="1"/>
      <w:numFmt w:val="bullet"/>
      <w:lvlText w:val="●"/>
      <w:lvlJc w:val="left"/>
      <w:pPr>
        <w:ind w:left="5040" w:hanging="360"/>
      </w:pPr>
    </w:lvl>
    <w:lvl w:ilvl="7" w:tplc="1AACC1F6">
      <w:start w:val="1"/>
      <w:numFmt w:val="bullet"/>
      <w:lvlText w:val="●"/>
      <w:lvlJc w:val="left"/>
      <w:pPr>
        <w:ind w:left="5760" w:hanging="360"/>
      </w:pPr>
    </w:lvl>
    <w:lvl w:ilvl="8" w:tplc="B1CECBE6">
      <w:start w:val="1"/>
      <w:numFmt w:val="bullet"/>
      <w:lvlText w:val="●"/>
      <w:lvlJc w:val="left"/>
      <w:pPr>
        <w:ind w:left="6480" w:hanging="360"/>
      </w:pPr>
    </w:lvl>
  </w:abstractNum>
  <w:num w:numId="1" w16cid:durableId="10935476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1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504"/>
    <w:rsid w:val="000C0504"/>
    <w:rsid w:val="002D67C4"/>
    <w:rsid w:val="003A5351"/>
    <w:rsid w:val="005E6E51"/>
    <w:rsid w:val="0070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A95514"/>
  <w15:docId w15:val="{05A52FF2-E1DC-3E49-9841-CBB2B451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910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maharjankripa35@gmail.com</cp:lastModifiedBy>
  <cp:revision>4</cp:revision>
  <dcterms:created xsi:type="dcterms:W3CDTF">2026-09-11T10:46:00Z</dcterms:created>
  <dcterms:modified xsi:type="dcterms:W3CDTF">2026-09-11T11:42:00Z</dcterms:modified>
</cp:coreProperties>
</file>