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59438" w14:textId="77777777" w:rsidR="00462E8D" w:rsidRDefault="00A329B3" w:rsidP="002A50BF">
      <w:pPr>
        <w:spacing w:after="100" w:line="360" w:lineRule="auto"/>
        <w:ind w:firstLineChars="200" w:firstLine="482"/>
        <w:jc w:val="both"/>
        <w:rPr>
          <w:b/>
          <w:bCs/>
          <w:szCs w:val="24"/>
        </w:rPr>
      </w:pPr>
      <w:r>
        <w:rPr>
          <w:b/>
          <w:bCs/>
          <w:szCs w:val="24"/>
        </w:rPr>
        <w:t>S1. Adsorption performance</w:t>
      </w:r>
    </w:p>
    <w:p w14:paraId="2C541AFC" w14:textId="77777777" w:rsidR="00462E8D" w:rsidRDefault="00A329B3">
      <w:pPr>
        <w:spacing w:after="100" w:line="360" w:lineRule="auto"/>
        <w:ind w:firstLineChars="200" w:firstLine="480"/>
        <w:jc w:val="both"/>
        <w:rPr>
          <w:szCs w:val="24"/>
        </w:rPr>
      </w:pPr>
      <w:r>
        <w:rPr>
          <w:szCs w:val="24"/>
        </w:rPr>
        <w:t xml:space="preserve">To evaluate the adsorption performance of </w:t>
      </w:r>
      <w:proofErr w:type="spellStart"/>
      <w:r>
        <w:rPr>
          <w:szCs w:val="24"/>
        </w:rPr>
        <w:t>Fe₃O</w:t>
      </w:r>
      <w:proofErr w:type="spellEnd"/>
      <w:r>
        <w:rPr>
          <w:szCs w:val="24"/>
        </w:rPr>
        <w:t>₄@</w:t>
      </w:r>
      <w:proofErr w:type="spellStart"/>
      <w:r>
        <w:rPr>
          <w:szCs w:val="24"/>
        </w:rPr>
        <w:t>SiO</w:t>
      </w:r>
      <w:proofErr w:type="spellEnd"/>
      <w:r>
        <w:rPr>
          <w:szCs w:val="24"/>
        </w:rPr>
        <w:t>₂@MPS@MIP toward six strobilurin fungicides, adsorption isotherm and adsorption kinetics experiments were conducted at room temperature using individual standard solutions of each analyte. Each adsorption experiment was performed separately for one target analyte to investigate its adsorption behavior without interference from other compounds.</w:t>
      </w:r>
    </w:p>
    <w:p w14:paraId="319C0C17" w14:textId="77777777" w:rsidR="00462E8D" w:rsidRDefault="00A329B3">
      <w:pPr>
        <w:spacing w:after="100" w:line="360" w:lineRule="auto"/>
        <w:ind w:firstLineChars="200" w:firstLine="480"/>
        <w:jc w:val="both"/>
        <w:rPr>
          <w:szCs w:val="24"/>
        </w:rPr>
      </w:pPr>
      <w:r>
        <w:rPr>
          <w:szCs w:val="24"/>
        </w:rPr>
        <w:t xml:space="preserve">For the adsorption isotherm experiments, aqueous standard solutions of each target analyte were individually prepared at concentrations of 1, 5, 10, 20, 50, 70, 90, and 100 mg/L. Subsequently, 4 mg of </w:t>
      </w:r>
      <w:proofErr w:type="spellStart"/>
      <w:r>
        <w:rPr>
          <w:szCs w:val="24"/>
        </w:rPr>
        <w:t>Fe₃O</w:t>
      </w:r>
      <w:proofErr w:type="spellEnd"/>
      <w:r>
        <w:rPr>
          <w:szCs w:val="24"/>
        </w:rPr>
        <w:t>₄@</w:t>
      </w:r>
      <w:proofErr w:type="spellStart"/>
      <w:r>
        <w:rPr>
          <w:szCs w:val="24"/>
        </w:rPr>
        <w:t>SiO</w:t>
      </w:r>
      <w:proofErr w:type="spellEnd"/>
      <w:r>
        <w:rPr>
          <w:szCs w:val="24"/>
        </w:rPr>
        <w:t xml:space="preserve">₂@MPS@MIP was added to 5 mL of each standard solution, and the mixture was shaken at 1800 rpm for 30 minutes to achieve adsorption equilibrium. After magnetic separation, the supernatant was filtered through a 0.22 </w:t>
      </w:r>
      <w:proofErr w:type="spellStart"/>
      <w:r>
        <w:rPr>
          <w:szCs w:val="24"/>
        </w:rPr>
        <w:t>μm</w:t>
      </w:r>
      <w:proofErr w:type="spellEnd"/>
      <w:r>
        <w:rPr>
          <w:szCs w:val="24"/>
        </w:rPr>
        <w:t xml:space="preserve"> membrane, appropriately diluted, and analyzed using UPLC–MS/MS.</w:t>
      </w:r>
    </w:p>
    <w:p w14:paraId="4A88A054" w14:textId="77777777" w:rsidR="00462E8D" w:rsidRDefault="00A329B3">
      <w:pPr>
        <w:spacing w:after="100" w:line="360" w:lineRule="auto"/>
        <w:ind w:firstLineChars="200" w:firstLine="480"/>
        <w:jc w:val="both"/>
        <w:rPr>
          <w:szCs w:val="24"/>
        </w:rPr>
      </w:pPr>
      <w:r>
        <w:rPr>
          <w:szCs w:val="24"/>
        </w:rPr>
        <w:t xml:space="preserve">For the adsorption kinetics experiments, 4 mg of </w:t>
      </w:r>
      <w:proofErr w:type="spellStart"/>
      <w:r>
        <w:rPr>
          <w:szCs w:val="24"/>
        </w:rPr>
        <w:t>Fe₃O</w:t>
      </w:r>
      <w:proofErr w:type="spellEnd"/>
      <w:r>
        <w:rPr>
          <w:szCs w:val="24"/>
        </w:rPr>
        <w:t>₄@</w:t>
      </w:r>
      <w:proofErr w:type="spellStart"/>
      <w:r>
        <w:rPr>
          <w:szCs w:val="24"/>
        </w:rPr>
        <w:t>SiO</w:t>
      </w:r>
      <w:proofErr w:type="spellEnd"/>
      <w:r>
        <w:rPr>
          <w:szCs w:val="24"/>
        </w:rPr>
        <w:t>₂@MPS@MIP was separately added to 5 mL of aqueous standard solution containing each target analyte at a concentration of 20 mg/L. The mixtures were shaken at 1800 rpm for different time intervals (1, 2, 5, 10, 20, 30, 40, 60, 80, and 100 minutes). At each predetermined time point, the adsorbent was separated using an external magnet, and the supernatant was filtered, appropriately diluted, and analyzed by UPLC–MS/</w:t>
      </w:r>
      <w:proofErr w:type="spellStart"/>
      <w:r>
        <w:rPr>
          <w:szCs w:val="24"/>
        </w:rPr>
        <w:t>MS.The</w:t>
      </w:r>
      <w:proofErr w:type="spellEnd"/>
      <w:r>
        <w:rPr>
          <w:szCs w:val="24"/>
        </w:rPr>
        <w:t xml:space="preserve"> adsorption capacity was calculated using the following formula:</w:t>
      </w:r>
    </w:p>
    <w:p w14:paraId="767B856A" w14:textId="77777777" w:rsidR="00462E8D" w:rsidRDefault="00A329B3">
      <w:pPr>
        <w:spacing w:after="100" w:line="360" w:lineRule="auto"/>
        <w:ind w:firstLineChars="200" w:firstLine="480"/>
        <w:jc w:val="both"/>
        <w:rPr>
          <w:szCs w:val="24"/>
        </w:rPr>
      </w:pPr>
      <w:r>
        <w:rPr>
          <w:szCs w:val="24"/>
        </w:rPr>
        <w:t xml:space="preserve">Qₜ = (C₀ − </w:t>
      </w:r>
      <w:proofErr w:type="gramStart"/>
      <w:r>
        <w:rPr>
          <w:szCs w:val="24"/>
        </w:rPr>
        <w:t>Cₜ)V</w:t>
      </w:r>
      <w:proofErr w:type="gramEnd"/>
      <w:r>
        <w:rPr>
          <w:szCs w:val="24"/>
        </w:rPr>
        <w:t xml:space="preserve"> / m </w:t>
      </w:r>
      <w:proofErr w:type="gramStart"/>
      <w:r>
        <w:rPr>
          <w:szCs w:val="24"/>
        </w:rPr>
        <w:t xml:space="preserve">   (</w:t>
      </w:r>
      <w:proofErr w:type="gramEnd"/>
      <w:r>
        <w:rPr>
          <w:szCs w:val="24"/>
        </w:rPr>
        <w:t>S1)</w:t>
      </w:r>
    </w:p>
    <w:p w14:paraId="7BBA179C" w14:textId="11A59C2D" w:rsidR="00462E8D" w:rsidRDefault="00A329B3">
      <w:pPr>
        <w:spacing w:after="100" w:line="360" w:lineRule="auto"/>
        <w:ind w:firstLineChars="200" w:firstLine="480"/>
        <w:jc w:val="both"/>
        <w:rPr>
          <w:szCs w:val="24"/>
        </w:rPr>
      </w:pPr>
      <w:r>
        <w:rPr>
          <w:szCs w:val="24"/>
        </w:rPr>
        <w:t>where Qₜ is the adsorption capacity at time t (mg/g); C₀ and Cₜ are the initial concentration and the concentration at time t (mg/L), respectively; V is the volume of the adsorption solution (L); and m is the mass of the adsorbent (g). Due to the simultaneous presence of the six analytes, the measured adsorption capacity represents the apparent adsorption capacity under competitive adsorption conditions.</w:t>
      </w:r>
    </w:p>
    <w:p w14:paraId="2D28AF4A" w14:textId="77777777" w:rsidR="00462E8D" w:rsidRDefault="00A329B3" w:rsidP="002A50BF">
      <w:pPr>
        <w:spacing w:after="100" w:line="360" w:lineRule="auto"/>
        <w:ind w:firstLineChars="200" w:firstLine="482"/>
        <w:jc w:val="both"/>
        <w:rPr>
          <w:b/>
          <w:bCs/>
          <w:szCs w:val="24"/>
        </w:rPr>
      </w:pPr>
      <w:r>
        <w:rPr>
          <w:b/>
          <w:bCs/>
          <w:szCs w:val="24"/>
        </w:rPr>
        <w:t>S2. Adsorption kinetics and isotherm models</w:t>
      </w:r>
    </w:p>
    <w:p w14:paraId="0CD967DA" w14:textId="77777777" w:rsidR="00462E8D" w:rsidRDefault="00A329B3">
      <w:pPr>
        <w:spacing w:after="100" w:line="360" w:lineRule="auto"/>
        <w:ind w:firstLineChars="200" w:firstLine="480"/>
        <w:jc w:val="both"/>
        <w:rPr>
          <w:szCs w:val="24"/>
        </w:rPr>
      </w:pPr>
      <w:r>
        <w:rPr>
          <w:szCs w:val="24"/>
        </w:rPr>
        <w:t>The adsorption kinetics data were fitted using pseudo-first-order and pseudo-second-order models, expressed as follows:</w:t>
      </w:r>
    </w:p>
    <w:p w14:paraId="0B71D1FE" w14:textId="77777777" w:rsidR="00462E8D" w:rsidRDefault="00A329B3">
      <w:pPr>
        <w:spacing w:after="100" w:line="360" w:lineRule="auto"/>
        <w:ind w:firstLineChars="200" w:firstLine="480"/>
        <w:jc w:val="both"/>
        <w:rPr>
          <w:szCs w:val="24"/>
        </w:rPr>
      </w:pPr>
      <w:proofErr w:type="gramStart"/>
      <w:r>
        <w:rPr>
          <w:szCs w:val="24"/>
        </w:rPr>
        <w:t>ln(</w:t>
      </w:r>
      <w:proofErr w:type="gramEnd"/>
      <w:r>
        <w:rPr>
          <w:szCs w:val="24"/>
        </w:rPr>
        <w:t xml:space="preserve">Qₑ − Qₜ) = </w:t>
      </w:r>
      <w:proofErr w:type="spellStart"/>
      <w:r>
        <w:rPr>
          <w:szCs w:val="24"/>
        </w:rPr>
        <w:t>lnQ</w:t>
      </w:r>
      <w:proofErr w:type="spellEnd"/>
      <w:r>
        <w:rPr>
          <w:szCs w:val="24"/>
        </w:rPr>
        <w:t xml:space="preserve">ₑ − </w:t>
      </w:r>
      <w:proofErr w:type="spellStart"/>
      <w:r>
        <w:rPr>
          <w:szCs w:val="24"/>
        </w:rPr>
        <w:t>k₁t</w:t>
      </w:r>
      <w:proofErr w:type="spellEnd"/>
      <w:r>
        <w:rPr>
          <w:szCs w:val="24"/>
        </w:rPr>
        <w:t xml:space="preserve"> </w:t>
      </w:r>
      <w:proofErr w:type="gramStart"/>
      <w:r>
        <w:rPr>
          <w:szCs w:val="24"/>
        </w:rPr>
        <w:t xml:space="preserve">   (</w:t>
      </w:r>
      <w:proofErr w:type="gramEnd"/>
      <w:r>
        <w:rPr>
          <w:szCs w:val="24"/>
        </w:rPr>
        <w:t>S2)</w:t>
      </w:r>
    </w:p>
    <w:p w14:paraId="2891AECE" w14:textId="77777777" w:rsidR="00462E8D" w:rsidRDefault="00A329B3">
      <w:pPr>
        <w:spacing w:after="100" w:line="360" w:lineRule="auto"/>
        <w:ind w:firstLineChars="200" w:firstLine="480"/>
        <w:jc w:val="both"/>
        <w:rPr>
          <w:szCs w:val="24"/>
        </w:rPr>
      </w:pPr>
      <w:r>
        <w:rPr>
          <w:szCs w:val="24"/>
        </w:rPr>
        <w:lastRenderedPageBreak/>
        <w:t xml:space="preserve">t/Qₜ = 1/(k₂Qₑ²) + t/Qₑ </w:t>
      </w:r>
      <w:proofErr w:type="gramStart"/>
      <w:r>
        <w:rPr>
          <w:szCs w:val="24"/>
        </w:rPr>
        <w:t xml:space="preserve">   (</w:t>
      </w:r>
      <w:proofErr w:type="gramEnd"/>
      <w:r>
        <w:rPr>
          <w:szCs w:val="24"/>
        </w:rPr>
        <w:t>S3)</w:t>
      </w:r>
    </w:p>
    <w:p w14:paraId="77EBCAC8" w14:textId="77777777" w:rsidR="00462E8D" w:rsidRDefault="00A329B3">
      <w:pPr>
        <w:spacing w:after="100" w:line="360" w:lineRule="auto"/>
        <w:ind w:firstLineChars="200" w:firstLine="480"/>
        <w:jc w:val="both"/>
        <w:rPr>
          <w:szCs w:val="24"/>
        </w:rPr>
      </w:pPr>
      <w:r>
        <w:rPr>
          <w:szCs w:val="24"/>
        </w:rPr>
        <w:t>where Qₜ and Qₑ are the adsorption capacities (mg/g) at time t and at adsorption equilibrium, respectively; k₁ is the pseudo-first-order rate constant (min⁻¹); and k₂ is the pseudo-second-order rate constant (g·mg⁻¹·min⁻¹).</w:t>
      </w:r>
    </w:p>
    <w:p w14:paraId="2BCF5278" w14:textId="77777777" w:rsidR="00462E8D" w:rsidRDefault="00A329B3">
      <w:pPr>
        <w:spacing w:after="100" w:line="360" w:lineRule="auto"/>
        <w:ind w:firstLineChars="200" w:firstLine="480"/>
        <w:jc w:val="both"/>
        <w:rPr>
          <w:szCs w:val="24"/>
        </w:rPr>
      </w:pPr>
      <w:r>
        <w:rPr>
          <w:szCs w:val="24"/>
        </w:rPr>
        <w:t>The equilibrium adsorption data were fitted using Langmuir and Freundlich isotherm models, expressed as follows:</w:t>
      </w:r>
    </w:p>
    <w:p w14:paraId="4B9B8A27" w14:textId="77777777" w:rsidR="00462E8D" w:rsidRDefault="00A329B3">
      <w:pPr>
        <w:spacing w:after="100" w:line="360" w:lineRule="auto"/>
        <w:ind w:firstLineChars="200" w:firstLine="480"/>
        <w:jc w:val="both"/>
        <w:rPr>
          <w:szCs w:val="24"/>
        </w:rPr>
      </w:pPr>
      <w:r>
        <w:rPr>
          <w:szCs w:val="24"/>
        </w:rPr>
        <w:t xml:space="preserve">Cₑ/Qₑ = 1/(KₗQₘ) + Cₑ/Qₘ </w:t>
      </w:r>
      <w:proofErr w:type="gramStart"/>
      <w:r>
        <w:rPr>
          <w:szCs w:val="24"/>
        </w:rPr>
        <w:t xml:space="preserve">   (</w:t>
      </w:r>
      <w:proofErr w:type="gramEnd"/>
      <w:r>
        <w:rPr>
          <w:szCs w:val="24"/>
        </w:rPr>
        <w:t>S4)</w:t>
      </w:r>
    </w:p>
    <w:p w14:paraId="290FDBBA" w14:textId="12C004D3" w:rsidR="00462E8D" w:rsidRDefault="00A329B3">
      <w:pPr>
        <w:spacing w:after="100" w:line="360" w:lineRule="auto"/>
        <w:ind w:firstLineChars="200" w:firstLine="480"/>
        <w:jc w:val="both"/>
        <w:rPr>
          <w:szCs w:val="24"/>
        </w:rPr>
      </w:pPr>
      <w:proofErr w:type="spellStart"/>
      <w:r>
        <w:rPr>
          <w:szCs w:val="24"/>
        </w:rPr>
        <w:t>lnQ</w:t>
      </w:r>
      <w:proofErr w:type="spellEnd"/>
      <w:r>
        <w:rPr>
          <w:szCs w:val="24"/>
        </w:rPr>
        <w:t xml:space="preserve">ₑ = </w:t>
      </w:r>
      <w:proofErr w:type="spellStart"/>
      <w:r>
        <w:rPr>
          <w:szCs w:val="24"/>
        </w:rPr>
        <w:t>ln</w:t>
      </w:r>
      <w:r w:rsidRPr="00CE32AA">
        <w:rPr>
          <w:rFonts w:cs="Times New Roman"/>
          <w:szCs w:val="24"/>
        </w:rPr>
        <w:t>K</w:t>
      </w:r>
      <w:r w:rsidR="00CE32AA" w:rsidRPr="00CE32AA">
        <w:rPr>
          <w:rFonts w:eastAsia="宋体" w:cs="Times New Roman"/>
          <w:szCs w:val="24"/>
          <w:lang w:eastAsia="zh-CN"/>
        </w:rPr>
        <w:t>f</w:t>
      </w:r>
      <w:proofErr w:type="spellEnd"/>
      <w:r w:rsidRPr="00CE32AA">
        <w:rPr>
          <w:rFonts w:cs="Times New Roman"/>
          <w:szCs w:val="24"/>
        </w:rPr>
        <w:t xml:space="preserve"> </w:t>
      </w:r>
      <w:r>
        <w:rPr>
          <w:szCs w:val="24"/>
        </w:rPr>
        <w:t>+ (1/</w:t>
      </w:r>
      <w:proofErr w:type="gramStart"/>
      <w:r>
        <w:rPr>
          <w:szCs w:val="24"/>
        </w:rPr>
        <w:t>n)</w:t>
      </w:r>
      <w:proofErr w:type="spellStart"/>
      <w:r>
        <w:rPr>
          <w:szCs w:val="24"/>
        </w:rPr>
        <w:t>lnC</w:t>
      </w:r>
      <w:proofErr w:type="spellEnd"/>
      <w:r>
        <w:rPr>
          <w:szCs w:val="24"/>
        </w:rPr>
        <w:t>ₑ</w:t>
      </w:r>
      <w:proofErr w:type="gramEnd"/>
      <w:r>
        <w:rPr>
          <w:szCs w:val="24"/>
        </w:rPr>
        <w:t xml:space="preserve"> </w:t>
      </w:r>
      <w:proofErr w:type="gramStart"/>
      <w:r>
        <w:rPr>
          <w:szCs w:val="24"/>
        </w:rPr>
        <w:t xml:space="preserve">   (</w:t>
      </w:r>
      <w:proofErr w:type="gramEnd"/>
      <w:r>
        <w:rPr>
          <w:szCs w:val="24"/>
        </w:rPr>
        <w:t>S5)</w:t>
      </w:r>
    </w:p>
    <w:p w14:paraId="606D3514" w14:textId="40792907" w:rsidR="00462E8D" w:rsidRDefault="00A329B3">
      <w:pPr>
        <w:spacing w:after="100" w:line="360" w:lineRule="auto"/>
        <w:ind w:firstLineChars="200" w:firstLine="480"/>
        <w:jc w:val="both"/>
        <w:rPr>
          <w:szCs w:val="24"/>
        </w:rPr>
      </w:pPr>
      <w:r>
        <w:rPr>
          <w:szCs w:val="24"/>
        </w:rPr>
        <w:t xml:space="preserve">where Cₑ is the equilibrium concentration of the analyte in the solution (mg/L); Qₑ is the equilibrium adsorption capacity (mg/g); Qₘ is the theoretical maximum adsorption capacity (mg/g); Kₗ is the Langmuir adsorption constant (L/mg); and </w:t>
      </w:r>
      <w:proofErr w:type="spellStart"/>
      <w:r w:rsidRPr="00CE32AA">
        <w:rPr>
          <w:rFonts w:cs="Times New Roman"/>
          <w:szCs w:val="24"/>
        </w:rPr>
        <w:t>K</w:t>
      </w:r>
      <w:r w:rsidR="00CE32AA" w:rsidRPr="00CE32AA">
        <w:rPr>
          <w:rFonts w:eastAsia="宋体" w:cs="Times New Roman"/>
          <w:szCs w:val="24"/>
          <w:lang w:eastAsia="zh-CN"/>
        </w:rPr>
        <w:t>f</w:t>
      </w:r>
      <w:proofErr w:type="spellEnd"/>
      <w:r>
        <w:rPr>
          <w:szCs w:val="24"/>
        </w:rPr>
        <w:t xml:space="preserve"> and n are the Freundlich adsorption capacity constant and adsorption intensity constant, respectively. The applicability of each model was evaluated using the coefficient of determination (R²).</w:t>
      </w:r>
    </w:p>
    <w:p w14:paraId="589A172E" w14:textId="7F2E6A13" w:rsidR="00462E8D" w:rsidRDefault="00A329B3" w:rsidP="002A50BF">
      <w:pPr>
        <w:spacing w:after="100" w:line="360" w:lineRule="auto"/>
        <w:ind w:firstLineChars="200" w:firstLine="482"/>
        <w:jc w:val="both"/>
        <w:rPr>
          <w:b/>
          <w:bCs/>
          <w:szCs w:val="24"/>
        </w:rPr>
      </w:pPr>
      <w:r>
        <w:rPr>
          <w:b/>
          <w:bCs/>
          <w:szCs w:val="24"/>
        </w:rPr>
        <w:t xml:space="preserve">S3. Optimization of </w:t>
      </w:r>
      <w:r w:rsidR="006E3BD4">
        <w:rPr>
          <w:rFonts w:eastAsia="宋体" w:hint="eastAsia"/>
          <w:b/>
          <w:bCs/>
          <w:szCs w:val="24"/>
          <w:lang w:eastAsia="zh-CN"/>
        </w:rPr>
        <w:t>MSPE</w:t>
      </w:r>
      <w:r>
        <w:rPr>
          <w:b/>
          <w:bCs/>
          <w:szCs w:val="24"/>
        </w:rPr>
        <w:t xml:space="preserve"> conditions</w:t>
      </w:r>
    </w:p>
    <w:p w14:paraId="2A783487" w14:textId="77777777" w:rsidR="00462E8D" w:rsidRDefault="00A329B3">
      <w:pPr>
        <w:spacing w:after="100" w:line="360" w:lineRule="auto"/>
        <w:ind w:firstLineChars="200" w:firstLine="480"/>
        <w:jc w:val="both"/>
        <w:rPr>
          <w:rFonts w:eastAsia="宋体"/>
          <w:szCs w:val="24"/>
          <w:lang w:eastAsia="zh-CN"/>
        </w:rPr>
      </w:pPr>
      <w:r>
        <w:rPr>
          <w:szCs w:val="24"/>
        </w:rPr>
        <w:t xml:space="preserve">To obtain satisfactory extraction performance for the six strobilurin fungicides, the main parameters affecting the </w:t>
      </w:r>
      <w:proofErr w:type="spellStart"/>
      <w:r>
        <w:rPr>
          <w:szCs w:val="24"/>
        </w:rPr>
        <w:t>Fe₃O</w:t>
      </w:r>
      <w:proofErr w:type="spellEnd"/>
      <w:r>
        <w:rPr>
          <w:szCs w:val="24"/>
        </w:rPr>
        <w:t>₄@</w:t>
      </w:r>
      <w:proofErr w:type="spellStart"/>
      <w:r>
        <w:rPr>
          <w:szCs w:val="24"/>
        </w:rPr>
        <w:t>SiO</w:t>
      </w:r>
      <w:proofErr w:type="spellEnd"/>
      <w:r>
        <w:rPr>
          <w:szCs w:val="24"/>
        </w:rPr>
        <w:t xml:space="preserve">₂@MPS@MIP-based magnetic solid-phase extraction procedure were systematically optimized using 5 mL of mixed aqueous standard solution containing each target analyte at 20 </w:t>
      </w:r>
      <w:proofErr w:type="spellStart"/>
      <w:r>
        <w:rPr>
          <w:szCs w:val="24"/>
        </w:rPr>
        <w:t>μg</w:t>
      </w:r>
      <w:proofErr w:type="spellEnd"/>
      <w:r>
        <w:rPr>
          <w:szCs w:val="24"/>
        </w:rPr>
        <w:t xml:space="preserve">/L. The investigated parameters included adsorbent dosage, adsorption pH, adsorption time, desorption solvent composition, desorption solvent </w:t>
      </w:r>
      <w:proofErr w:type="spellStart"/>
      <w:r>
        <w:rPr>
          <w:szCs w:val="24"/>
        </w:rPr>
        <w:t>volume</w:t>
      </w:r>
      <w:r>
        <w:rPr>
          <w:rFonts w:eastAsia="宋体" w:hint="eastAsia"/>
          <w:szCs w:val="24"/>
          <w:lang w:eastAsia="zh-CN"/>
        </w:rPr>
        <w:t>.</w:t>
      </w:r>
      <w:r>
        <w:rPr>
          <w:szCs w:val="24"/>
        </w:rPr>
        <w:t>Unless</w:t>
      </w:r>
      <w:proofErr w:type="spellEnd"/>
      <w:r>
        <w:rPr>
          <w:szCs w:val="24"/>
        </w:rPr>
        <w:t xml:space="preserve"> otherwise specified, all experiments were performed in triplicate, and the results are expressed as the mean ± standard deviation. The optimized conditions were determined as follows: 14 mg of adsorbent, an adsorption pH of 8.0, an adsorption time of 30 min, methanol/water (1:1, v/v) as the desorption solvent, a desorption solvent volume of 8 </w:t>
      </w:r>
      <w:proofErr w:type="spellStart"/>
      <w:r>
        <w:rPr>
          <w:szCs w:val="24"/>
        </w:rPr>
        <w:t>mL</w:t>
      </w:r>
      <w:r>
        <w:rPr>
          <w:rFonts w:eastAsia="宋体" w:hint="eastAsia"/>
          <w:szCs w:val="24"/>
          <w:lang w:eastAsia="zh-CN"/>
        </w:rPr>
        <w:t>.</w:t>
      </w:r>
      <w:proofErr w:type="spellEnd"/>
    </w:p>
    <w:p w14:paraId="6083D956" w14:textId="77777777" w:rsidR="00462E8D" w:rsidRDefault="00A329B3" w:rsidP="002A50BF">
      <w:pPr>
        <w:spacing w:after="100" w:line="360" w:lineRule="auto"/>
        <w:ind w:firstLineChars="200" w:firstLine="482"/>
        <w:jc w:val="both"/>
        <w:rPr>
          <w:b/>
          <w:bCs/>
          <w:szCs w:val="24"/>
        </w:rPr>
      </w:pPr>
      <w:r>
        <w:rPr>
          <w:b/>
          <w:bCs/>
          <w:szCs w:val="24"/>
        </w:rPr>
        <w:t>S3.1 Effect of adsorbent dosage</w:t>
      </w:r>
    </w:p>
    <w:p w14:paraId="3D359E38" w14:textId="77777777" w:rsidR="00462E8D" w:rsidRDefault="00A329B3">
      <w:pPr>
        <w:spacing w:after="100" w:line="360" w:lineRule="auto"/>
        <w:ind w:firstLineChars="200" w:firstLine="480"/>
        <w:jc w:val="both"/>
        <w:rPr>
          <w:szCs w:val="24"/>
        </w:rPr>
      </w:pPr>
      <w:r>
        <w:rPr>
          <w:szCs w:val="24"/>
        </w:rPr>
        <w:t xml:space="preserve">The effect of </w:t>
      </w:r>
      <w:proofErr w:type="spellStart"/>
      <w:r>
        <w:rPr>
          <w:szCs w:val="24"/>
        </w:rPr>
        <w:t>Fe₃O</w:t>
      </w:r>
      <w:proofErr w:type="spellEnd"/>
      <w:r>
        <w:rPr>
          <w:szCs w:val="24"/>
        </w:rPr>
        <w:t>₄@</w:t>
      </w:r>
      <w:proofErr w:type="spellStart"/>
      <w:r>
        <w:rPr>
          <w:szCs w:val="24"/>
        </w:rPr>
        <w:t>SiO</w:t>
      </w:r>
      <w:proofErr w:type="spellEnd"/>
      <w:r>
        <w:rPr>
          <w:szCs w:val="24"/>
        </w:rPr>
        <w:t xml:space="preserve">₂@MPS@MIP dosage on the recoveries of the six target analytes was investigated over the range of 3–20 mg. As shown in Fig. S1(A), the recoveries of the six target analytes gradually increased as the adsorbent dosage increased from 3 to 14 mg. This increase occurred because a larger amount of adsorbent provided </w:t>
      </w:r>
      <w:r>
        <w:rPr>
          <w:szCs w:val="24"/>
        </w:rPr>
        <w:lastRenderedPageBreak/>
        <w:t>more accessible imprinted cavities and functional binding sites for the target analytes. When the dosage reached 14 mg, the recoveries of all six analytes reached their maximum values. A further increase in the adsorbent dosage from 14 to 20 mg produced no significant improvement, indicating that the available binding sites were already sufficient for the fixed amount of analytes in the extraction solution. Excess adsorbent may also increase particle aggregation and reduce the effective utilization of the recognition sites. Therefore, 14 mg was selected as the optimal adsorbent dosage for subsequent experiments.</w:t>
      </w:r>
    </w:p>
    <w:p w14:paraId="4D03AC59" w14:textId="77777777" w:rsidR="00462E8D" w:rsidRDefault="00A329B3" w:rsidP="002A50BF">
      <w:pPr>
        <w:spacing w:after="100" w:line="360" w:lineRule="auto"/>
        <w:ind w:firstLineChars="200" w:firstLine="482"/>
        <w:jc w:val="both"/>
        <w:rPr>
          <w:b/>
          <w:bCs/>
          <w:szCs w:val="24"/>
        </w:rPr>
      </w:pPr>
      <w:r>
        <w:rPr>
          <w:b/>
          <w:bCs/>
          <w:szCs w:val="24"/>
        </w:rPr>
        <w:t>S3.2 Effect of adsorption pH</w:t>
      </w:r>
    </w:p>
    <w:p w14:paraId="20F7C2A7" w14:textId="77777777" w:rsidR="00462E8D" w:rsidRDefault="00A329B3">
      <w:pPr>
        <w:spacing w:after="100" w:line="360" w:lineRule="auto"/>
        <w:ind w:firstLineChars="200" w:firstLine="480"/>
        <w:jc w:val="both"/>
        <w:rPr>
          <w:szCs w:val="24"/>
        </w:rPr>
      </w:pPr>
      <w:r>
        <w:rPr>
          <w:szCs w:val="24"/>
        </w:rPr>
        <w:t>The effect of solution pH on the recoveries of the six target analytes was investigated over the range of pH 3–10. As shown in Fig. S1(B), the recoveries gradually increased as the pH increased from 3 to 8 and reached their maximum values at pH 8.0. When the pH was further increased to 9 and 10, a slight decrease in recovery was observed. Under strongly acidic conditions, the high concentration of hydrogen ions altered the hydration state and local polarity of the ionic-liquid-containing polymer layer, thereby weakening the hydrogen-bonding and dipole-related interactions between the target analytes and the recognition sites. As the solution approached neutral and slightly alkaline conditions, the imprinted cavities provided a more favorable microenvironment for hydrogen bonding, dipole–dipole interactions, hydrophobic interactions, and spatial matching with the strobilurin fungicides. At pH values above 8.0, changes in the hydration and swelling behavior of the polymer layer may have reduced the accessibility and binding affinity of the imprinted sites, resulting in slightly decreased recoveries. As the solution approached neutral and slightly alkaline conditions, the functional groups within the imprinted cavities provided a more favorable microenvironment for hydrogen bonding, dipole-related interactions, and spatial matching with the strobilurin fungicides. At pH values above 8.0, changes in the surface charge and hydration state of the polymer layer may have weakened these interactions and reduced the accessibility of the imprinted sites. Similar pH-dependent adsorption behavior of MIPs has been attributed to changes in the charge states of the analyte and polymer, together with variations in hydrogen-bonding and π-related interactions. Therefore, pH 8.0 was selected as the optimal adsorption pH for subsequent experiments.</w:t>
      </w:r>
    </w:p>
    <w:p w14:paraId="5BF33EDB" w14:textId="77777777" w:rsidR="00462E8D" w:rsidRDefault="00A329B3" w:rsidP="002A50BF">
      <w:pPr>
        <w:spacing w:after="100" w:line="360" w:lineRule="auto"/>
        <w:ind w:firstLineChars="200" w:firstLine="482"/>
        <w:jc w:val="both"/>
        <w:rPr>
          <w:b/>
          <w:bCs/>
          <w:szCs w:val="24"/>
        </w:rPr>
      </w:pPr>
      <w:r>
        <w:rPr>
          <w:b/>
          <w:bCs/>
          <w:szCs w:val="24"/>
        </w:rPr>
        <w:lastRenderedPageBreak/>
        <w:t>S3.3 Effect of adsorption time</w:t>
      </w:r>
    </w:p>
    <w:p w14:paraId="1DBF4E9F" w14:textId="5BBB9901" w:rsidR="00462E8D" w:rsidRDefault="00A329B3">
      <w:pPr>
        <w:spacing w:after="100" w:line="360" w:lineRule="auto"/>
        <w:ind w:firstLineChars="200" w:firstLine="480"/>
        <w:jc w:val="both"/>
        <w:rPr>
          <w:szCs w:val="24"/>
        </w:rPr>
      </w:pPr>
      <w:r>
        <w:rPr>
          <w:szCs w:val="24"/>
        </w:rPr>
        <w:t xml:space="preserve">The effect of adsorption time on the recoveries of the six target analytes was systematically investigated over the range of 10–40 min. As shown in Fig. S1(C), the recoveries increased rapidly as the adsorption time was extended from 10 to </w:t>
      </w:r>
      <w:r w:rsidR="00464CF6">
        <w:rPr>
          <w:rFonts w:eastAsia="宋体" w:hint="eastAsia"/>
          <w:szCs w:val="24"/>
          <w:lang w:eastAsia="zh-CN"/>
        </w:rPr>
        <w:t>30</w:t>
      </w:r>
      <w:r>
        <w:rPr>
          <w:szCs w:val="24"/>
        </w:rPr>
        <w:t xml:space="preserve"> min and subsequently remained relatively stable beyond </w:t>
      </w:r>
      <w:r w:rsidR="00464CF6">
        <w:rPr>
          <w:rFonts w:eastAsia="宋体" w:hint="eastAsia"/>
          <w:szCs w:val="24"/>
          <w:lang w:eastAsia="zh-CN"/>
        </w:rPr>
        <w:t>30</w:t>
      </w:r>
      <w:r>
        <w:rPr>
          <w:szCs w:val="24"/>
        </w:rPr>
        <w:t xml:space="preserve"> min. During the initial adsorption stage, numerous accessible imprinted cavities and functional binding sites were available on the surface of </w:t>
      </w:r>
      <w:proofErr w:type="spellStart"/>
      <w:r>
        <w:rPr>
          <w:szCs w:val="24"/>
        </w:rPr>
        <w:t>Fe₃O</w:t>
      </w:r>
      <w:proofErr w:type="spellEnd"/>
      <w:r>
        <w:rPr>
          <w:szCs w:val="24"/>
        </w:rPr>
        <w:t>₄@</w:t>
      </w:r>
      <w:proofErr w:type="spellStart"/>
      <w:r>
        <w:rPr>
          <w:szCs w:val="24"/>
        </w:rPr>
        <w:t>SiO</w:t>
      </w:r>
      <w:proofErr w:type="spellEnd"/>
      <w:r>
        <w:rPr>
          <w:szCs w:val="24"/>
        </w:rPr>
        <w:t>₂@MPS@MIP, allowing the target analytes to be rapidly retained through hydrogen bonding, π–π stacking, and hydrophobic interactions. As adsorption proceeded, the number of available binding sites gradually decreased, while diffusion of the analytes into the internal pores of the polymer layer increasingly limited the mass-transfer rate.</w:t>
      </w:r>
      <w:r>
        <w:t xml:space="preserve"> </w:t>
      </w:r>
      <w:r>
        <w:rPr>
          <w:szCs w:val="24"/>
        </w:rPr>
        <w:t xml:space="preserve">At </w:t>
      </w:r>
      <w:r w:rsidR="00464CF6">
        <w:rPr>
          <w:rFonts w:eastAsia="宋体" w:hint="eastAsia"/>
          <w:szCs w:val="24"/>
          <w:lang w:eastAsia="zh-CN"/>
        </w:rPr>
        <w:t>30</w:t>
      </w:r>
      <w:r>
        <w:rPr>
          <w:szCs w:val="24"/>
        </w:rPr>
        <w:t xml:space="preserve"> min, the adsorption process approached equilibrium, and most of the accessible recognition sites had been occupied Further extension of the adsorption time therefore produced no significant improvement in recovery. Consequently, </w:t>
      </w:r>
      <w:r w:rsidR="00464CF6">
        <w:rPr>
          <w:rFonts w:eastAsia="宋体" w:hint="eastAsia"/>
          <w:szCs w:val="24"/>
          <w:lang w:eastAsia="zh-CN"/>
        </w:rPr>
        <w:t>30</w:t>
      </w:r>
      <w:r>
        <w:rPr>
          <w:szCs w:val="24"/>
        </w:rPr>
        <w:t xml:space="preserve"> min was selected as the optimal adsorption time for subsequent experiments.</w:t>
      </w:r>
    </w:p>
    <w:p w14:paraId="4F37F54A" w14:textId="77777777" w:rsidR="00462E8D" w:rsidRDefault="00A329B3" w:rsidP="002A50BF">
      <w:pPr>
        <w:spacing w:after="100" w:line="360" w:lineRule="auto"/>
        <w:ind w:firstLineChars="200" w:firstLine="482"/>
        <w:jc w:val="both"/>
        <w:rPr>
          <w:b/>
          <w:bCs/>
          <w:szCs w:val="24"/>
        </w:rPr>
      </w:pPr>
      <w:r>
        <w:rPr>
          <w:b/>
          <w:bCs/>
          <w:szCs w:val="24"/>
        </w:rPr>
        <w:t>S3.4 Effect of types of desorption solvents</w:t>
      </w:r>
    </w:p>
    <w:p w14:paraId="30C9F552" w14:textId="77B21847" w:rsidR="00462E8D" w:rsidRDefault="00A329B3">
      <w:pPr>
        <w:spacing w:after="100" w:line="360" w:lineRule="auto"/>
        <w:ind w:firstLineChars="200" w:firstLine="480"/>
        <w:jc w:val="both"/>
        <w:rPr>
          <w:szCs w:val="24"/>
        </w:rPr>
      </w:pPr>
      <w:r>
        <w:rPr>
          <w:szCs w:val="24"/>
        </w:rPr>
        <w:t xml:space="preserve">The desorption solvent directly affects the disruption of interactions between the target analytes and the imprinted recognition sites. Therefore, seven solvent systems, including methanol/water (1:1, v/v), methanol/water (3:7, v/v), methanol/water (7:3, v/v), </w:t>
      </w:r>
      <w:r w:rsidR="006E3BD4">
        <w:rPr>
          <w:szCs w:val="24"/>
        </w:rPr>
        <w:t>methanol/ammonia solution (9:1, v/v)</w:t>
      </w:r>
      <w:r w:rsidR="006E3BD4">
        <w:rPr>
          <w:rFonts w:eastAsia="宋体" w:hint="eastAsia"/>
          <w:szCs w:val="24"/>
          <w:lang w:eastAsia="zh-CN"/>
        </w:rPr>
        <w:t xml:space="preserve">, </w:t>
      </w:r>
      <w:r>
        <w:rPr>
          <w:szCs w:val="24"/>
        </w:rPr>
        <w:t>methanol/</w:t>
      </w:r>
      <w:proofErr w:type="spellStart"/>
      <w:r w:rsidR="006E3BD4">
        <w:rPr>
          <w:rFonts w:eastAsia="宋体" w:hint="eastAsia"/>
          <w:szCs w:val="24"/>
          <w:lang w:eastAsia="zh-CN"/>
        </w:rPr>
        <w:t>a</w:t>
      </w:r>
      <w:r w:rsidR="006E3BD4" w:rsidRPr="006E3BD4">
        <w:rPr>
          <w:szCs w:val="24"/>
        </w:rPr>
        <w:t>cetonitrile</w:t>
      </w:r>
      <w:r w:rsidR="006E3BD4">
        <w:rPr>
          <w:rFonts w:eastAsia="宋体" w:hint="eastAsia"/>
          <w:szCs w:val="24"/>
          <w:lang w:eastAsia="zh-CN"/>
        </w:rPr>
        <w:t>v</w:t>
      </w:r>
      <w:proofErr w:type="spellEnd"/>
      <w:r>
        <w:rPr>
          <w:szCs w:val="24"/>
        </w:rPr>
        <w:t xml:space="preserve"> (9:1, v/v), methanol/</w:t>
      </w:r>
      <w:proofErr w:type="spellStart"/>
      <w:r w:rsidR="006E3BD4">
        <w:rPr>
          <w:rFonts w:eastAsia="宋体" w:hint="eastAsia"/>
          <w:szCs w:val="24"/>
          <w:lang w:eastAsia="zh-CN"/>
        </w:rPr>
        <w:t>a</w:t>
      </w:r>
      <w:r w:rsidR="006E3BD4" w:rsidRPr="006E3BD4">
        <w:rPr>
          <w:szCs w:val="24"/>
        </w:rPr>
        <w:t>cetonitrile</w:t>
      </w:r>
      <w:r w:rsidR="006E3BD4">
        <w:rPr>
          <w:rFonts w:eastAsia="宋体" w:hint="eastAsia"/>
          <w:szCs w:val="24"/>
          <w:lang w:eastAsia="zh-CN"/>
        </w:rPr>
        <w:t>v</w:t>
      </w:r>
      <w:proofErr w:type="spellEnd"/>
      <w:r>
        <w:rPr>
          <w:szCs w:val="24"/>
        </w:rPr>
        <w:t xml:space="preserve"> (4:1, v/v), and ACN/DMF (1:1, v/v), were evaluated. As shown in Fig. S1(D), methanol/water (1:1, v/v) produced the highest recoveries for all six target analytes. The balanced polarity of this solvent system provided sufficient solubility for the relatively hydrophobic strobilurin fungicides while simultaneously weakening hydrogen bonding, π–π stacking, and hydrophobic interactions between the analytes and the imprinted cavities. Solvent systems containing a higher proportion of water showed insufficient elution strength, whereas excessive organic solvent or strongly acidic or alkaline conditions did not further improve desorption. The ACN/DMF mixture also produced relatively low recoveries, indicating that its polarity and elution ability were not </w:t>
      </w:r>
      <w:r>
        <w:rPr>
          <w:szCs w:val="24"/>
        </w:rPr>
        <w:lastRenderedPageBreak/>
        <w:t>suitable for disrupting the recognition interactions. Therefore, methanol/water (1:1, v/v) was selected as the optimal desorption solvent for subsequent experiments.</w:t>
      </w:r>
    </w:p>
    <w:p w14:paraId="4ED511AC" w14:textId="2988207B" w:rsidR="00462E8D" w:rsidRDefault="00A329B3" w:rsidP="002A50BF">
      <w:pPr>
        <w:spacing w:after="100" w:line="360" w:lineRule="auto"/>
        <w:ind w:firstLineChars="200" w:firstLine="482"/>
        <w:jc w:val="both"/>
        <w:rPr>
          <w:b/>
          <w:bCs/>
          <w:szCs w:val="24"/>
        </w:rPr>
      </w:pPr>
      <w:r>
        <w:rPr>
          <w:b/>
          <w:bCs/>
          <w:szCs w:val="24"/>
        </w:rPr>
        <w:t>S3.5 Effect of desorption solvent</w:t>
      </w:r>
      <w:r w:rsidRPr="006E3BD4">
        <w:rPr>
          <w:b/>
          <w:bCs/>
          <w:szCs w:val="24"/>
        </w:rPr>
        <w:t xml:space="preserve"> </w:t>
      </w:r>
      <w:r w:rsidR="006E3BD4" w:rsidRPr="006E3BD4">
        <w:rPr>
          <w:b/>
          <w:bCs/>
        </w:rPr>
        <w:t>volume</w:t>
      </w:r>
    </w:p>
    <w:p w14:paraId="5F13C6E1" w14:textId="77777777" w:rsidR="00462E8D" w:rsidRDefault="00A329B3">
      <w:pPr>
        <w:spacing w:after="100" w:line="360" w:lineRule="auto"/>
        <w:ind w:firstLineChars="200" w:firstLine="480"/>
        <w:jc w:val="both"/>
        <w:rPr>
          <w:szCs w:val="24"/>
        </w:rPr>
      </w:pPr>
      <w:r>
        <w:rPr>
          <w:szCs w:val="24"/>
        </w:rPr>
        <w:t xml:space="preserve">The effect of desorption solvent volume on the recoveries of the six target analytes was investigated using methanol/water (1:1, v/v) over the range of 1–10 </w:t>
      </w:r>
      <w:proofErr w:type="spellStart"/>
      <w:r>
        <w:rPr>
          <w:szCs w:val="24"/>
        </w:rPr>
        <w:t>mL.</w:t>
      </w:r>
      <w:proofErr w:type="spellEnd"/>
      <w:r>
        <w:rPr>
          <w:szCs w:val="24"/>
        </w:rPr>
        <w:t xml:space="preserve"> As shown in Fig. S1(E), the recoveries gradually increased as the desorption solvent volume increased from 1 to 8 </w:t>
      </w:r>
      <w:proofErr w:type="spellStart"/>
      <w:r>
        <w:rPr>
          <w:szCs w:val="24"/>
        </w:rPr>
        <w:t>mL.</w:t>
      </w:r>
      <w:proofErr w:type="spellEnd"/>
      <w:r>
        <w:rPr>
          <w:szCs w:val="24"/>
        </w:rPr>
        <w:t xml:space="preserve"> At lower solvent volumes, the amount of desorption solvent was insufficient to completely disrupt the interactions between the target analytes and the imprinted recognition sites, resulting in incomplete analyte release. Increasing the solvent volume enhanced contact between the desorption solvent and the adsorbent and maintained a favorable concentration gradient for analyte transfer from the polymer layer into the liquid phase. The maximum recoveries were obtained at 8 mL, indicating that the retained analytes had been sufficiently desorbed under this condition. Further increasing the volume to 10 mL produced no significant improvement and slightly reduced the detected concentrations because of dilution. Therefore, 8 mL was selected as the optimal desorption solvent volume for subsequent experiments.</w:t>
      </w:r>
    </w:p>
    <w:p w14:paraId="14C185F3" w14:textId="77777777" w:rsidR="00462E8D" w:rsidRDefault="00A329B3">
      <w:pPr>
        <w:spacing w:after="200" w:line="276" w:lineRule="auto"/>
        <w:rPr>
          <w:sz w:val="22"/>
        </w:rPr>
      </w:pPr>
      <w:r>
        <w:rPr>
          <w:sz w:val="22"/>
        </w:rPr>
        <w:br w:type="page"/>
      </w:r>
    </w:p>
    <w:p w14:paraId="5F3C7771" w14:textId="77777777" w:rsidR="00462E8D" w:rsidRDefault="00A329B3">
      <w:pPr>
        <w:spacing w:after="100"/>
        <w:rPr>
          <w:rFonts w:eastAsia="宋体"/>
          <w:sz w:val="22"/>
          <w:lang w:eastAsia="zh-CN"/>
        </w:rPr>
      </w:pPr>
      <w:r>
        <w:rPr>
          <w:rFonts w:eastAsia="宋体" w:hint="eastAsia"/>
          <w:sz w:val="22"/>
          <w:lang w:eastAsia="zh-CN"/>
        </w:rPr>
        <w:lastRenderedPageBreak/>
        <w:t>Figure S1</w:t>
      </w:r>
    </w:p>
    <w:p w14:paraId="2DBF24C9" w14:textId="76F64E95" w:rsidR="00462E8D" w:rsidRDefault="005D3F57">
      <w:pPr>
        <w:spacing w:after="100"/>
        <w:rPr>
          <w:rFonts w:eastAsia="宋体"/>
          <w:sz w:val="22"/>
          <w:lang w:eastAsia="zh-CN"/>
        </w:rPr>
      </w:pPr>
      <w:r>
        <w:rPr>
          <w:rFonts w:eastAsia="宋体"/>
          <w:noProof/>
          <w:sz w:val="22"/>
          <w:lang w:eastAsia="zh-CN"/>
        </w:rPr>
        <w:drawing>
          <wp:inline distT="0" distB="0" distL="0" distR="0" wp14:anchorId="6231B066" wp14:editId="796C57AE">
            <wp:extent cx="5291328" cy="7943088"/>
            <wp:effectExtent l="0" t="0" r="5080" b="1270"/>
            <wp:docPr id="15737254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725454" name="图片 1573725454"/>
                    <pic:cNvPicPr/>
                  </pic:nvPicPr>
                  <pic:blipFill>
                    <a:blip r:embed="rId8"/>
                    <a:stretch>
                      <a:fillRect/>
                    </a:stretch>
                  </pic:blipFill>
                  <pic:spPr>
                    <a:xfrm>
                      <a:off x="0" y="0"/>
                      <a:ext cx="5291328" cy="7943088"/>
                    </a:xfrm>
                    <a:prstGeom prst="rect">
                      <a:avLst/>
                    </a:prstGeom>
                  </pic:spPr>
                </pic:pic>
              </a:graphicData>
            </a:graphic>
          </wp:inline>
        </w:drawing>
      </w:r>
    </w:p>
    <w:p w14:paraId="18F2FABB" w14:textId="77777777" w:rsidR="00462E8D" w:rsidRDefault="00A329B3">
      <w:pPr>
        <w:spacing w:after="100"/>
        <w:rPr>
          <w:rFonts w:eastAsia="宋体"/>
          <w:sz w:val="22"/>
          <w:lang w:eastAsia="zh-CN"/>
        </w:rPr>
      </w:pPr>
      <w:r>
        <w:rPr>
          <w:rFonts w:eastAsia="宋体" w:hint="eastAsia"/>
          <w:sz w:val="22"/>
          <w:lang w:eastAsia="zh-CN"/>
        </w:rPr>
        <w:lastRenderedPageBreak/>
        <w:t>Figure S2</w:t>
      </w:r>
    </w:p>
    <w:p w14:paraId="3C8984E4" w14:textId="77777777" w:rsidR="00462E8D" w:rsidRDefault="00A329B3">
      <w:pPr>
        <w:spacing w:after="200" w:line="276" w:lineRule="auto"/>
        <w:rPr>
          <w:rFonts w:eastAsia="宋体"/>
          <w:sz w:val="22"/>
          <w:lang w:eastAsia="zh-CN"/>
        </w:rPr>
        <w:sectPr w:rsidR="00462E8D">
          <w:pgSz w:w="12240" w:h="15840"/>
          <w:pgMar w:top="1440" w:right="1800" w:bottom="1440" w:left="1800" w:header="720" w:footer="720" w:gutter="0"/>
          <w:cols w:space="720"/>
          <w:docGrid w:linePitch="360"/>
        </w:sectPr>
      </w:pPr>
      <w:r>
        <w:rPr>
          <w:rFonts w:eastAsia="宋体" w:hint="eastAsia"/>
          <w:noProof/>
          <w:sz w:val="22"/>
          <w:lang w:eastAsia="zh-CN"/>
        </w:rPr>
        <w:drawing>
          <wp:inline distT="0" distB="0" distL="0" distR="0" wp14:anchorId="6DFED206" wp14:editId="63CC32ED">
            <wp:extent cx="5486400" cy="3834765"/>
            <wp:effectExtent l="0" t="0" r="0" b="0"/>
            <wp:docPr id="152765469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654698" name="图片 4"/>
                    <pic:cNvPicPr>
                      <a:picLocks noChangeAspect="1"/>
                    </pic:cNvPicPr>
                  </pic:nvPicPr>
                  <pic:blipFill>
                    <a:blip r:embed="rId9"/>
                    <a:stretch>
                      <a:fillRect/>
                    </a:stretch>
                  </pic:blipFill>
                  <pic:spPr>
                    <a:xfrm>
                      <a:off x="0" y="0"/>
                      <a:ext cx="5486400" cy="3834765"/>
                    </a:xfrm>
                    <a:prstGeom prst="rect">
                      <a:avLst/>
                    </a:prstGeom>
                  </pic:spPr>
                </pic:pic>
              </a:graphicData>
            </a:graphic>
          </wp:inline>
        </w:drawing>
      </w:r>
    </w:p>
    <w:p w14:paraId="02BBF812" w14:textId="77777777" w:rsidR="00462E8D" w:rsidRDefault="00462E8D">
      <w:pPr>
        <w:spacing w:after="200" w:line="276" w:lineRule="auto"/>
        <w:rPr>
          <w:rFonts w:eastAsia="宋体"/>
          <w:sz w:val="22"/>
          <w:lang w:eastAsia="zh-CN"/>
        </w:rPr>
      </w:pPr>
    </w:p>
    <w:p w14:paraId="00288AD5" w14:textId="77777777" w:rsidR="00462E8D" w:rsidRDefault="00A329B3">
      <w:pPr>
        <w:spacing w:after="100"/>
      </w:pPr>
      <w:r>
        <w:rPr>
          <w:sz w:val="22"/>
        </w:rPr>
        <w:t>Table S1 Parameters of chromatography and mass spectrometer for the detection of six strobilurin fungicides</w:t>
      </w:r>
    </w:p>
    <w:tbl>
      <w:tblPr>
        <w:tblW w:w="0" w:type="auto"/>
        <w:jc w:val="center"/>
        <w:tblLayout w:type="fixed"/>
        <w:tblLook w:val="04A0" w:firstRow="1" w:lastRow="0" w:firstColumn="1" w:lastColumn="0" w:noHBand="0" w:noVBand="1"/>
      </w:tblPr>
      <w:tblGrid>
        <w:gridCol w:w="2232"/>
        <w:gridCol w:w="5112"/>
        <w:gridCol w:w="1512"/>
        <w:gridCol w:w="1584"/>
        <w:gridCol w:w="1656"/>
        <w:gridCol w:w="1080"/>
        <w:gridCol w:w="1080"/>
      </w:tblGrid>
      <w:tr w:rsidR="00462E8D" w14:paraId="31F4CCFE" w14:textId="77777777">
        <w:trPr>
          <w:cantSplit/>
          <w:trHeight w:hRule="exact" w:val="792"/>
          <w:tblHeader/>
          <w:jc w:val="center"/>
        </w:trPr>
        <w:tc>
          <w:tcPr>
            <w:tcW w:w="2232" w:type="dxa"/>
            <w:tcBorders>
              <w:top w:val="single" w:sz="12" w:space="0" w:color="000000"/>
              <w:left w:val="nil"/>
              <w:bottom w:val="single" w:sz="8" w:space="0" w:color="000000"/>
              <w:right w:val="nil"/>
            </w:tcBorders>
            <w:tcMar>
              <w:top w:w="40" w:type="dxa"/>
              <w:left w:w="35" w:type="dxa"/>
              <w:bottom w:w="40" w:type="dxa"/>
              <w:right w:w="35" w:type="dxa"/>
            </w:tcMar>
            <w:vAlign w:val="center"/>
          </w:tcPr>
          <w:p w14:paraId="2E62BB04" w14:textId="77777777" w:rsidR="00462E8D" w:rsidRDefault="00A329B3">
            <w:pPr>
              <w:jc w:val="center"/>
            </w:pPr>
            <w:r>
              <w:rPr>
                <w:sz w:val="20"/>
              </w:rPr>
              <w:t>Analytes</w:t>
            </w:r>
          </w:p>
        </w:tc>
        <w:tc>
          <w:tcPr>
            <w:tcW w:w="5112" w:type="dxa"/>
            <w:tcBorders>
              <w:top w:val="single" w:sz="12" w:space="0" w:color="000000"/>
              <w:left w:val="nil"/>
              <w:bottom w:val="single" w:sz="8" w:space="0" w:color="000000"/>
              <w:right w:val="nil"/>
            </w:tcBorders>
            <w:tcMar>
              <w:top w:w="40" w:type="dxa"/>
              <w:left w:w="35" w:type="dxa"/>
              <w:bottom w:w="40" w:type="dxa"/>
              <w:right w:w="35" w:type="dxa"/>
            </w:tcMar>
            <w:vAlign w:val="center"/>
          </w:tcPr>
          <w:p w14:paraId="1CAD4451" w14:textId="77777777" w:rsidR="00462E8D" w:rsidRDefault="00A329B3">
            <w:pPr>
              <w:jc w:val="center"/>
            </w:pPr>
            <w:r>
              <w:rPr>
                <w:sz w:val="20"/>
              </w:rPr>
              <w:t>Structure</w:t>
            </w:r>
          </w:p>
        </w:tc>
        <w:tc>
          <w:tcPr>
            <w:tcW w:w="1512" w:type="dxa"/>
            <w:tcBorders>
              <w:top w:val="single" w:sz="12" w:space="0" w:color="000000"/>
              <w:left w:val="nil"/>
              <w:bottom w:val="single" w:sz="8" w:space="0" w:color="000000"/>
              <w:right w:val="nil"/>
            </w:tcBorders>
            <w:tcMar>
              <w:top w:w="40" w:type="dxa"/>
              <w:left w:w="35" w:type="dxa"/>
              <w:bottom w:w="40" w:type="dxa"/>
              <w:right w:w="35" w:type="dxa"/>
            </w:tcMar>
            <w:vAlign w:val="center"/>
          </w:tcPr>
          <w:p w14:paraId="3E22A607" w14:textId="77777777" w:rsidR="00462E8D" w:rsidRDefault="00A329B3">
            <w:pPr>
              <w:jc w:val="center"/>
            </w:pPr>
            <w:r>
              <w:rPr>
                <w:sz w:val="20"/>
              </w:rPr>
              <w:t>Retention</w:t>
            </w:r>
            <w:r>
              <w:rPr>
                <w:sz w:val="20"/>
              </w:rPr>
              <w:br/>
              <w:t>time (min)</w:t>
            </w:r>
          </w:p>
        </w:tc>
        <w:tc>
          <w:tcPr>
            <w:tcW w:w="1584" w:type="dxa"/>
            <w:tcBorders>
              <w:top w:val="single" w:sz="12" w:space="0" w:color="000000"/>
              <w:left w:val="nil"/>
              <w:bottom w:val="single" w:sz="8" w:space="0" w:color="000000"/>
              <w:right w:val="nil"/>
            </w:tcBorders>
            <w:tcMar>
              <w:top w:w="40" w:type="dxa"/>
              <w:left w:w="35" w:type="dxa"/>
              <w:bottom w:w="40" w:type="dxa"/>
              <w:right w:w="35" w:type="dxa"/>
            </w:tcMar>
            <w:vAlign w:val="center"/>
          </w:tcPr>
          <w:p w14:paraId="524822C6" w14:textId="77777777" w:rsidR="00462E8D" w:rsidRDefault="00A329B3">
            <w:pPr>
              <w:jc w:val="center"/>
            </w:pPr>
            <w:r>
              <w:rPr>
                <w:sz w:val="20"/>
              </w:rPr>
              <w:t>Precursor</w:t>
            </w:r>
            <w:r>
              <w:rPr>
                <w:sz w:val="20"/>
              </w:rPr>
              <w:br/>
              <w:t>ion (m/z)</w:t>
            </w:r>
          </w:p>
        </w:tc>
        <w:tc>
          <w:tcPr>
            <w:tcW w:w="1656" w:type="dxa"/>
            <w:tcBorders>
              <w:top w:val="single" w:sz="12" w:space="0" w:color="000000"/>
              <w:left w:val="nil"/>
              <w:bottom w:val="single" w:sz="8" w:space="0" w:color="000000"/>
              <w:right w:val="nil"/>
            </w:tcBorders>
            <w:tcMar>
              <w:top w:w="40" w:type="dxa"/>
              <w:left w:w="35" w:type="dxa"/>
              <w:bottom w:w="40" w:type="dxa"/>
              <w:right w:w="35" w:type="dxa"/>
            </w:tcMar>
            <w:vAlign w:val="center"/>
          </w:tcPr>
          <w:p w14:paraId="346AE3AA" w14:textId="77777777" w:rsidR="00462E8D" w:rsidRDefault="00A329B3">
            <w:pPr>
              <w:jc w:val="center"/>
            </w:pPr>
            <w:r>
              <w:rPr>
                <w:sz w:val="20"/>
              </w:rPr>
              <w:t>Product ion</w:t>
            </w:r>
            <w:r>
              <w:rPr>
                <w:sz w:val="20"/>
              </w:rPr>
              <w:br/>
              <w:t>(m/z)</w:t>
            </w:r>
          </w:p>
        </w:tc>
        <w:tc>
          <w:tcPr>
            <w:tcW w:w="1080" w:type="dxa"/>
            <w:tcBorders>
              <w:top w:val="single" w:sz="12" w:space="0" w:color="000000"/>
              <w:left w:val="nil"/>
              <w:bottom w:val="single" w:sz="8" w:space="0" w:color="000000"/>
              <w:right w:val="nil"/>
            </w:tcBorders>
            <w:tcMar>
              <w:top w:w="40" w:type="dxa"/>
              <w:left w:w="35" w:type="dxa"/>
              <w:bottom w:w="40" w:type="dxa"/>
              <w:right w:w="35" w:type="dxa"/>
            </w:tcMar>
            <w:vAlign w:val="center"/>
          </w:tcPr>
          <w:p w14:paraId="03ACD384" w14:textId="77777777" w:rsidR="00462E8D" w:rsidRDefault="00A329B3">
            <w:pPr>
              <w:jc w:val="center"/>
            </w:pPr>
            <w:r>
              <w:rPr>
                <w:sz w:val="20"/>
              </w:rPr>
              <w:t>CE (V)</w:t>
            </w:r>
          </w:p>
        </w:tc>
        <w:tc>
          <w:tcPr>
            <w:tcW w:w="1080" w:type="dxa"/>
            <w:tcBorders>
              <w:top w:val="single" w:sz="12" w:space="0" w:color="000000"/>
              <w:left w:val="nil"/>
              <w:bottom w:val="single" w:sz="8" w:space="0" w:color="000000"/>
              <w:right w:val="nil"/>
            </w:tcBorders>
            <w:tcMar>
              <w:top w:w="40" w:type="dxa"/>
              <w:left w:w="35" w:type="dxa"/>
              <w:bottom w:w="40" w:type="dxa"/>
              <w:right w:w="35" w:type="dxa"/>
            </w:tcMar>
            <w:vAlign w:val="center"/>
          </w:tcPr>
          <w:p w14:paraId="183B31DE" w14:textId="77777777" w:rsidR="00462E8D" w:rsidRDefault="00A329B3">
            <w:pPr>
              <w:jc w:val="center"/>
            </w:pPr>
            <w:r>
              <w:rPr>
                <w:sz w:val="20"/>
              </w:rPr>
              <w:t>Cone (V)</w:t>
            </w:r>
          </w:p>
        </w:tc>
      </w:tr>
      <w:tr w:rsidR="00462E8D" w14:paraId="4587FE52" w14:textId="77777777">
        <w:trPr>
          <w:cantSplit/>
          <w:trHeight w:hRule="exact" w:val="1339"/>
          <w:jc w:val="center"/>
        </w:trPr>
        <w:tc>
          <w:tcPr>
            <w:tcW w:w="2232" w:type="dxa"/>
            <w:tcBorders>
              <w:top w:val="nil"/>
              <w:left w:val="nil"/>
              <w:bottom w:val="nil"/>
              <w:right w:val="nil"/>
            </w:tcBorders>
            <w:tcMar>
              <w:top w:w="20" w:type="dxa"/>
              <w:left w:w="35" w:type="dxa"/>
              <w:bottom w:w="20" w:type="dxa"/>
              <w:right w:w="35" w:type="dxa"/>
            </w:tcMar>
            <w:vAlign w:val="center"/>
          </w:tcPr>
          <w:p w14:paraId="176900B8" w14:textId="77777777" w:rsidR="00462E8D" w:rsidRDefault="00A329B3">
            <w:pPr>
              <w:jc w:val="center"/>
            </w:pPr>
            <w:proofErr w:type="spellStart"/>
            <w:r>
              <w:rPr>
                <w:sz w:val="20"/>
              </w:rPr>
              <w:t>Pyraclostrobin</w:t>
            </w:r>
            <w:proofErr w:type="spellEnd"/>
          </w:p>
        </w:tc>
        <w:tc>
          <w:tcPr>
            <w:tcW w:w="5112" w:type="dxa"/>
            <w:tcBorders>
              <w:top w:val="nil"/>
              <w:left w:val="nil"/>
              <w:bottom w:val="nil"/>
              <w:right w:val="nil"/>
            </w:tcBorders>
            <w:tcMar>
              <w:top w:w="20" w:type="dxa"/>
              <w:left w:w="35" w:type="dxa"/>
              <w:bottom w:w="20" w:type="dxa"/>
              <w:right w:w="35" w:type="dxa"/>
            </w:tcMar>
            <w:vAlign w:val="center"/>
          </w:tcPr>
          <w:p w14:paraId="324D6185" w14:textId="77777777" w:rsidR="00462E8D" w:rsidRDefault="00A329B3">
            <w:pPr>
              <w:jc w:val="center"/>
            </w:pPr>
            <w:r>
              <w:rPr>
                <w:noProof/>
                <w:lang w:eastAsia="zh-CN"/>
              </w:rPr>
              <w:drawing>
                <wp:inline distT="0" distB="0" distL="0" distR="0" wp14:anchorId="2BCAACF4" wp14:editId="1959D3FA">
                  <wp:extent cx="2788920" cy="8045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0"/>
                          <a:stretch>
                            <a:fillRect/>
                          </a:stretch>
                        </pic:blipFill>
                        <pic:spPr>
                          <a:xfrm>
                            <a:off x="0" y="0"/>
                            <a:ext cx="2788920" cy="804672"/>
                          </a:xfrm>
                          <a:prstGeom prst="rect">
                            <a:avLst/>
                          </a:prstGeom>
                        </pic:spPr>
                      </pic:pic>
                    </a:graphicData>
                  </a:graphic>
                </wp:inline>
              </w:drawing>
            </w:r>
          </w:p>
        </w:tc>
        <w:tc>
          <w:tcPr>
            <w:tcW w:w="1512" w:type="dxa"/>
            <w:tcBorders>
              <w:top w:val="nil"/>
              <w:left w:val="nil"/>
              <w:bottom w:val="nil"/>
              <w:right w:val="nil"/>
            </w:tcBorders>
            <w:tcMar>
              <w:top w:w="20" w:type="dxa"/>
              <w:left w:w="35" w:type="dxa"/>
              <w:bottom w:w="20" w:type="dxa"/>
              <w:right w:w="35" w:type="dxa"/>
            </w:tcMar>
            <w:vAlign w:val="center"/>
          </w:tcPr>
          <w:p w14:paraId="5DA2FA84" w14:textId="77777777" w:rsidR="00462E8D" w:rsidRDefault="00A329B3">
            <w:pPr>
              <w:jc w:val="center"/>
            </w:pPr>
            <w:r>
              <w:rPr>
                <w:sz w:val="20"/>
              </w:rPr>
              <w:t>6.75</w:t>
            </w:r>
          </w:p>
        </w:tc>
        <w:tc>
          <w:tcPr>
            <w:tcW w:w="1584" w:type="dxa"/>
            <w:tcBorders>
              <w:top w:val="nil"/>
              <w:left w:val="nil"/>
              <w:bottom w:val="nil"/>
              <w:right w:val="nil"/>
            </w:tcBorders>
            <w:tcMar>
              <w:top w:w="20" w:type="dxa"/>
              <w:left w:w="35" w:type="dxa"/>
              <w:bottom w:w="20" w:type="dxa"/>
              <w:right w:w="35" w:type="dxa"/>
            </w:tcMar>
            <w:vAlign w:val="center"/>
          </w:tcPr>
          <w:p w14:paraId="50717391" w14:textId="77777777" w:rsidR="00462E8D" w:rsidRDefault="00A329B3">
            <w:pPr>
              <w:jc w:val="center"/>
            </w:pPr>
            <w:r>
              <w:rPr>
                <w:sz w:val="20"/>
              </w:rPr>
              <w:t>388.1</w:t>
            </w:r>
          </w:p>
        </w:tc>
        <w:tc>
          <w:tcPr>
            <w:tcW w:w="1656" w:type="dxa"/>
            <w:tcBorders>
              <w:top w:val="nil"/>
              <w:left w:val="nil"/>
              <w:bottom w:val="nil"/>
              <w:right w:val="nil"/>
            </w:tcBorders>
            <w:tcMar>
              <w:top w:w="20" w:type="dxa"/>
              <w:left w:w="35" w:type="dxa"/>
              <w:bottom w:w="20" w:type="dxa"/>
              <w:right w:w="35" w:type="dxa"/>
            </w:tcMar>
            <w:vAlign w:val="center"/>
          </w:tcPr>
          <w:p w14:paraId="2B6B64CF" w14:textId="77777777" w:rsidR="00462E8D" w:rsidRDefault="00A329B3">
            <w:pPr>
              <w:jc w:val="center"/>
            </w:pPr>
            <w:r>
              <w:rPr>
                <w:sz w:val="20"/>
              </w:rPr>
              <w:t>193.9*</w:t>
            </w:r>
            <w:r>
              <w:rPr>
                <w:sz w:val="20"/>
              </w:rPr>
              <w:br/>
              <w:t>163.0</w:t>
            </w:r>
          </w:p>
        </w:tc>
        <w:tc>
          <w:tcPr>
            <w:tcW w:w="1080" w:type="dxa"/>
            <w:tcBorders>
              <w:top w:val="nil"/>
              <w:left w:val="nil"/>
              <w:bottom w:val="nil"/>
              <w:right w:val="nil"/>
            </w:tcBorders>
            <w:tcMar>
              <w:top w:w="20" w:type="dxa"/>
              <w:left w:w="35" w:type="dxa"/>
              <w:bottom w:w="20" w:type="dxa"/>
              <w:right w:w="35" w:type="dxa"/>
            </w:tcMar>
            <w:vAlign w:val="center"/>
          </w:tcPr>
          <w:p w14:paraId="52071896" w14:textId="77777777" w:rsidR="00462E8D" w:rsidRDefault="00A329B3">
            <w:pPr>
              <w:jc w:val="center"/>
            </w:pPr>
            <w:r>
              <w:rPr>
                <w:sz w:val="20"/>
              </w:rPr>
              <w:t>10</w:t>
            </w:r>
            <w:r>
              <w:rPr>
                <w:sz w:val="20"/>
              </w:rPr>
              <w:br/>
              <w:t>25</w:t>
            </w:r>
          </w:p>
        </w:tc>
        <w:tc>
          <w:tcPr>
            <w:tcW w:w="1080" w:type="dxa"/>
            <w:tcBorders>
              <w:top w:val="nil"/>
              <w:left w:val="nil"/>
              <w:bottom w:val="nil"/>
              <w:right w:val="nil"/>
            </w:tcBorders>
            <w:tcMar>
              <w:top w:w="20" w:type="dxa"/>
              <w:left w:w="35" w:type="dxa"/>
              <w:bottom w:w="20" w:type="dxa"/>
              <w:right w:w="35" w:type="dxa"/>
            </w:tcMar>
            <w:vAlign w:val="center"/>
          </w:tcPr>
          <w:p w14:paraId="754725F4" w14:textId="77777777" w:rsidR="00462E8D" w:rsidRDefault="00A329B3">
            <w:pPr>
              <w:jc w:val="center"/>
            </w:pPr>
            <w:r>
              <w:rPr>
                <w:sz w:val="20"/>
              </w:rPr>
              <w:t>25</w:t>
            </w:r>
            <w:r>
              <w:rPr>
                <w:sz w:val="20"/>
              </w:rPr>
              <w:br/>
              <w:t>25</w:t>
            </w:r>
          </w:p>
        </w:tc>
      </w:tr>
      <w:tr w:rsidR="00462E8D" w14:paraId="3D31BC96" w14:textId="77777777">
        <w:trPr>
          <w:cantSplit/>
          <w:trHeight w:hRule="exact" w:val="1339"/>
          <w:jc w:val="center"/>
        </w:trPr>
        <w:tc>
          <w:tcPr>
            <w:tcW w:w="2232" w:type="dxa"/>
            <w:tcBorders>
              <w:top w:val="nil"/>
              <w:left w:val="nil"/>
              <w:bottom w:val="nil"/>
              <w:right w:val="nil"/>
            </w:tcBorders>
            <w:tcMar>
              <w:top w:w="20" w:type="dxa"/>
              <w:left w:w="35" w:type="dxa"/>
              <w:bottom w:w="20" w:type="dxa"/>
              <w:right w:w="35" w:type="dxa"/>
            </w:tcMar>
            <w:vAlign w:val="center"/>
          </w:tcPr>
          <w:p w14:paraId="0D347339" w14:textId="77777777" w:rsidR="00462E8D" w:rsidRDefault="00A329B3">
            <w:pPr>
              <w:jc w:val="center"/>
            </w:pPr>
            <w:r>
              <w:rPr>
                <w:sz w:val="20"/>
              </w:rPr>
              <w:t>Azoxystrobin</w:t>
            </w:r>
          </w:p>
        </w:tc>
        <w:tc>
          <w:tcPr>
            <w:tcW w:w="5112" w:type="dxa"/>
            <w:tcBorders>
              <w:top w:val="nil"/>
              <w:left w:val="nil"/>
              <w:bottom w:val="nil"/>
              <w:right w:val="nil"/>
            </w:tcBorders>
            <w:tcMar>
              <w:top w:w="20" w:type="dxa"/>
              <w:left w:w="35" w:type="dxa"/>
              <w:bottom w:w="20" w:type="dxa"/>
              <w:right w:w="35" w:type="dxa"/>
            </w:tcMar>
            <w:vAlign w:val="center"/>
          </w:tcPr>
          <w:p w14:paraId="3035069C" w14:textId="77777777" w:rsidR="00462E8D" w:rsidRDefault="00A329B3">
            <w:pPr>
              <w:jc w:val="center"/>
            </w:pPr>
            <w:r>
              <w:rPr>
                <w:noProof/>
                <w:lang w:eastAsia="zh-CN"/>
              </w:rPr>
              <w:drawing>
                <wp:inline distT="0" distB="0" distL="0" distR="0" wp14:anchorId="2625CE4D" wp14:editId="13682775">
                  <wp:extent cx="2788920" cy="8045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1"/>
                          <a:stretch>
                            <a:fillRect/>
                          </a:stretch>
                        </pic:blipFill>
                        <pic:spPr>
                          <a:xfrm>
                            <a:off x="0" y="0"/>
                            <a:ext cx="2788920" cy="804672"/>
                          </a:xfrm>
                          <a:prstGeom prst="rect">
                            <a:avLst/>
                          </a:prstGeom>
                        </pic:spPr>
                      </pic:pic>
                    </a:graphicData>
                  </a:graphic>
                </wp:inline>
              </w:drawing>
            </w:r>
          </w:p>
        </w:tc>
        <w:tc>
          <w:tcPr>
            <w:tcW w:w="1512" w:type="dxa"/>
            <w:tcBorders>
              <w:top w:val="nil"/>
              <w:left w:val="nil"/>
              <w:bottom w:val="nil"/>
              <w:right w:val="nil"/>
            </w:tcBorders>
            <w:tcMar>
              <w:top w:w="20" w:type="dxa"/>
              <w:left w:w="35" w:type="dxa"/>
              <w:bottom w:w="20" w:type="dxa"/>
              <w:right w:w="35" w:type="dxa"/>
            </w:tcMar>
            <w:vAlign w:val="center"/>
          </w:tcPr>
          <w:p w14:paraId="7D4B4B49" w14:textId="77777777" w:rsidR="00462E8D" w:rsidRDefault="00A329B3">
            <w:pPr>
              <w:jc w:val="center"/>
            </w:pPr>
            <w:r>
              <w:rPr>
                <w:sz w:val="20"/>
              </w:rPr>
              <w:t>5.83</w:t>
            </w:r>
          </w:p>
        </w:tc>
        <w:tc>
          <w:tcPr>
            <w:tcW w:w="1584" w:type="dxa"/>
            <w:tcBorders>
              <w:top w:val="nil"/>
              <w:left w:val="nil"/>
              <w:bottom w:val="nil"/>
              <w:right w:val="nil"/>
            </w:tcBorders>
            <w:tcMar>
              <w:top w:w="20" w:type="dxa"/>
              <w:left w:w="35" w:type="dxa"/>
              <w:bottom w:w="20" w:type="dxa"/>
              <w:right w:w="35" w:type="dxa"/>
            </w:tcMar>
            <w:vAlign w:val="center"/>
          </w:tcPr>
          <w:p w14:paraId="4C942DB3" w14:textId="77777777" w:rsidR="00462E8D" w:rsidRDefault="00A329B3">
            <w:pPr>
              <w:jc w:val="center"/>
            </w:pPr>
            <w:r>
              <w:rPr>
                <w:sz w:val="20"/>
              </w:rPr>
              <w:t>404.0</w:t>
            </w:r>
          </w:p>
        </w:tc>
        <w:tc>
          <w:tcPr>
            <w:tcW w:w="1656" w:type="dxa"/>
            <w:tcBorders>
              <w:top w:val="nil"/>
              <w:left w:val="nil"/>
              <w:bottom w:val="nil"/>
              <w:right w:val="nil"/>
            </w:tcBorders>
            <w:tcMar>
              <w:top w:w="20" w:type="dxa"/>
              <w:left w:w="35" w:type="dxa"/>
              <w:bottom w:w="20" w:type="dxa"/>
              <w:right w:w="35" w:type="dxa"/>
            </w:tcMar>
            <w:vAlign w:val="center"/>
          </w:tcPr>
          <w:p w14:paraId="6BAA015E" w14:textId="77777777" w:rsidR="00462E8D" w:rsidRDefault="00A329B3">
            <w:pPr>
              <w:jc w:val="center"/>
            </w:pPr>
            <w:r>
              <w:rPr>
                <w:sz w:val="20"/>
              </w:rPr>
              <w:t>372.0*</w:t>
            </w:r>
            <w:r>
              <w:rPr>
                <w:sz w:val="20"/>
              </w:rPr>
              <w:br/>
              <w:t>329.0</w:t>
            </w:r>
          </w:p>
        </w:tc>
        <w:tc>
          <w:tcPr>
            <w:tcW w:w="1080" w:type="dxa"/>
            <w:tcBorders>
              <w:top w:val="nil"/>
              <w:left w:val="nil"/>
              <w:bottom w:val="nil"/>
              <w:right w:val="nil"/>
            </w:tcBorders>
            <w:tcMar>
              <w:top w:w="20" w:type="dxa"/>
              <w:left w:w="35" w:type="dxa"/>
              <w:bottom w:w="20" w:type="dxa"/>
              <w:right w:w="35" w:type="dxa"/>
            </w:tcMar>
            <w:vAlign w:val="center"/>
          </w:tcPr>
          <w:p w14:paraId="74036F14" w14:textId="77777777" w:rsidR="00462E8D" w:rsidRDefault="00A329B3">
            <w:pPr>
              <w:jc w:val="center"/>
            </w:pPr>
            <w:r>
              <w:rPr>
                <w:sz w:val="20"/>
              </w:rPr>
              <w:t>25</w:t>
            </w:r>
            <w:r>
              <w:rPr>
                <w:sz w:val="20"/>
              </w:rPr>
              <w:br/>
              <w:t>30</w:t>
            </w:r>
          </w:p>
        </w:tc>
        <w:tc>
          <w:tcPr>
            <w:tcW w:w="1080" w:type="dxa"/>
            <w:tcBorders>
              <w:top w:val="nil"/>
              <w:left w:val="nil"/>
              <w:bottom w:val="nil"/>
              <w:right w:val="nil"/>
            </w:tcBorders>
            <w:tcMar>
              <w:top w:w="20" w:type="dxa"/>
              <w:left w:w="35" w:type="dxa"/>
              <w:bottom w:w="20" w:type="dxa"/>
              <w:right w:w="35" w:type="dxa"/>
            </w:tcMar>
            <w:vAlign w:val="center"/>
          </w:tcPr>
          <w:p w14:paraId="42C93CE4" w14:textId="77777777" w:rsidR="00462E8D" w:rsidRDefault="00A329B3">
            <w:pPr>
              <w:jc w:val="center"/>
            </w:pPr>
            <w:r>
              <w:rPr>
                <w:sz w:val="20"/>
              </w:rPr>
              <w:t>25</w:t>
            </w:r>
            <w:r>
              <w:rPr>
                <w:sz w:val="20"/>
              </w:rPr>
              <w:br/>
              <w:t>25</w:t>
            </w:r>
          </w:p>
        </w:tc>
      </w:tr>
      <w:tr w:rsidR="00462E8D" w14:paraId="66712128" w14:textId="77777777">
        <w:trPr>
          <w:cantSplit/>
          <w:trHeight w:hRule="exact" w:val="1339"/>
          <w:jc w:val="center"/>
        </w:trPr>
        <w:tc>
          <w:tcPr>
            <w:tcW w:w="2232" w:type="dxa"/>
            <w:tcBorders>
              <w:top w:val="nil"/>
              <w:left w:val="nil"/>
              <w:bottom w:val="nil"/>
              <w:right w:val="nil"/>
            </w:tcBorders>
            <w:tcMar>
              <w:top w:w="20" w:type="dxa"/>
              <w:left w:w="35" w:type="dxa"/>
              <w:bottom w:w="20" w:type="dxa"/>
              <w:right w:w="35" w:type="dxa"/>
            </w:tcMar>
            <w:vAlign w:val="center"/>
          </w:tcPr>
          <w:p w14:paraId="381CA474" w14:textId="77777777" w:rsidR="00462E8D" w:rsidRDefault="00A329B3">
            <w:pPr>
              <w:jc w:val="center"/>
            </w:pPr>
            <w:proofErr w:type="spellStart"/>
            <w:r>
              <w:rPr>
                <w:sz w:val="20"/>
              </w:rPr>
              <w:t>Trifloxystrobin</w:t>
            </w:r>
            <w:proofErr w:type="spellEnd"/>
          </w:p>
        </w:tc>
        <w:tc>
          <w:tcPr>
            <w:tcW w:w="5112" w:type="dxa"/>
            <w:tcBorders>
              <w:top w:val="nil"/>
              <w:left w:val="nil"/>
              <w:bottom w:val="nil"/>
              <w:right w:val="nil"/>
            </w:tcBorders>
            <w:tcMar>
              <w:top w:w="20" w:type="dxa"/>
              <w:left w:w="35" w:type="dxa"/>
              <w:bottom w:w="20" w:type="dxa"/>
              <w:right w:w="35" w:type="dxa"/>
            </w:tcMar>
            <w:vAlign w:val="center"/>
          </w:tcPr>
          <w:p w14:paraId="3DDDC770" w14:textId="77777777" w:rsidR="00462E8D" w:rsidRDefault="00A329B3">
            <w:pPr>
              <w:jc w:val="center"/>
            </w:pPr>
            <w:r>
              <w:rPr>
                <w:noProof/>
                <w:lang w:eastAsia="zh-CN"/>
              </w:rPr>
              <w:drawing>
                <wp:inline distT="0" distB="0" distL="0" distR="0" wp14:anchorId="1DBE71EC" wp14:editId="2E2529FA">
                  <wp:extent cx="2788920" cy="8045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2"/>
                          <a:stretch>
                            <a:fillRect/>
                          </a:stretch>
                        </pic:blipFill>
                        <pic:spPr>
                          <a:xfrm>
                            <a:off x="0" y="0"/>
                            <a:ext cx="2788920" cy="804672"/>
                          </a:xfrm>
                          <a:prstGeom prst="rect">
                            <a:avLst/>
                          </a:prstGeom>
                        </pic:spPr>
                      </pic:pic>
                    </a:graphicData>
                  </a:graphic>
                </wp:inline>
              </w:drawing>
            </w:r>
          </w:p>
        </w:tc>
        <w:tc>
          <w:tcPr>
            <w:tcW w:w="1512" w:type="dxa"/>
            <w:tcBorders>
              <w:top w:val="nil"/>
              <w:left w:val="nil"/>
              <w:bottom w:val="nil"/>
              <w:right w:val="nil"/>
            </w:tcBorders>
            <w:tcMar>
              <w:top w:w="20" w:type="dxa"/>
              <w:left w:w="35" w:type="dxa"/>
              <w:bottom w:w="20" w:type="dxa"/>
              <w:right w:w="35" w:type="dxa"/>
            </w:tcMar>
            <w:vAlign w:val="center"/>
          </w:tcPr>
          <w:p w14:paraId="0038F09A" w14:textId="77777777" w:rsidR="00462E8D" w:rsidRDefault="00A329B3">
            <w:pPr>
              <w:jc w:val="center"/>
            </w:pPr>
            <w:r>
              <w:rPr>
                <w:sz w:val="20"/>
              </w:rPr>
              <w:t>7.03</w:t>
            </w:r>
          </w:p>
        </w:tc>
        <w:tc>
          <w:tcPr>
            <w:tcW w:w="1584" w:type="dxa"/>
            <w:tcBorders>
              <w:top w:val="nil"/>
              <w:left w:val="nil"/>
              <w:bottom w:val="nil"/>
              <w:right w:val="nil"/>
            </w:tcBorders>
            <w:tcMar>
              <w:top w:w="20" w:type="dxa"/>
              <w:left w:w="35" w:type="dxa"/>
              <w:bottom w:w="20" w:type="dxa"/>
              <w:right w:w="35" w:type="dxa"/>
            </w:tcMar>
            <w:vAlign w:val="center"/>
          </w:tcPr>
          <w:p w14:paraId="2373006A" w14:textId="77777777" w:rsidR="00462E8D" w:rsidRDefault="00A329B3">
            <w:pPr>
              <w:jc w:val="center"/>
            </w:pPr>
            <w:r>
              <w:rPr>
                <w:sz w:val="20"/>
              </w:rPr>
              <w:t>409.0</w:t>
            </w:r>
          </w:p>
        </w:tc>
        <w:tc>
          <w:tcPr>
            <w:tcW w:w="1656" w:type="dxa"/>
            <w:tcBorders>
              <w:top w:val="nil"/>
              <w:left w:val="nil"/>
              <w:bottom w:val="nil"/>
              <w:right w:val="nil"/>
            </w:tcBorders>
            <w:tcMar>
              <w:top w:w="20" w:type="dxa"/>
              <w:left w:w="35" w:type="dxa"/>
              <w:bottom w:w="20" w:type="dxa"/>
              <w:right w:w="35" w:type="dxa"/>
            </w:tcMar>
            <w:vAlign w:val="center"/>
          </w:tcPr>
          <w:p w14:paraId="0DE3AC64" w14:textId="77777777" w:rsidR="00462E8D" w:rsidRDefault="00A329B3">
            <w:pPr>
              <w:jc w:val="center"/>
            </w:pPr>
            <w:r>
              <w:rPr>
                <w:sz w:val="20"/>
              </w:rPr>
              <w:t>186.0*</w:t>
            </w:r>
            <w:r>
              <w:rPr>
                <w:sz w:val="20"/>
              </w:rPr>
              <w:br/>
              <w:t>145.0</w:t>
            </w:r>
          </w:p>
        </w:tc>
        <w:tc>
          <w:tcPr>
            <w:tcW w:w="1080" w:type="dxa"/>
            <w:tcBorders>
              <w:top w:val="nil"/>
              <w:left w:val="nil"/>
              <w:bottom w:val="nil"/>
              <w:right w:val="nil"/>
            </w:tcBorders>
            <w:tcMar>
              <w:top w:w="20" w:type="dxa"/>
              <w:left w:w="35" w:type="dxa"/>
              <w:bottom w:w="20" w:type="dxa"/>
              <w:right w:w="35" w:type="dxa"/>
            </w:tcMar>
            <w:vAlign w:val="center"/>
          </w:tcPr>
          <w:p w14:paraId="72593DEF" w14:textId="77777777" w:rsidR="00462E8D" w:rsidRDefault="00A329B3">
            <w:pPr>
              <w:jc w:val="center"/>
            </w:pPr>
            <w:r>
              <w:rPr>
                <w:sz w:val="20"/>
              </w:rPr>
              <w:t>16</w:t>
            </w:r>
            <w:r>
              <w:rPr>
                <w:sz w:val="20"/>
              </w:rPr>
              <w:br/>
              <w:t>40</w:t>
            </w:r>
          </w:p>
        </w:tc>
        <w:tc>
          <w:tcPr>
            <w:tcW w:w="1080" w:type="dxa"/>
            <w:tcBorders>
              <w:top w:val="nil"/>
              <w:left w:val="nil"/>
              <w:bottom w:val="nil"/>
              <w:right w:val="nil"/>
            </w:tcBorders>
            <w:tcMar>
              <w:top w:w="20" w:type="dxa"/>
              <w:left w:w="35" w:type="dxa"/>
              <w:bottom w:w="20" w:type="dxa"/>
              <w:right w:w="35" w:type="dxa"/>
            </w:tcMar>
            <w:vAlign w:val="center"/>
          </w:tcPr>
          <w:p w14:paraId="64A9F036" w14:textId="77777777" w:rsidR="00462E8D" w:rsidRDefault="00A329B3">
            <w:pPr>
              <w:jc w:val="center"/>
            </w:pPr>
            <w:r>
              <w:rPr>
                <w:sz w:val="20"/>
              </w:rPr>
              <w:t>34</w:t>
            </w:r>
            <w:r>
              <w:rPr>
                <w:sz w:val="20"/>
              </w:rPr>
              <w:br/>
              <w:t>34</w:t>
            </w:r>
          </w:p>
        </w:tc>
      </w:tr>
      <w:tr w:rsidR="00462E8D" w14:paraId="3AA4EFD1" w14:textId="77777777">
        <w:trPr>
          <w:cantSplit/>
          <w:trHeight w:hRule="exact" w:val="1339"/>
          <w:jc w:val="center"/>
        </w:trPr>
        <w:tc>
          <w:tcPr>
            <w:tcW w:w="2232" w:type="dxa"/>
            <w:tcBorders>
              <w:top w:val="nil"/>
              <w:left w:val="nil"/>
              <w:bottom w:val="nil"/>
              <w:right w:val="nil"/>
            </w:tcBorders>
            <w:tcMar>
              <w:top w:w="20" w:type="dxa"/>
              <w:left w:w="35" w:type="dxa"/>
              <w:bottom w:w="20" w:type="dxa"/>
              <w:right w:w="35" w:type="dxa"/>
            </w:tcMar>
            <w:vAlign w:val="center"/>
          </w:tcPr>
          <w:p w14:paraId="1D11D7B2" w14:textId="77777777" w:rsidR="00462E8D" w:rsidRDefault="00A329B3">
            <w:pPr>
              <w:jc w:val="center"/>
            </w:pPr>
            <w:r>
              <w:rPr>
                <w:sz w:val="20"/>
              </w:rPr>
              <w:t>Picoxystrobin</w:t>
            </w:r>
          </w:p>
        </w:tc>
        <w:tc>
          <w:tcPr>
            <w:tcW w:w="5112" w:type="dxa"/>
            <w:tcBorders>
              <w:top w:val="nil"/>
              <w:left w:val="nil"/>
              <w:bottom w:val="nil"/>
              <w:right w:val="nil"/>
            </w:tcBorders>
            <w:tcMar>
              <w:top w:w="20" w:type="dxa"/>
              <w:left w:w="35" w:type="dxa"/>
              <w:bottom w:w="20" w:type="dxa"/>
              <w:right w:w="35" w:type="dxa"/>
            </w:tcMar>
            <w:vAlign w:val="center"/>
          </w:tcPr>
          <w:p w14:paraId="508C8B2C" w14:textId="77777777" w:rsidR="00462E8D" w:rsidRDefault="00A329B3">
            <w:pPr>
              <w:jc w:val="center"/>
            </w:pPr>
            <w:r>
              <w:rPr>
                <w:noProof/>
                <w:lang w:eastAsia="zh-CN"/>
              </w:rPr>
              <w:drawing>
                <wp:inline distT="0" distB="0" distL="0" distR="0" wp14:anchorId="62C81AFC" wp14:editId="31C0141C">
                  <wp:extent cx="2788920" cy="8045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3"/>
                          <a:stretch>
                            <a:fillRect/>
                          </a:stretch>
                        </pic:blipFill>
                        <pic:spPr>
                          <a:xfrm>
                            <a:off x="0" y="0"/>
                            <a:ext cx="2788920" cy="804672"/>
                          </a:xfrm>
                          <a:prstGeom prst="rect">
                            <a:avLst/>
                          </a:prstGeom>
                        </pic:spPr>
                      </pic:pic>
                    </a:graphicData>
                  </a:graphic>
                </wp:inline>
              </w:drawing>
            </w:r>
          </w:p>
        </w:tc>
        <w:tc>
          <w:tcPr>
            <w:tcW w:w="1512" w:type="dxa"/>
            <w:tcBorders>
              <w:top w:val="nil"/>
              <w:left w:val="nil"/>
              <w:bottom w:val="nil"/>
              <w:right w:val="nil"/>
            </w:tcBorders>
            <w:tcMar>
              <w:top w:w="20" w:type="dxa"/>
              <w:left w:w="35" w:type="dxa"/>
              <w:bottom w:w="20" w:type="dxa"/>
              <w:right w:w="35" w:type="dxa"/>
            </w:tcMar>
            <w:vAlign w:val="center"/>
          </w:tcPr>
          <w:p w14:paraId="3AC40A13" w14:textId="77777777" w:rsidR="00462E8D" w:rsidRDefault="00A329B3">
            <w:pPr>
              <w:jc w:val="center"/>
            </w:pPr>
            <w:r>
              <w:rPr>
                <w:sz w:val="20"/>
              </w:rPr>
              <w:t>6.56</w:t>
            </w:r>
          </w:p>
        </w:tc>
        <w:tc>
          <w:tcPr>
            <w:tcW w:w="1584" w:type="dxa"/>
            <w:tcBorders>
              <w:top w:val="nil"/>
              <w:left w:val="nil"/>
              <w:bottom w:val="nil"/>
              <w:right w:val="nil"/>
            </w:tcBorders>
            <w:tcMar>
              <w:top w:w="20" w:type="dxa"/>
              <w:left w:w="35" w:type="dxa"/>
              <w:bottom w:w="20" w:type="dxa"/>
              <w:right w:w="35" w:type="dxa"/>
            </w:tcMar>
            <w:vAlign w:val="center"/>
          </w:tcPr>
          <w:p w14:paraId="0DC354BF" w14:textId="77777777" w:rsidR="00462E8D" w:rsidRDefault="00A329B3">
            <w:pPr>
              <w:jc w:val="center"/>
            </w:pPr>
            <w:r>
              <w:rPr>
                <w:sz w:val="20"/>
              </w:rPr>
              <w:t>368.0</w:t>
            </w:r>
          </w:p>
        </w:tc>
        <w:tc>
          <w:tcPr>
            <w:tcW w:w="1656" w:type="dxa"/>
            <w:tcBorders>
              <w:top w:val="nil"/>
              <w:left w:val="nil"/>
              <w:bottom w:val="nil"/>
              <w:right w:val="nil"/>
            </w:tcBorders>
            <w:tcMar>
              <w:top w:w="20" w:type="dxa"/>
              <w:left w:w="35" w:type="dxa"/>
              <w:bottom w:w="20" w:type="dxa"/>
              <w:right w:w="35" w:type="dxa"/>
            </w:tcMar>
            <w:vAlign w:val="center"/>
          </w:tcPr>
          <w:p w14:paraId="1996CEB3" w14:textId="77777777" w:rsidR="00462E8D" w:rsidRDefault="00A329B3">
            <w:pPr>
              <w:jc w:val="center"/>
            </w:pPr>
            <w:r>
              <w:rPr>
                <w:sz w:val="20"/>
              </w:rPr>
              <w:t>205.1*</w:t>
            </w:r>
            <w:r>
              <w:rPr>
                <w:sz w:val="20"/>
              </w:rPr>
              <w:br/>
              <w:t>145.1</w:t>
            </w:r>
          </w:p>
        </w:tc>
        <w:tc>
          <w:tcPr>
            <w:tcW w:w="1080" w:type="dxa"/>
            <w:tcBorders>
              <w:top w:val="nil"/>
              <w:left w:val="nil"/>
              <w:bottom w:val="nil"/>
              <w:right w:val="nil"/>
            </w:tcBorders>
            <w:tcMar>
              <w:top w:w="20" w:type="dxa"/>
              <w:left w:w="35" w:type="dxa"/>
              <w:bottom w:w="20" w:type="dxa"/>
              <w:right w:w="35" w:type="dxa"/>
            </w:tcMar>
            <w:vAlign w:val="center"/>
          </w:tcPr>
          <w:p w14:paraId="49845C0E" w14:textId="77777777" w:rsidR="00462E8D" w:rsidRDefault="00A329B3">
            <w:pPr>
              <w:jc w:val="center"/>
            </w:pPr>
            <w:r>
              <w:rPr>
                <w:sz w:val="20"/>
              </w:rPr>
              <w:t>10</w:t>
            </w:r>
            <w:r>
              <w:rPr>
                <w:sz w:val="20"/>
              </w:rPr>
              <w:br/>
              <w:t>25</w:t>
            </w:r>
          </w:p>
        </w:tc>
        <w:tc>
          <w:tcPr>
            <w:tcW w:w="1080" w:type="dxa"/>
            <w:tcBorders>
              <w:top w:val="nil"/>
              <w:left w:val="nil"/>
              <w:bottom w:val="nil"/>
              <w:right w:val="nil"/>
            </w:tcBorders>
            <w:tcMar>
              <w:top w:w="20" w:type="dxa"/>
              <w:left w:w="35" w:type="dxa"/>
              <w:bottom w:w="20" w:type="dxa"/>
              <w:right w:w="35" w:type="dxa"/>
            </w:tcMar>
            <w:vAlign w:val="center"/>
          </w:tcPr>
          <w:p w14:paraId="75CC534F" w14:textId="77777777" w:rsidR="00462E8D" w:rsidRDefault="00A329B3">
            <w:pPr>
              <w:jc w:val="center"/>
            </w:pPr>
            <w:r>
              <w:rPr>
                <w:sz w:val="20"/>
              </w:rPr>
              <w:t>15</w:t>
            </w:r>
            <w:r>
              <w:rPr>
                <w:sz w:val="20"/>
              </w:rPr>
              <w:br/>
              <w:t>15</w:t>
            </w:r>
          </w:p>
        </w:tc>
      </w:tr>
      <w:tr w:rsidR="00462E8D" w14:paraId="2B2F45A2" w14:textId="77777777">
        <w:trPr>
          <w:cantSplit/>
          <w:trHeight w:hRule="exact" w:val="1339"/>
          <w:jc w:val="center"/>
        </w:trPr>
        <w:tc>
          <w:tcPr>
            <w:tcW w:w="2232" w:type="dxa"/>
            <w:tcBorders>
              <w:top w:val="nil"/>
              <w:left w:val="nil"/>
              <w:bottom w:val="nil"/>
              <w:right w:val="nil"/>
            </w:tcBorders>
            <w:tcMar>
              <w:top w:w="20" w:type="dxa"/>
              <w:left w:w="35" w:type="dxa"/>
              <w:bottom w:w="20" w:type="dxa"/>
              <w:right w:w="35" w:type="dxa"/>
            </w:tcMar>
            <w:vAlign w:val="center"/>
          </w:tcPr>
          <w:p w14:paraId="6490F0FA" w14:textId="77777777" w:rsidR="00462E8D" w:rsidRDefault="00A329B3">
            <w:pPr>
              <w:jc w:val="center"/>
            </w:pPr>
            <w:proofErr w:type="spellStart"/>
            <w:r>
              <w:rPr>
                <w:sz w:val="20"/>
              </w:rPr>
              <w:t>Fluoxastrobin</w:t>
            </w:r>
            <w:proofErr w:type="spellEnd"/>
          </w:p>
        </w:tc>
        <w:tc>
          <w:tcPr>
            <w:tcW w:w="5112" w:type="dxa"/>
            <w:tcBorders>
              <w:top w:val="nil"/>
              <w:left w:val="nil"/>
              <w:bottom w:val="nil"/>
              <w:right w:val="nil"/>
            </w:tcBorders>
            <w:tcMar>
              <w:top w:w="20" w:type="dxa"/>
              <w:left w:w="35" w:type="dxa"/>
              <w:bottom w:w="20" w:type="dxa"/>
              <w:right w:w="35" w:type="dxa"/>
            </w:tcMar>
            <w:vAlign w:val="center"/>
          </w:tcPr>
          <w:p w14:paraId="27798EAC" w14:textId="77777777" w:rsidR="00462E8D" w:rsidRDefault="00A329B3">
            <w:pPr>
              <w:jc w:val="center"/>
            </w:pPr>
            <w:r>
              <w:rPr>
                <w:noProof/>
                <w:lang w:eastAsia="zh-CN"/>
              </w:rPr>
              <w:drawing>
                <wp:inline distT="0" distB="0" distL="0" distR="0" wp14:anchorId="30D0327E" wp14:editId="3E2DC7B7">
                  <wp:extent cx="2788920" cy="8045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4"/>
                          <a:stretch>
                            <a:fillRect/>
                          </a:stretch>
                        </pic:blipFill>
                        <pic:spPr>
                          <a:xfrm>
                            <a:off x="0" y="0"/>
                            <a:ext cx="2788920" cy="804672"/>
                          </a:xfrm>
                          <a:prstGeom prst="rect">
                            <a:avLst/>
                          </a:prstGeom>
                        </pic:spPr>
                      </pic:pic>
                    </a:graphicData>
                  </a:graphic>
                </wp:inline>
              </w:drawing>
            </w:r>
          </w:p>
        </w:tc>
        <w:tc>
          <w:tcPr>
            <w:tcW w:w="1512" w:type="dxa"/>
            <w:tcBorders>
              <w:top w:val="nil"/>
              <w:left w:val="nil"/>
              <w:bottom w:val="nil"/>
              <w:right w:val="nil"/>
            </w:tcBorders>
            <w:tcMar>
              <w:top w:w="20" w:type="dxa"/>
              <w:left w:w="35" w:type="dxa"/>
              <w:bottom w:w="20" w:type="dxa"/>
              <w:right w:w="35" w:type="dxa"/>
            </w:tcMar>
            <w:vAlign w:val="center"/>
          </w:tcPr>
          <w:p w14:paraId="7D632CE1" w14:textId="77777777" w:rsidR="00462E8D" w:rsidRDefault="00A329B3">
            <w:pPr>
              <w:jc w:val="center"/>
            </w:pPr>
            <w:r>
              <w:rPr>
                <w:sz w:val="20"/>
              </w:rPr>
              <w:t>6.26</w:t>
            </w:r>
          </w:p>
        </w:tc>
        <w:tc>
          <w:tcPr>
            <w:tcW w:w="1584" w:type="dxa"/>
            <w:tcBorders>
              <w:top w:val="nil"/>
              <w:left w:val="nil"/>
              <w:bottom w:val="nil"/>
              <w:right w:val="nil"/>
            </w:tcBorders>
            <w:tcMar>
              <w:top w:w="20" w:type="dxa"/>
              <w:left w:w="35" w:type="dxa"/>
              <w:bottom w:w="20" w:type="dxa"/>
              <w:right w:w="35" w:type="dxa"/>
            </w:tcMar>
            <w:vAlign w:val="center"/>
          </w:tcPr>
          <w:p w14:paraId="60BDB01E" w14:textId="77777777" w:rsidR="00462E8D" w:rsidRDefault="00A329B3">
            <w:pPr>
              <w:jc w:val="center"/>
            </w:pPr>
            <w:r>
              <w:rPr>
                <w:sz w:val="20"/>
              </w:rPr>
              <w:t>459.0</w:t>
            </w:r>
          </w:p>
        </w:tc>
        <w:tc>
          <w:tcPr>
            <w:tcW w:w="1656" w:type="dxa"/>
            <w:tcBorders>
              <w:top w:val="nil"/>
              <w:left w:val="nil"/>
              <w:bottom w:val="nil"/>
              <w:right w:val="nil"/>
            </w:tcBorders>
            <w:tcMar>
              <w:top w:w="20" w:type="dxa"/>
              <w:left w:w="35" w:type="dxa"/>
              <w:bottom w:w="20" w:type="dxa"/>
              <w:right w:w="35" w:type="dxa"/>
            </w:tcMar>
            <w:vAlign w:val="center"/>
          </w:tcPr>
          <w:p w14:paraId="681A5CD1" w14:textId="77777777" w:rsidR="00462E8D" w:rsidRDefault="00A329B3">
            <w:pPr>
              <w:jc w:val="center"/>
            </w:pPr>
            <w:r>
              <w:rPr>
                <w:sz w:val="20"/>
              </w:rPr>
              <w:t>427.0*</w:t>
            </w:r>
            <w:r>
              <w:rPr>
                <w:sz w:val="20"/>
              </w:rPr>
              <w:br/>
              <w:t>188.0</w:t>
            </w:r>
          </w:p>
        </w:tc>
        <w:tc>
          <w:tcPr>
            <w:tcW w:w="1080" w:type="dxa"/>
            <w:tcBorders>
              <w:top w:val="nil"/>
              <w:left w:val="nil"/>
              <w:bottom w:val="nil"/>
              <w:right w:val="nil"/>
            </w:tcBorders>
            <w:tcMar>
              <w:top w:w="20" w:type="dxa"/>
              <w:left w:w="35" w:type="dxa"/>
              <w:bottom w:w="20" w:type="dxa"/>
              <w:right w:w="35" w:type="dxa"/>
            </w:tcMar>
            <w:vAlign w:val="center"/>
          </w:tcPr>
          <w:p w14:paraId="5667A9AC" w14:textId="77777777" w:rsidR="00462E8D" w:rsidRDefault="00A329B3">
            <w:pPr>
              <w:jc w:val="center"/>
            </w:pPr>
            <w:r>
              <w:rPr>
                <w:sz w:val="20"/>
              </w:rPr>
              <w:t>15</w:t>
            </w:r>
            <w:r>
              <w:rPr>
                <w:sz w:val="20"/>
              </w:rPr>
              <w:br/>
              <w:t>35</w:t>
            </w:r>
          </w:p>
        </w:tc>
        <w:tc>
          <w:tcPr>
            <w:tcW w:w="1080" w:type="dxa"/>
            <w:tcBorders>
              <w:top w:val="nil"/>
              <w:left w:val="nil"/>
              <w:bottom w:val="nil"/>
              <w:right w:val="nil"/>
            </w:tcBorders>
            <w:tcMar>
              <w:top w:w="20" w:type="dxa"/>
              <w:left w:w="35" w:type="dxa"/>
              <w:bottom w:w="20" w:type="dxa"/>
              <w:right w:w="35" w:type="dxa"/>
            </w:tcMar>
            <w:vAlign w:val="center"/>
          </w:tcPr>
          <w:p w14:paraId="61E50CF7" w14:textId="77777777" w:rsidR="00462E8D" w:rsidRDefault="00A329B3">
            <w:pPr>
              <w:jc w:val="center"/>
            </w:pPr>
            <w:r>
              <w:rPr>
                <w:sz w:val="20"/>
              </w:rPr>
              <w:t>35</w:t>
            </w:r>
            <w:r>
              <w:rPr>
                <w:sz w:val="20"/>
              </w:rPr>
              <w:br/>
              <w:t>35</w:t>
            </w:r>
          </w:p>
        </w:tc>
      </w:tr>
      <w:tr w:rsidR="00462E8D" w14:paraId="737FAEC4" w14:textId="77777777">
        <w:trPr>
          <w:cantSplit/>
          <w:trHeight w:hRule="exact" w:val="1339"/>
          <w:jc w:val="center"/>
        </w:trPr>
        <w:tc>
          <w:tcPr>
            <w:tcW w:w="2232" w:type="dxa"/>
            <w:tcBorders>
              <w:top w:val="nil"/>
              <w:left w:val="nil"/>
              <w:bottom w:val="single" w:sz="12" w:space="0" w:color="000000"/>
              <w:right w:val="nil"/>
            </w:tcBorders>
            <w:tcMar>
              <w:top w:w="20" w:type="dxa"/>
              <w:left w:w="35" w:type="dxa"/>
              <w:bottom w:w="20" w:type="dxa"/>
              <w:right w:w="35" w:type="dxa"/>
            </w:tcMar>
            <w:vAlign w:val="center"/>
          </w:tcPr>
          <w:p w14:paraId="4F8F32E4" w14:textId="77777777" w:rsidR="00462E8D" w:rsidRDefault="00A329B3">
            <w:pPr>
              <w:jc w:val="center"/>
            </w:pPr>
            <w:proofErr w:type="spellStart"/>
            <w:r>
              <w:rPr>
                <w:sz w:val="20"/>
              </w:rPr>
              <w:lastRenderedPageBreak/>
              <w:t>Enestroburin</w:t>
            </w:r>
            <w:proofErr w:type="spellEnd"/>
          </w:p>
        </w:tc>
        <w:tc>
          <w:tcPr>
            <w:tcW w:w="5112" w:type="dxa"/>
            <w:tcBorders>
              <w:top w:val="nil"/>
              <w:left w:val="nil"/>
              <w:bottom w:val="single" w:sz="12" w:space="0" w:color="000000"/>
              <w:right w:val="nil"/>
            </w:tcBorders>
            <w:tcMar>
              <w:top w:w="20" w:type="dxa"/>
              <w:left w:w="35" w:type="dxa"/>
              <w:bottom w:w="20" w:type="dxa"/>
              <w:right w:w="35" w:type="dxa"/>
            </w:tcMar>
            <w:vAlign w:val="center"/>
          </w:tcPr>
          <w:p w14:paraId="43A022E7" w14:textId="77777777" w:rsidR="00462E8D" w:rsidRDefault="00A329B3">
            <w:pPr>
              <w:jc w:val="center"/>
            </w:pPr>
            <w:r>
              <w:rPr>
                <w:noProof/>
                <w:lang w:eastAsia="zh-CN"/>
              </w:rPr>
              <w:drawing>
                <wp:inline distT="0" distB="0" distL="0" distR="0" wp14:anchorId="7D539D4E" wp14:editId="0BC6B3C6">
                  <wp:extent cx="2788920" cy="80454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5"/>
                          <a:stretch>
                            <a:fillRect/>
                          </a:stretch>
                        </pic:blipFill>
                        <pic:spPr>
                          <a:xfrm>
                            <a:off x="0" y="0"/>
                            <a:ext cx="2788920" cy="804672"/>
                          </a:xfrm>
                          <a:prstGeom prst="rect">
                            <a:avLst/>
                          </a:prstGeom>
                        </pic:spPr>
                      </pic:pic>
                    </a:graphicData>
                  </a:graphic>
                </wp:inline>
              </w:drawing>
            </w:r>
          </w:p>
        </w:tc>
        <w:tc>
          <w:tcPr>
            <w:tcW w:w="1512" w:type="dxa"/>
            <w:tcBorders>
              <w:top w:val="nil"/>
              <w:left w:val="nil"/>
              <w:bottom w:val="single" w:sz="12" w:space="0" w:color="000000"/>
              <w:right w:val="nil"/>
            </w:tcBorders>
            <w:tcMar>
              <w:top w:w="20" w:type="dxa"/>
              <w:left w:w="35" w:type="dxa"/>
              <w:bottom w:w="20" w:type="dxa"/>
              <w:right w:w="35" w:type="dxa"/>
            </w:tcMar>
            <w:vAlign w:val="center"/>
          </w:tcPr>
          <w:p w14:paraId="7167DC18" w14:textId="77777777" w:rsidR="00462E8D" w:rsidRDefault="00A329B3">
            <w:pPr>
              <w:jc w:val="center"/>
            </w:pPr>
            <w:r>
              <w:rPr>
                <w:sz w:val="20"/>
              </w:rPr>
              <w:t>7.27</w:t>
            </w:r>
          </w:p>
        </w:tc>
        <w:tc>
          <w:tcPr>
            <w:tcW w:w="1584" w:type="dxa"/>
            <w:tcBorders>
              <w:top w:val="nil"/>
              <w:left w:val="nil"/>
              <w:bottom w:val="single" w:sz="12" w:space="0" w:color="000000"/>
              <w:right w:val="nil"/>
            </w:tcBorders>
            <w:tcMar>
              <w:top w:w="20" w:type="dxa"/>
              <w:left w:w="35" w:type="dxa"/>
              <w:bottom w:w="20" w:type="dxa"/>
              <w:right w:w="35" w:type="dxa"/>
            </w:tcMar>
            <w:vAlign w:val="center"/>
          </w:tcPr>
          <w:p w14:paraId="38737F4D" w14:textId="77777777" w:rsidR="00462E8D" w:rsidRDefault="00A329B3">
            <w:pPr>
              <w:jc w:val="center"/>
            </w:pPr>
            <w:r>
              <w:rPr>
                <w:sz w:val="20"/>
              </w:rPr>
              <w:t>400.1</w:t>
            </w:r>
          </w:p>
        </w:tc>
        <w:tc>
          <w:tcPr>
            <w:tcW w:w="1656" w:type="dxa"/>
            <w:tcBorders>
              <w:top w:val="nil"/>
              <w:left w:val="nil"/>
              <w:bottom w:val="single" w:sz="12" w:space="0" w:color="000000"/>
              <w:right w:val="nil"/>
            </w:tcBorders>
            <w:tcMar>
              <w:top w:w="20" w:type="dxa"/>
              <w:left w:w="35" w:type="dxa"/>
              <w:bottom w:w="20" w:type="dxa"/>
              <w:right w:w="35" w:type="dxa"/>
            </w:tcMar>
            <w:vAlign w:val="center"/>
          </w:tcPr>
          <w:p w14:paraId="41E78D1B" w14:textId="77777777" w:rsidR="00462E8D" w:rsidRDefault="00A329B3">
            <w:pPr>
              <w:jc w:val="center"/>
            </w:pPr>
            <w:r>
              <w:rPr>
                <w:sz w:val="20"/>
              </w:rPr>
              <w:t>178.0*</w:t>
            </w:r>
            <w:r>
              <w:rPr>
                <w:sz w:val="20"/>
              </w:rPr>
              <w:br/>
              <w:t>137.0</w:t>
            </w:r>
          </w:p>
        </w:tc>
        <w:tc>
          <w:tcPr>
            <w:tcW w:w="1080" w:type="dxa"/>
            <w:tcBorders>
              <w:top w:val="nil"/>
              <w:left w:val="nil"/>
              <w:bottom w:val="single" w:sz="12" w:space="0" w:color="000000"/>
              <w:right w:val="nil"/>
            </w:tcBorders>
            <w:tcMar>
              <w:top w:w="20" w:type="dxa"/>
              <w:left w:w="35" w:type="dxa"/>
              <w:bottom w:w="20" w:type="dxa"/>
              <w:right w:w="35" w:type="dxa"/>
            </w:tcMar>
            <w:vAlign w:val="center"/>
          </w:tcPr>
          <w:p w14:paraId="6B1D205E" w14:textId="77777777" w:rsidR="00462E8D" w:rsidRDefault="00A329B3">
            <w:pPr>
              <w:jc w:val="center"/>
            </w:pPr>
            <w:r>
              <w:rPr>
                <w:sz w:val="20"/>
              </w:rPr>
              <w:t>20</w:t>
            </w:r>
            <w:r>
              <w:rPr>
                <w:sz w:val="20"/>
              </w:rPr>
              <w:br/>
              <w:t>38</w:t>
            </w:r>
          </w:p>
        </w:tc>
        <w:tc>
          <w:tcPr>
            <w:tcW w:w="1080" w:type="dxa"/>
            <w:tcBorders>
              <w:top w:val="nil"/>
              <w:left w:val="nil"/>
              <w:bottom w:val="single" w:sz="12" w:space="0" w:color="000000"/>
              <w:right w:val="nil"/>
            </w:tcBorders>
            <w:tcMar>
              <w:top w:w="20" w:type="dxa"/>
              <w:left w:w="35" w:type="dxa"/>
              <w:bottom w:w="20" w:type="dxa"/>
              <w:right w:w="35" w:type="dxa"/>
            </w:tcMar>
            <w:vAlign w:val="center"/>
          </w:tcPr>
          <w:p w14:paraId="576FB500" w14:textId="77777777" w:rsidR="00462E8D" w:rsidRDefault="00A329B3">
            <w:pPr>
              <w:jc w:val="center"/>
            </w:pPr>
            <w:r>
              <w:rPr>
                <w:sz w:val="20"/>
              </w:rPr>
              <w:t>45</w:t>
            </w:r>
            <w:r>
              <w:rPr>
                <w:sz w:val="20"/>
              </w:rPr>
              <w:br/>
              <w:t>45</w:t>
            </w:r>
          </w:p>
        </w:tc>
      </w:tr>
    </w:tbl>
    <w:p w14:paraId="04609961" w14:textId="77777777" w:rsidR="00462E8D" w:rsidRDefault="00A329B3">
      <w:pPr>
        <w:spacing w:before="80"/>
        <w:rPr>
          <w:rFonts w:eastAsia="宋体"/>
          <w:lang w:eastAsia="zh-CN"/>
        </w:rPr>
        <w:sectPr w:rsidR="00462E8D">
          <w:pgSz w:w="15840" w:h="12240" w:orient="landscape"/>
          <w:pgMar w:top="1800" w:right="1440" w:bottom="1800" w:left="1440" w:header="720" w:footer="720" w:gutter="0"/>
          <w:cols w:space="720"/>
          <w:docGrid w:linePitch="360"/>
        </w:sectPr>
      </w:pPr>
      <w:r>
        <w:rPr>
          <w:sz w:val="18"/>
        </w:rPr>
        <w:t>*Ions for quantification. All analytes were detected in positive electrospray ionization mode.</w:t>
      </w:r>
    </w:p>
    <w:p w14:paraId="08E8E19A" w14:textId="77777777" w:rsidR="00462E8D" w:rsidRDefault="00462E8D">
      <w:pPr>
        <w:spacing w:after="120"/>
        <w:rPr>
          <w:rFonts w:eastAsia="宋体"/>
          <w:sz w:val="22"/>
          <w:lang w:eastAsia="zh-CN"/>
        </w:rPr>
      </w:pPr>
    </w:p>
    <w:p w14:paraId="69238FBC" w14:textId="77777777" w:rsidR="00462E8D" w:rsidRDefault="00A329B3">
      <w:pPr>
        <w:rPr>
          <w:rFonts w:eastAsia="宋体" w:cs="Times New Roman"/>
          <w:szCs w:val="24"/>
          <w:lang w:eastAsia="zh-CN"/>
        </w:rPr>
      </w:pPr>
      <w:bookmarkStart w:id="0" w:name="OLE_LINK21"/>
      <w:r>
        <w:rPr>
          <w:rFonts w:cs="Times New Roman"/>
          <w:szCs w:val="24"/>
        </w:rPr>
        <w:t xml:space="preserve">Table S2 </w:t>
      </w:r>
      <w:bookmarkStart w:id="1" w:name="OLE_LINK26"/>
      <w:r>
        <w:rPr>
          <w:rFonts w:cs="Times New Roman"/>
          <w:szCs w:val="24"/>
        </w:rPr>
        <w:t xml:space="preserve">Adsorption isotherm parameters for the six strobilurin fungicides on </w:t>
      </w:r>
      <w:proofErr w:type="spellStart"/>
      <w:r>
        <w:rPr>
          <w:rFonts w:cs="Times New Roman"/>
          <w:szCs w:val="24"/>
        </w:rPr>
        <w:t>Fe₃O</w:t>
      </w:r>
      <w:proofErr w:type="spellEnd"/>
      <w:r>
        <w:rPr>
          <w:rFonts w:cs="Times New Roman"/>
          <w:szCs w:val="24"/>
        </w:rPr>
        <w:t>₄@</w:t>
      </w:r>
      <w:proofErr w:type="spellStart"/>
      <w:r>
        <w:rPr>
          <w:rFonts w:cs="Times New Roman"/>
          <w:szCs w:val="24"/>
        </w:rPr>
        <w:t>SiO</w:t>
      </w:r>
      <w:proofErr w:type="spellEnd"/>
      <w:r>
        <w:rPr>
          <w:rFonts w:cs="Times New Roman"/>
          <w:szCs w:val="24"/>
        </w:rPr>
        <w:t>₂@MPS@MIP</w:t>
      </w:r>
      <w:bookmarkEnd w:id="1"/>
    </w:p>
    <w:tbl>
      <w:tblPr>
        <w:tblStyle w:val="af8"/>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683"/>
        <w:gridCol w:w="1234"/>
        <w:gridCol w:w="1234"/>
        <w:gridCol w:w="1234"/>
        <w:gridCol w:w="1256"/>
        <w:gridCol w:w="1234"/>
        <w:gridCol w:w="1234"/>
      </w:tblGrid>
      <w:tr w:rsidR="00462E8D" w14:paraId="0173B7D3" w14:textId="77777777">
        <w:tc>
          <w:tcPr>
            <w:tcW w:w="1234" w:type="dxa"/>
            <w:tcBorders>
              <w:top w:val="single" w:sz="12" w:space="0" w:color="auto"/>
              <w:bottom w:val="single" w:sz="6" w:space="0" w:color="auto"/>
            </w:tcBorders>
          </w:tcPr>
          <w:p w14:paraId="144E0162" w14:textId="77777777" w:rsidR="00462E8D" w:rsidRDefault="00A329B3">
            <w:pPr>
              <w:rPr>
                <w:rFonts w:eastAsia="宋体" w:cs="Times New Roman"/>
                <w:szCs w:val="24"/>
                <w:lang w:eastAsia="zh-CN"/>
              </w:rPr>
            </w:pPr>
            <w:r>
              <w:rPr>
                <w:rFonts w:eastAsia="宋体" w:cs="Times New Roman"/>
                <w:szCs w:val="24"/>
                <w:lang w:eastAsia="zh-CN"/>
              </w:rPr>
              <w:t>Analytes</w:t>
            </w:r>
          </w:p>
        </w:tc>
        <w:tc>
          <w:tcPr>
            <w:tcW w:w="1234" w:type="dxa"/>
            <w:tcBorders>
              <w:top w:val="single" w:sz="12" w:space="0" w:color="auto"/>
              <w:bottom w:val="single" w:sz="6" w:space="0" w:color="auto"/>
            </w:tcBorders>
          </w:tcPr>
          <w:p w14:paraId="0F97B72A" w14:textId="77777777" w:rsidR="00462E8D" w:rsidRDefault="00A329B3">
            <w:pPr>
              <w:rPr>
                <w:rFonts w:eastAsia="宋体" w:cs="Times New Roman"/>
                <w:szCs w:val="24"/>
                <w:lang w:eastAsia="zh-CN"/>
              </w:rPr>
            </w:pPr>
            <w:r>
              <w:rPr>
                <w:rFonts w:eastAsia="宋体" w:cs="Times New Roman"/>
                <w:szCs w:val="24"/>
                <w:lang w:eastAsia="zh-CN"/>
              </w:rPr>
              <w:t>Langmuir R²</w:t>
            </w:r>
          </w:p>
        </w:tc>
        <w:tc>
          <w:tcPr>
            <w:tcW w:w="1234" w:type="dxa"/>
            <w:tcBorders>
              <w:top w:val="single" w:sz="12" w:space="0" w:color="auto"/>
              <w:bottom w:val="single" w:sz="6" w:space="0" w:color="auto"/>
            </w:tcBorders>
          </w:tcPr>
          <w:p w14:paraId="4A5A8054" w14:textId="77777777" w:rsidR="00462E8D" w:rsidRDefault="00A329B3">
            <w:pPr>
              <w:rPr>
                <w:rFonts w:eastAsia="宋体" w:cs="Times New Roman"/>
                <w:szCs w:val="24"/>
                <w:lang w:eastAsia="zh-CN"/>
              </w:rPr>
            </w:pPr>
            <w:proofErr w:type="spellStart"/>
            <w:r>
              <w:rPr>
                <w:rFonts w:eastAsia="宋体" w:cs="Times New Roman"/>
                <w:szCs w:val="24"/>
                <w:lang w:eastAsia="zh-CN"/>
              </w:rPr>
              <w:t>Qmax</w:t>
            </w:r>
            <w:proofErr w:type="spellEnd"/>
            <w:r>
              <w:rPr>
                <w:rFonts w:eastAsia="宋体" w:cs="Times New Roman"/>
                <w:szCs w:val="24"/>
                <w:lang w:eastAsia="zh-CN"/>
              </w:rPr>
              <w:t xml:space="preserve"> (mg g⁻¹)</w:t>
            </w:r>
          </w:p>
        </w:tc>
        <w:tc>
          <w:tcPr>
            <w:tcW w:w="1234" w:type="dxa"/>
            <w:tcBorders>
              <w:top w:val="single" w:sz="12" w:space="0" w:color="auto"/>
              <w:bottom w:val="single" w:sz="6" w:space="0" w:color="auto"/>
            </w:tcBorders>
          </w:tcPr>
          <w:p w14:paraId="0CF9E797" w14:textId="77777777" w:rsidR="00462E8D" w:rsidRDefault="00A329B3">
            <w:pPr>
              <w:rPr>
                <w:rFonts w:eastAsia="宋体" w:cs="Times New Roman"/>
                <w:szCs w:val="24"/>
                <w:lang w:eastAsia="zh-CN"/>
              </w:rPr>
            </w:pPr>
            <w:r>
              <w:rPr>
                <w:rFonts w:eastAsia="宋体" w:cs="Times New Roman"/>
                <w:szCs w:val="24"/>
                <w:lang w:eastAsia="zh-CN"/>
              </w:rPr>
              <w:t>KL (L mg⁻¹)</w:t>
            </w:r>
          </w:p>
        </w:tc>
        <w:tc>
          <w:tcPr>
            <w:tcW w:w="1234" w:type="dxa"/>
            <w:tcBorders>
              <w:top w:val="single" w:sz="12" w:space="0" w:color="auto"/>
              <w:bottom w:val="single" w:sz="6" w:space="0" w:color="auto"/>
            </w:tcBorders>
          </w:tcPr>
          <w:p w14:paraId="6A3653DC" w14:textId="77777777" w:rsidR="00462E8D" w:rsidRDefault="00A329B3">
            <w:pPr>
              <w:rPr>
                <w:rFonts w:eastAsia="宋体" w:cs="Times New Roman"/>
                <w:szCs w:val="24"/>
                <w:lang w:eastAsia="zh-CN"/>
              </w:rPr>
            </w:pPr>
            <w:r>
              <w:rPr>
                <w:rFonts w:eastAsia="宋体" w:cs="Times New Roman"/>
                <w:szCs w:val="24"/>
                <w:lang w:eastAsia="zh-CN"/>
              </w:rPr>
              <w:t>Freundlich R²</w:t>
            </w:r>
          </w:p>
        </w:tc>
        <w:tc>
          <w:tcPr>
            <w:tcW w:w="1234" w:type="dxa"/>
            <w:tcBorders>
              <w:top w:val="single" w:sz="12" w:space="0" w:color="auto"/>
              <w:bottom w:val="single" w:sz="6" w:space="0" w:color="auto"/>
            </w:tcBorders>
          </w:tcPr>
          <w:p w14:paraId="413C0E1E" w14:textId="77777777" w:rsidR="00462E8D" w:rsidRDefault="00A329B3">
            <w:pPr>
              <w:rPr>
                <w:rFonts w:eastAsia="宋体" w:cs="Times New Roman"/>
                <w:szCs w:val="24"/>
                <w:lang w:eastAsia="zh-CN"/>
              </w:rPr>
            </w:pPr>
            <w:r>
              <w:rPr>
                <w:rFonts w:eastAsia="宋体" w:cs="Times New Roman"/>
                <w:szCs w:val="24"/>
                <w:lang w:eastAsia="zh-CN"/>
              </w:rPr>
              <w:t>1/n</w:t>
            </w:r>
          </w:p>
        </w:tc>
        <w:tc>
          <w:tcPr>
            <w:tcW w:w="1234" w:type="dxa"/>
            <w:tcBorders>
              <w:top w:val="single" w:sz="12" w:space="0" w:color="auto"/>
              <w:bottom w:val="single" w:sz="6" w:space="0" w:color="auto"/>
            </w:tcBorders>
          </w:tcPr>
          <w:p w14:paraId="37F65DA8" w14:textId="77777777" w:rsidR="00462E8D" w:rsidRDefault="00A329B3">
            <w:pPr>
              <w:rPr>
                <w:rFonts w:eastAsia="宋体" w:cs="Times New Roman"/>
                <w:szCs w:val="24"/>
                <w:lang w:eastAsia="zh-CN"/>
              </w:rPr>
            </w:pPr>
            <w:proofErr w:type="spellStart"/>
            <w:r>
              <w:rPr>
                <w:rFonts w:eastAsia="宋体" w:cs="Times New Roman"/>
                <w:szCs w:val="24"/>
                <w:lang w:eastAsia="zh-CN"/>
              </w:rPr>
              <w:t>Kf</w:t>
            </w:r>
            <w:proofErr w:type="spellEnd"/>
          </w:p>
        </w:tc>
      </w:tr>
      <w:tr w:rsidR="00462E8D" w14:paraId="7F003958" w14:textId="77777777">
        <w:tc>
          <w:tcPr>
            <w:tcW w:w="1234" w:type="dxa"/>
            <w:tcBorders>
              <w:top w:val="single" w:sz="6" w:space="0" w:color="auto"/>
            </w:tcBorders>
          </w:tcPr>
          <w:p w14:paraId="4F5FB932" w14:textId="77777777" w:rsidR="00462E8D" w:rsidRDefault="00A329B3">
            <w:pPr>
              <w:rPr>
                <w:rFonts w:eastAsia="宋体" w:cs="Times New Roman"/>
                <w:szCs w:val="24"/>
                <w:lang w:eastAsia="zh-CN"/>
              </w:rPr>
            </w:pPr>
            <w:proofErr w:type="spellStart"/>
            <w:r>
              <w:rPr>
                <w:rFonts w:eastAsia="宋体" w:cs="Times New Roman"/>
                <w:szCs w:val="24"/>
                <w:lang w:eastAsia="zh-CN"/>
              </w:rPr>
              <w:t>Pyraclostrobin</w:t>
            </w:r>
            <w:proofErr w:type="spellEnd"/>
          </w:p>
        </w:tc>
        <w:tc>
          <w:tcPr>
            <w:tcW w:w="1234" w:type="dxa"/>
            <w:tcBorders>
              <w:top w:val="single" w:sz="6" w:space="0" w:color="auto"/>
            </w:tcBorders>
          </w:tcPr>
          <w:p w14:paraId="26509F10" w14:textId="77777777" w:rsidR="00462E8D" w:rsidRDefault="00A329B3">
            <w:pPr>
              <w:rPr>
                <w:rFonts w:eastAsia="宋体" w:cs="Times New Roman"/>
                <w:szCs w:val="24"/>
                <w:lang w:eastAsia="zh-CN"/>
              </w:rPr>
            </w:pPr>
            <w:r>
              <w:rPr>
                <w:rFonts w:eastAsia="宋体" w:cs="Times New Roman"/>
                <w:szCs w:val="24"/>
                <w:lang w:eastAsia="zh-CN"/>
              </w:rPr>
              <w:t>0.9985</w:t>
            </w:r>
          </w:p>
        </w:tc>
        <w:tc>
          <w:tcPr>
            <w:tcW w:w="1234" w:type="dxa"/>
            <w:tcBorders>
              <w:top w:val="single" w:sz="6" w:space="0" w:color="auto"/>
            </w:tcBorders>
          </w:tcPr>
          <w:p w14:paraId="7DF2FD54" w14:textId="77777777" w:rsidR="00462E8D" w:rsidRDefault="00A329B3">
            <w:pPr>
              <w:rPr>
                <w:rFonts w:eastAsia="宋体" w:cs="Times New Roman"/>
                <w:szCs w:val="24"/>
                <w:lang w:eastAsia="zh-CN"/>
              </w:rPr>
            </w:pPr>
            <w:r>
              <w:rPr>
                <w:rFonts w:eastAsia="宋体" w:cs="Times New Roman"/>
                <w:szCs w:val="24"/>
                <w:lang w:eastAsia="zh-CN"/>
              </w:rPr>
              <w:t>21.85</w:t>
            </w:r>
          </w:p>
        </w:tc>
        <w:tc>
          <w:tcPr>
            <w:tcW w:w="1234" w:type="dxa"/>
            <w:tcBorders>
              <w:top w:val="single" w:sz="6" w:space="0" w:color="auto"/>
            </w:tcBorders>
          </w:tcPr>
          <w:p w14:paraId="6DED7B85" w14:textId="77777777" w:rsidR="00462E8D" w:rsidRDefault="00A329B3">
            <w:pPr>
              <w:rPr>
                <w:rFonts w:eastAsia="宋体" w:cs="Times New Roman"/>
                <w:szCs w:val="24"/>
                <w:lang w:eastAsia="zh-CN"/>
              </w:rPr>
            </w:pPr>
            <w:r>
              <w:rPr>
                <w:rFonts w:eastAsia="宋体" w:cs="Times New Roman"/>
                <w:szCs w:val="24"/>
                <w:lang w:eastAsia="zh-CN"/>
              </w:rPr>
              <w:t>0.0572</w:t>
            </w:r>
          </w:p>
        </w:tc>
        <w:tc>
          <w:tcPr>
            <w:tcW w:w="1234" w:type="dxa"/>
            <w:tcBorders>
              <w:top w:val="single" w:sz="6" w:space="0" w:color="auto"/>
            </w:tcBorders>
          </w:tcPr>
          <w:p w14:paraId="4AA88ED5" w14:textId="77777777" w:rsidR="00462E8D" w:rsidRDefault="00A329B3">
            <w:pPr>
              <w:rPr>
                <w:rFonts w:eastAsia="宋体" w:cs="Times New Roman"/>
                <w:szCs w:val="24"/>
                <w:lang w:eastAsia="zh-CN"/>
              </w:rPr>
            </w:pPr>
            <w:r>
              <w:rPr>
                <w:rFonts w:eastAsia="宋体" w:cs="Times New Roman"/>
                <w:szCs w:val="24"/>
                <w:lang w:eastAsia="zh-CN"/>
              </w:rPr>
              <w:t>0.9630</w:t>
            </w:r>
          </w:p>
        </w:tc>
        <w:tc>
          <w:tcPr>
            <w:tcW w:w="1234" w:type="dxa"/>
            <w:tcBorders>
              <w:top w:val="single" w:sz="6" w:space="0" w:color="auto"/>
            </w:tcBorders>
          </w:tcPr>
          <w:p w14:paraId="3F7C6269" w14:textId="77777777" w:rsidR="00462E8D" w:rsidRDefault="00A329B3">
            <w:pPr>
              <w:rPr>
                <w:rFonts w:eastAsia="宋体" w:cs="Times New Roman"/>
                <w:szCs w:val="24"/>
                <w:lang w:eastAsia="zh-CN"/>
              </w:rPr>
            </w:pPr>
            <w:r>
              <w:rPr>
                <w:rFonts w:eastAsia="宋体" w:cs="Times New Roman"/>
                <w:szCs w:val="24"/>
                <w:lang w:eastAsia="zh-CN"/>
              </w:rPr>
              <w:t>0.4060</w:t>
            </w:r>
          </w:p>
        </w:tc>
        <w:tc>
          <w:tcPr>
            <w:tcW w:w="1234" w:type="dxa"/>
            <w:tcBorders>
              <w:top w:val="single" w:sz="6" w:space="0" w:color="auto"/>
            </w:tcBorders>
          </w:tcPr>
          <w:p w14:paraId="21D8389A" w14:textId="77777777" w:rsidR="00462E8D" w:rsidRDefault="00A329B3">
            <w:pPr>
              <w:rPr>
                <w:rFonts w:eastAsia="宋体" w:cs="Times New Roman"/>
                <w:szCs w:val="24"/>
                <w:lang w:eastAsia="zh-CN"/>
              </w:rPr>
            </w:pPr>
            <w:r>
              <w:rPr>
                <w:rFonts w:eastAsia="宋体" w:cs="Times New Roman"/>
                <w:szCs w:val="24"/>
                <w:lang w:eastAsia="zh-CN"/>
              </w:rPr>
              <w:t>3.03</w:t>
            </w:r>
          </w:p>
        </w:tc>
      </w:tr>
      <w:tr w:rsidR="00462E8D" w14:paraId="55BC3D65" w14:textId="77777777">
        <w:tc>
          <w:tcPr>
            <w:tcW w:w="1234" w:type="dxa"/>
          </w:tcPr>
          <w:p w14:paraId="46A4D729" w14:textId="77777777" w:rsidR="00462E8D" w:rsidRDefault="00A329B3">
            <w:pPr>
              <w:rPr>
                <w:rFonts w:eastAsia="宋体" w:cs="Times New Roman"/>
                <w:szCs w:val="24"/>
                <w:lang w:eastAsia="zh-CN"/>
              </w:rPr>
            </w:pPr>
            <w:r>
              <w:rPr>
                <w:rFonts w:eastAsia="宋体" w:cs="Times New Roman"/>
                <w:szCs w:val="24"/>
                <w:lang w:eastAsia="zh-CN"/>
              </w:rPr>
              <w:t>Azoxystrobin</w:t>
            </w:r>
          </w:p>
        </w:tc>
        <w:tc>
          <w:tcPr>
            <w:tcW w:w="1234" w:type="dxa"/>
          </w:tcPr>
          <w:p w14:paraId="3CDF12D7" w14:textId="77777777" w:rsidR="00462E8D" w:rsidRDefault="00A329B3">
            <w:pPr>
              <w:rPr>
                <w:rFonts w:eastAsia="宋体" w:cs="Times New Roman"/>
                <w:szCs w:val="24"/>
                <w:lang w:eastAsia="zh-CN"/>
              </w:rPr>
            </w:pPr>
            <w:r>
              <w:rPr>
                <w:rFonts w:eastAsia="宋体" w:cs="Times New Roman"/>
                <w:szCs w:val="24"/>
                <w:lang w:eastAsia="zh-CN"/>
              </w:rPr>
              <w:t>0.9952</w:t>
            </w:r>
          </w:p>
        </w:tc>
        <w:tc>
          <w:tcPr>
            <w:tcW w:w="1234" w:type="dxa"/>
          </w:tcPr>
          <w:p w14:paraId="54E29EDE" w14:textId="77777777" w:rsidR="00462E8D" w:rsidRDefault="00A329B3">
            <w:pPr>
              <w:rPr>
                <w:rFonts w:eastAsia="宋体" w:cs="Times New Roman"/>
                <w:szCs w:val="24"/>
                <w:lang w:eastAsia="zh-CN"/>
              </w:rPr>
            </w:pPr>
            <w:r>
              <w:rPr>
                <w:rFonts w:eastAsia="宋体" w:cs="Times New Roman"/>
                <w:szCs w:val="24"/>
                <w:lang w:eastAsia="zh-CN"/>
              </w:rPr>
              <w:t>19.14</w:t>
            </w:r>
          </w:p>
        </w:tc>
        <w:tc>
          <w:tcPr>
            <w:tcW w:w="1234" w:type="dxa"/>
          </w:tcPr>
          <w:p w14:paraId="14F57F8C" w14:textId="77777777" w:rsidR="00462E8D" w:rsidRDefault="00A329B3">
            <w:pPr>
              <w:rPr>
                <w:rFonts w:eastAsia="宋体" w:cs="Times New Roman"/>
                <w:szCs w:val="24"/>
                <w:lang w:eastAsia="zh-CN"/>
              </w:rPr>
            </w:pPr>
            <w:r>
              <w:rPr>
                <w:rFonts w:eastAsia="宋体" w:cs="Times New Roman"/>
                <w:szCs w:val="24"/>
                <w:lang w:eastAsia="zh-CN"/>
              </w:rPr>
              <w:t>0.0586</w:t>
            </w:r>
          </w:p>
        </w:tc>
        <w:tc>
          <w:tcPr>
            <w:tcW w:w="1234" w:type="dxa"/>
          </w:tcPr>
          <w:p w14:paraId="292AC99F" w14:textId="77777777" w:rsidR="00462E8D" w:rsidRDefault="00A329B3">
            <w:pPr>
              <w:rPr>
                <w:rFonts w:eastAsia="宋体" w:cs="Times New Roman"/>
                <w:szCs w:val="24"/>
                <w:lang w:eastAsia="zh-CN"/>
              </w:rPr>
            </w:pPr>
            <w:r>
              <w:rPr>
                <w:rFonts w:eastAsia="宋体" w:cs="Times New Roman"/>
                <w:szCs w:val="24"/>
                <w:lang w:eastAsia="zh-CN"/>
              </w:rPr>
              <w:t>0.9811</w:t>
            </w:r>
          </w:p>
        </w:tc>
        <w:tc>
          <w:tcPr>
            <w:tcW w:w="1234" w:type="dxa"/>
          </w:tcPr>
          <w:p w14:paraId="69858F3B" w14:textId="77777777" w:rsidR="00462E8D" w:rsidRDefault="00A329B3">
            <w:pPr>
              <w:rPr>
                <w:rFonts w:eastAsia="宋体" w:cs="Times New Roman"/>
                <w:szCs w:val="24"/>
                <w:lang w:eastAsia="zh-CN"/>
              </w:rPr>
            </w:pPr>
            <w:r>
              <w:rPr>
                <w:rFonts w:eastAsia="宋体" w:cs="Times New Roman"/>
                <w:szCs w:val="24"/>
                <w:lang w:eastAsia="zh-CN"/>
              </w:rPr>
              <w:t>0.3996</w:t>
            </w:r>
          </w:p>
        </w:tc>
        <w:tc>
          <w:tcPr>
            <w:tcW w:w="1234" w:type="dxa"/>
          </w:tcPr>
          <w:p w14:paraId="43D4CCA9" w14:textId="77777777" w:rsidR="00462E8D" w:rsidRDefault="00A329B3">
            <w:pPr>
              <w:rPr>
                <w:rFonts w:eastAsia="宋体" w:cs="Times New Roman"/>
                <w:szCs w:val="24"/>
                <w:lang w:eastAsia="zh-CN"/>
              </w:rPr>
            </w:pPr>
            <w:r>
              <w:rPr>
                <w:rFonts w:eastAsia="宋体" w:cs="Times New Roman"/>
                <w:szCs w:val="24"/>
                <w:lang w:eastAsia="zh-CN"/>
              </w:rPr>
              <w:t>2.75</w:t>
            </w:r>
          </w:p>
        </w:tc>
      </w:tr>
      <w:tr w:rsidR="00462E8D" w14:paraId="67C59F40" w14:textId="77777777">
        <w:tc>
          <w:tcPr>
            <w:tcW w:w="1234" w:type="dxa"/>
          </w:tcPr>
          <w:p w14:paraId="318C28E7" w14:textId="77777777" w:rsidR="00462E8D" w:rsidRDefault="00A329B3">
            <w:pPr>
              <w:rPr>
                <w:rFonts w:eastAsia="宋体" w:cs="Times New Roman"/>
                <w:szCs w:val="24"/>
                <w:lang w:eastAsia="zh-CN"/>
              </w:rPr>
            </w:pPr>
            <w:proofErr w:type="spellStart"/>
            <w:r>
              <w:rPr>
                <w:rFonts w:eastAsia="宋体" w:cs="Times New Roman"/>
                <w:szCs w:val="24"/>
                <w:lang w:eastAsia="zh-CN"/>
              </w:rPr>
              <w:t>Trifloxystrobin</w:t>
            </w:r>
            <w:proofErr w:type="spellEnd"/>
          </w:p>
        </w:tc>
        <w:tc>
          <w:tcPr>
            <w:tcW w:w="1234" w:type="dxa"/>
          </w:tcPr>
          <w:p w14:paraId="6909FE42" w14:textId="77777777" w:rsidR="00462E8D" w:rsidRDefault="00A329B3">
            <w:pPr>
              <w:rPr>
                <w:rFonts w:eastAsia="宋体" w:cs="Times New Roman"/>
                <w:szCs w:val="24"/>
                <w:lang w:eastAsia="zh-CN"/>
              </w:rPr>
            </w:pPr>
            <w:r>
              <w:rPr>
                <w:rFonts w:eastAsia="宋体" w:cs="Times New Roman"/>
                <w:szCs w:val="24"/>
                <w:lang w:eastAsia="zh-CN"/>
              </w:rPr>
              <w:t>0.9977</w:t>
            </w:r>
          </w:p>
        </w:tc>
        <w:tc>
          <w:tcPr>
            <w:tcW w:w="1234" w:type="dxa"/>
          </w:tcPr>
          <w:p w14:paraId="3F6C09BC" w14:textId="77777777" w:rsidR="00462E8D" w:rsidRDefault="00A329B3">
            <w:pPr>
              <w:rPr>
                <w:rFonts w:eastAsia="宋体" w:cs="Times New Roman"/>
                <w:szCs w:val="24"/>
                <w:lang w:eastAsia="zh-CN"/>
              </w:rPr>
            </w:pPr>
            <w:r>
              <w:rPr>
                <w:rFonts w:eastAsia="宋体" w:cs="Times New Roman"/>
                <w:szCs w:val="24"/>
                <w:lang w:eastAsia="zh-CN"/>
              </w:rPr>
              <w:t>22.85</w:t>
            </w:r>
          </w:p>
        </w:tc>
        <w:tc>
          <w:tcPr>
            <w:tcW w:w="1234" w:type="dxa"/>
          </w:tcPr>
          <w:p w14:paraId="2EBE5062" w14:textId="77777777" w:rsidR="00462E8D" w:rsidRDefault="00A329B3">
            <w:pPr>
              <w:rPr>
                <w:rFonts w:eastAsia="宋体" w:cs="Times New Roman"/>
                <w:szCs w:val="24"/>
                <w:lang w:eastAsia="zh-CN"/>
              </w:rPr>
            </w:pPr>
            <w:r>
              <w:rPr>
                <w:rFonts w:eastAsia="宋体" w:cs="Times New Roman"/>
                <w:szCs w:val="24"/>
                <w:lang w:eastAsia="zh-CN"/>
              </w:rPr>
              <w:t>0.0379</w:t>
            </w:r>
          </w:p>
        </w:tc>
        <w:tc>
          <w:tcPr>
            <w:tcW w:w="1234" w:type="dxa"/>
          </w:tcPr>
          <w:p w14:paraId="561E8655" w14:textId="77777777" w:rsidR="00462E8D" w:rsidRDefault="00A329B3">
            <w:pPr>
              <w:rPr>
                <w:rFonts w:eastAsia="宋体" w:cs="Times New Roman"/>
                <w:szCs w:val="24"/>
                <w:lang w:eastAsia="zh-CN"/>
              </w:rPr>
            </w:pPr>
            <w:r>
              <w:rPr>
                <w:rFonts w:eastAsia="宋体" w:cs="Times New Roman"/>
                <w:szCs w:val="24"/>
                <w:lang w:eastAsia="zh-CN"/>
              </w:rPr>
              <w:t>0.9721</w:t>
            </w:r>
          </w:p>
        </w:tc>
        <w:tc>
          <w:tcPr>
            <w:tcW w:w="1234" w:type="dxa"/>
          </w:tcPr>
          <w:p w14:paraId="6C1456B3" w14:textId="77777777" w:rsidR="00462E8D" w:rsidRDefault="00A329B3">
            <w:pPr>
              <w:rPr>
                <w:rFonts w:eastAsia="宋体" w:cs="Times New Roman"/>
                <w:szCs w:val="24"/>
                <w:lang w:eastAsia="zh-CN"/>
              </w:rPr>
            </w:pPr>
            <w:r>
              <w:rPr>
                <w:rFonts w:eastAsia="宋体" w:cs="Times New Roman"/>
                <w:szCs w:val="24"/>
                <w:lang w:eastAsia="zh-CN"/>
              </w:rPr>
              <w:t>0.4734</w:t>
            </w:r>
          </w:p>
        </w:tc>
        <w:tc>
          <w:tcPr>
            <w:tcW w:w="1234" w:type="dxa"/>
          </w:tcPr>
          <w:p w14:paraId="634EF97A" w14:textId="77777777" w:rsidR="00462E8D" w:rsidRDefault="00A329B3">
            <w:pPr>
              <w:rPr>
                <w:rFonts w:eastAsia="宋体" w:cs="Times New Roman"/>
                <w:szCs w:val="24"/>
                <w:lang w:eastAsia="zh-CN"/>
              </w:rPr>
            </w:pPr>
            <w:r>
              <w:rPr>
                <w:rFonts w:eastAsia="宋体" w:cs="Times New Roman"/>
                <w:szCs w:val="24"/>
                <w:lang w:eastAsia="zh-CN"/>
              </w:rPr>
              <w:t>2.15</w:t>
            </w:r>
          </w:p>
        </w:tc>
      </w:tr>
      <w:tr w:rsidR="00462E8D" w14:paraId="10D8334F" w14:textId="77777777">
        <w:tc>
          <w:tcPr>
            <w:tcW w:w="1234" w:type="dxa"/>
          </w:tcPr>
          <w:p w14:paraId="237B439A" w14:textId="77777777" w:rsidR="00462E8D" w:rsidRDefault="00A329B3">
            <w:pPr>
              <w:rPr>
                <w:rFonts w:eastAsia="宋体" w:cs="Times New Roman"/>
                <w:szCs w:val="24"/>
                <w:lang w:eastAsia="zh-CN"/>
              </w:rPr>
            </w:pPr>
            <w:r>
              <w:rPr>
                <w:rFonts w:eastAsia="宋体" w:cs="Times New Roman"/>
                <w:szCs w:val="24"/>
                <w:lang w:eastAsia="zh-CN"/>
              </w:rPr>
              <w:t>Picoxystrobin</w:t>
            </w:r>
          </w:p>
        </w:tc>
        <w:tc>
          <w:tcPr>
            <w:tcW w:w="1234" w:type="dxa"/>
          </w:tcPr>
          <w:p w14:paraId="4ADD2D42" w14:textId="77777777" w:rsidR="00462E8D" w:rsidRDefault="00A329B3">
            <w:pPr>
              <w:rPr>
                <w:rFonts w:eastAsia="宋体" w:cs="Times New Roman"/>
                <w:szCs w:val="24"/>
                <w:lang w:eastAsia="zh-CN"/>
              </w:rPr>
            </w:pPr>
            <w:r>
              <w:rPr>
                <w:rFonts w:eastAsia="宋体" w:cs="Times New Roman"/>
                <w:szCs w:val="24"/>
                <w:lang w:eastAsia="zh-CN"/>
              </w:rPr>
              <w:t>0.9989</w:t>
            </w:r>
          </w:p>
        </w:tc>
        <w:tc>
          <w:tcPr>
            <w:tcW w:w="1234" w:type="dxa"/>
          </w:tcPr>
          <w:p w14:paraId="221E0D4D" w14:textId="77777777" w:rsidR="00462E8D" w:rsidRDefault="00A329B3">
            <w:pPr>
              <w:rPr>
                <w:rFonts w:eastAsia="宋体" w:cs="Times New Roman"/>
                <w:szCs w:val="24"/>
                <w:lang w:eastAsia="zh-CN"/>
              </w:rPr>
            </w:pPr>
            <w:r>
              <w:rPr>
                <w:rFonts w:eastAsia="宋体" w:cs="Times New Roman"/>
                <w:szCs w:val="24"/>
                <w:lang w:eastAsia="zh-CN"/>
              </w:rPr>
              <w:t>21.25</w:t>
            </w:r>
          </w:p>
        </w:tc>
        <w:tc>
          <w:tcPr>
            <w:tcW w:w="1234" w:type="dxa"/>
          </w:tcPr>
          <w:p w14:paraId="75F11205" w14:textId="77777777" w:rsidR="00462E8D" w:rsidRDefault="00A329B3">
            <w:pPr>
              <w:rPr>
                <w:rFonts w:eastAsia="宋体" w:cs="Times New Roman"/>
                <w:szCs w:val="24"/>
                <w:lang w:eastAsia="zh-CN"/>
              </w:rPr>
            </w:pPr>
            <w:r>
              <w:rPr>
                <w:rFonts w:eastAsia="宋体" w:cs="Times New Roman"/>
                <w:szCs w:val="24"/>
                <w:lang w:eastAsia="zh-CN"/>
              </w:rPr>
              <w:t>0.0594</w:t>
            </w:r>
          </w:p>
        </w:tc>
        <w:tc>
          <w:tcPr>
            <w:tcW w:w="1234" w:type="dxa"/>
          </w:tcPr>
          <w:p w14:paraId="3C4D3BDC" w14:textId="77777777" w:rsidR="00462E8D" w:rsidRDefault="00A329B3">
            <w:pPr>
              <w:rPr>
                <w:rFonts w:eastAsia="宋体" w:cs="Times New Roman"/>
                <w:szCs w:val="24"/>
                <w:lang w:eastAsia="zh-CN"/>
              </w:rPr>
            </w:pPr>
            <w:r>
              <w:rPr>
                <w:rFonts w:eastAsia="宋体" w:cs="Times New Roman"/>
                <w:szCs w:val="24"/>
                <w:lang w:eastAsia="zh-CN"/>
              </w:rPr>
              <w:t>0.9734</w:t>
            </w:r>
          </w:p>
        </w:tc>
        <w:tc>
          <w:tcPr>
            <w:tcW w:w="1234" w:type="dxa"/>
          </w:tcPr>
          <w:p w14:paraId="79FE2C14" w14:textId="77777777" w:rsidR="00462E8D" w:rsidRDefault="00A329B3">
            <w:pPr>
              <w:rPr>
                <w:rFonts w:eastAsia="宋体" w:cs="Times New Roman"/>
                <w:szCs w:val="24"/>
                <w:lang w:eastAsia="zh-CN"/>
              </w:rPr>
            </w:pPr>
            <w:r>
              <w:rPr>
                <w:rFonts w:eastAsia="宋体" w:cs="Times New Roman"/>
                <w:szCs w:val="24"/>
                <w:lang w:eastAsia="zh-CN"/>
              </w:rPr>
              <w:t>0.3992</w:t>
            </w:r>
          </w:p>
        </w:tc>
        <w:tc>
          <w:tcPr>
            <w:tcW w:w="1234" w:type="dxa"/>
          </w:tcPr>
          <w:p w14:paraId="26EDEE35" w14:textId="77777777" w:rsidR="00462E8D" w:rsidRDefault="00A329B3">
            <w:pPr>
              <w:rPr>
                <w:rFonts w:eastAsia="宋体" w:cs="Times New Roman"/>
                <w:szCs w:val="24"/>
                <w:lang w:eastAsia="zh-CN"/>
              </w:rPr>
            </w:pPr>
            <w:r>
              <w:rPr>
                <w:rFonts w:eastAsia="宋体" w:cs="Times New Roman"/>
                <w:szCs w:val="24"/>
                <w:lang w:eastAsia="zh-CN"/>
              </w:rPr>
              <w:t>3.07</w:t>
            </w:r>
          </w:p>
        </w:tc>
      </w:tr>
      <w:tr w:rsidR="00462E8D" w14:paraId="038AC9B9" w14:textId="77777777">
        <w:tc>
          <w:tcPr>
            <w:tcW w:w="1234" w:type="dxa"/>
          </w:tcPr>
          <w:p w14:paraId="51351F30" w14:textId="77777777" w:rsidR="00462E8D" w:rsidRDefault="00A329B3">
            <w:pPr>
              <w:rPr>
                <w:rFonts w:eastAsia="宋体" w:cs="Times New Roman"/>
                <w:szCs w:val="24"/>
                <w:lang w:eastAsia="zh-CN"/>
              </w:rPr>
            </w:pPr>
            <w:proofErr w:type="spellStart"/>
            <w:r>
              <w:rPr>
                <w:rFonts w:eastAsia="宋体" w:cs="Times New Roman"/>
                <w:szCs w:val="24"/>
                <w:lang w:eastAsia="zh-CN"/>
              </w:rPr>
              <w:t>Fluoxastrobin</w:t>
            </w:r>
            <w:proofErr w:type="spellEnd"/>
          </w:p>
        </w:tc>
        <w:tc>
          <w:tcPr>
            <w:tcW w:w="1234" w:type="dxa"/>
          </w:tcPr>
          <w:p w14:paraId="7DFA44D5" w14:textId="77777777" w:rsidR="00462E8D" w:rsidRDefault="00A329B3">
            <w:pPr>
              <w:rPr>
                <w:rFonts w:eastAsia="宋体" w:cs="Times New Roman"/>
                <w:szCs w:val="24"/>
                <w:lang w:eastAsia="zh-CN"/>
              </w:rPr>
            </w:pPr>
            <w:r>
              <w:rPr>
                <w:rFonts w:eastAsia="宋体" w:cs="Times New Roman"/>
                <w:szCs w:val="24"/>
                <w:lang w:eastAsia="zh-CN"/>
              </w:rPr>
              <w:t>0.9969</w:t>
            </w:r>
          </w:p>
        </w:tc>
        <w:tc>
          <w:tcPr>
            <w:tcW w:w="1234" w:type="dxa"/>
          </w:tcPr>
          <w:p w14:paraId="052F9BC4" w14:textId="77777777" w:rsidR="00462E8D" w:rsidRDefault="00A329B3">
            <w:pPr>
              <w:rPr>
                <w:rFonts w:eastAsia="宋体" w:cs="Times New Roman"/>
                <w:szCs w:val="24"/>
                <w:lang w:eastAsia="zh-CN"/>
              </w:rPr>
            </w:pPr>
            <w:r>
              <w:rPr>
                <w:rFonts w:eastAsia="宋体" w:cs="Times New Roman"/>
                <w:szCs w:val="24"/>
                <w:lang w:eastAsia="zh-CN"/>
              </w:rPr>
              <w:t>19.02</w:t>
            </w:r>
          </w:p>
        </w:tc>
        <w:tc>
          <w:tcPr>
            <w:tcW w:w="1234" w:type="dxa"/>
          </w:tcPr>
          <w:p w14:paraId="0E774F66" w14:textId="77777777" w:rsidR="00462E8D" w:rsidRDefault="00A329B3">
            <w:pPr>
              <w:rPr>
                <w:rFonts w:eastAsia="宋体" w:cs="Times New Roman"/>
                <w:szCs w:val="24"/>
                <w:lang w:eastAsia="zh-CN"/>
              </w:rPr>
            </w:pPr>
            <w:r>
              <w:rPr>
                <w:rFonts w:eastAsia="宋体" w:cs="Times New Roman"/>
                <w:szCs w:val="24"/>
                <w:lang w:eastAsia="zh-CN"/>
              </w:rPr>
              <w:t>0.0703</w:t>
            </w:r>
          </w:p>
        </w:tc>
        <w:tc>
          <w:tcPr>
            <w:tcW w:w="1234" w:type="dxa"/>
          </w:tcPr>
          <w:p w14:paraId="122DC171" w14:textId="77777777" w:rsidR="00462E8D" w:rsidRDefault="00A329B3">
            <w:pPr>
              <w:rPr>
                <w:rFonts w:eastAsia="宋体" w:cs="Times New Roman"/>
                <w:szCs w:val="24"/>
                <w:lang w:eastAsia="zh-CN"/>
              </w:rPr>
            </w:pPr>
            <w:r>
              <w:rPr>
                <w:rFonts w:eastAsia="宋体" w:cs="Times New Roman"/>
                <w:szCs w:val="24"/>
                <w:lang w:eastAsia="zh-CN"/>
              </w:rPr>
              <w:t>0.9464</w:t>
            </w:r>
          </w:p>
        </w:tc>
        <w:tc>
          <w:tcPr>
            <w:tcW w:w="1234" w:type="dxa"/>
          </w:tcPr>
          <w:p w14:paraId="0062C72C" w14:textId="77777777" w:rsidR="00462E8D" w:rsidRDefault="00A329B3">
            <w:pPr>
              <w:rPr>
                <w:rFonts w:eastAsia="宋体" w:cs="Times New Roman"/>
                <w:szCs w:val="24"/>
                <w:lang w:eastAsia="zh-CN"/>
              </w:rPr>
            </w:pPr>
            <w:r>
              <w:rPr>
                <w:rFonts w:eastAsia="宋体" w:cs="Times New Roman"/>
                <w:szCs w:val="24"/>
                <w:lang w:eastAsia="zh-CN"/>
              </w:rPr>
              <w:t>0.3732</w:t>
            </w:r>
          </w:p>
        </w:tc>
        <w:tc>
          <w:tcPr>
            <w:tcW w:w="1234" w:type="dxa"/>
          </w:tcPr>
          <w:p w14:paraId="687FA285" w14:textId="77777777" w:rsidR="00462E8D" w:rsidRDefault="00A329B3">
            <w:pPr>
              <w:rPr>
                <w:rFonts w:eastAsia="宋体" w:cs="Times New Roman"/>
                <w:szCs w:val="24"/>
                <w:lang w:eastAsia="zh-CN"/>
              </w:rPr>
            </w:pPr>
            <w:r>
              <w:rPr>
                <w:rFonts w:eastAsia="宋体" w:cs="Times New Roman"/>
                <w:szCs w:val="24"/>
                <w:lang w:eastAsia="zh-CN"/>
              </w:rPr>
              <w:t>3.16</w:t>
            </w:r>
          </w:p>
        </w:tc>
      </w:tr>
      <w:tr w:rsidR="00462E8D" w14:paraId="2CB6690E" w14:textId="77777777">
        <w:tc>
          <w:tcPr>
            <w:tcW w:w="1234" w:type="dxa"/>
          </w:tcPr>
          <w:p w14:paraId="7E69744D" w14:textId="77777777" w:rsidR="00462E8D" w:rsidRDefault="00A329B3">
            <w:pPr>
              <w:rPr>
                <w:rFonts w:eastAsia="宋体" w:cs="Times New Roman"/>
                <w:szCs w:val="24"/>
                <w:lang w:eastAsia="zh-CN"/>
              </w:rPr>
            </w:pPr>
            <w:bookmarkStart w:id="2" w:name="OLE_LINK3"/>
            <w:proofErr w:type="spellStart"/>
            <w:r>
              <w:rPr>
                <w:rFonts w:eastAsia="宋体" w:cs="Times New Roman"/>
                <w:szCs w:val="24"/>
                <w:lang w:eastAsia="zh-CN"/>
              </w:rPr>
              <w:t>Enestroburin</w:t>
            </w:r>
            <w:bookmarkEnd w:id="2"/>
            <w:proofErr w:type="spellEnd"/>
          </w:p>
        </w:tc>
        <w:tc>
          <w:tcPr>
            <w:tcW w:w="1234" w:type="dxa"/>
          </w:tcPr>
          <w:p w14:paraId="2E9FB3B9" w14:textId="77777777" w:rsidR="00462E8D" w:rsidRDefault="00A329B3">
            <w:pPr>
              <w:rPr>
                <w:rFonts w:eastAsia="宋体" w:cs="Times New Roman"/>
                <w:szCs w:val="24"/>
                <w:lang w:eastAsia="zh-CN"/>
              </w:rPr>
            </w:pPr>
            <w:r>
              <w:rPr>
                <w:rFonts w:eastAsia="宋体" w:cs="Times New Roman"/>
                <w:szCs w:val="24"/>
                <w:lang w:eastAsia="zh-CN"/>
              </w:rPr>
              <w:t>0.9982</w:t>
            </w:r>
          </w:p>
        </w:tc>
        <w:tc>
          <w:tcPr>
            <w:tcW w:w="1234" w:type="dxa"/>
          </w:tcPr>
          <w:p w14:paraId="3FBE7C86" w14:textId="77777777" w:rsidR="00462E8D" w:rsidRDefault="00A329B3">
            <w:pPr>
              <w:rPr>
                <w:rFonts w:eastAsia="宋体" w:cs="Times New Roman"/>
                <w:szCs w:val="24"/>
                <w:lang w:eastAsia="zh-CN"/>
              </w:rPr>
            </w:pPr>
            <w:r>
              <w:rPr>
                <w:rFonts w:eastAsia="宋体" w:cs="Times New Roman"/>
                <w:szCs w:val="24"/>
                <w:lang w:eastAsia="zh-CN"/>
              </w:rPr>
              <w:t>19.53</w:t>
            </w:r>
          </w:p>
        </w:tc>
        <w:tc>
          <w:tcPr>
            <w:tcW w:w="1234" w:type="dxa"/>
          </w:tcPr>
          <w:p w14:paraId="09BC02FD" w14:textId="77777777" w:rsidR="00462E8D" w:rsidRDefault="00A329B3">
            <w:pPr>
              <w:rPr>
                <w:rFonts w:eastAsia="宋体" w:cs="Times New Roman"/>
                <w:szCs w:val="24"/>
                <w:lang w:eastAsia="zh-CN"/>
              </w:rPr>
            </w:pPr>
            <w:r>
              <w:rPr>
                <w:rFonts w:eastAsia="宋体" w:cs="Times New Roman"/>
                <w:szCs w:val="24"/>
                <w:lang w:eastAsia="zh-CN"/>
              </w:rPr>
              <w:t>0.0666</w:t>
            </w:r>
          </w:p>
        </w:tc>
        <w:tc>
          <w:tcPr>
            <w:tcW w:w="1234" w:type="dxa"/>
          </w:tcPr>
          <w:p w14:paraId="0CCB6361" w14:textId="77777777" w:rsidR="00462E8D" w:rsidRDefault="00A329B3">
            <w:pPr>
              <w:rPr>
                <w:rFonts w:eastAsia="宋体" w:cs="Times New Roman"/>
                <w:szCs w:val="24"/>
                <w:lang w:eastAsia="zh-CN"/>
              </w:rPr>
            </w:pPr>
            <w:r>
              <w:rPr>
                <w:rFonts w:eastAsia="宋体" w:cs="Times New Roman"/>
                <w:szCs w:val="24"/>
                <w:lang w:eastAsia="zh-CN"/>
              </w:rPr>
              <w:t>0.9542</w:t>
            </w:r>
          </w:p>
        </w:tc>
        <w:tc>
          <w:tcPr>
            <w:tcW w:w="1234" w:type="dxa"/>
          </w:tcPr>
          <w:p w14:paraId="71B02DF1" w14:textId="77777777" w:rsidR="00462E8D" w:rsidRDefault="00A329B3">
            <w:pPr>
              <w:rPr>
                <w:rFonts w:eastAsia="宋体" w:cs="Times New Roman"/>
                <w:szCs w:val="24"/>
                <w:lang w:eastAsia="zh-CN"/>
              </w:rPr>
            </w:pPr>
            <w:r>
              <w:rPr>
                <w:rFonts w:eastAsia="宋体" w:cs="Times New Roman"/>
                <w:szCs w:val="24"/>
                <w:lang w:eastAsia="zh-CN"/>
              </w:rPr>
              <w:t>0.3830</w:t>
            </w:r>
          </w:p>
        </w:tc>
        <w:tc>
          <w:tcPr>
            <w:tcW w:w="1234" w:type="dxa"/>
          </w:tcPr>
          <w:p w14:paraId="0EDF6F1D" w14:textId="77777777" w:rsidR="00462E8D" w:rsidRDefault="00A329B3">
            <w:pPr>
              <w:rPr>
                <w:rFonts w:eastAsia="宋体" w:cs="Times New Roman"/>
                <w:szCs w:val="24"/>
                <w:lang w:eastAsia="zh-CN"/>
              </w:rPr>
            </w:pPr>
            <w:r>
              <w:rPr>
                <w:rFonts w:eastAsia="宋体" w:cs="Times New Roman"/>
                <w:szCs w:val="24"/>
                <w:lang w:eastAsia="zh-CN"/>
              </w:rPr>
              <w:t>3.09</w:t>
            </w:r>
          </w:p>
        </w:tc>
      </w:tr>
    </w:tbl>
    <w:p w14:paraId="6CE8F66E" w14:textId="77777777" w:rsidR="00462E8D" w:rsidRDefault="00462E8D">
      <w:pPr>
        <w:rPr>
          <w:rFonts w:eastAsia="宋体" w:cs="Times New Roman"/>
          <w:szCs w:val="24"/>
          <w:lang w:eastAsia="zh-CN"/>
        </w:rPr>
      </w:pPr>
    </w:p>
    <w:p w14:paraId="4042CA94" w14:textId="77777777" w:rsidR="00462E8D" w:rsidRDefault="00462E8D">
      <w:pPr>
        <w:rPr>
          <w:rFonts w:eastAsia="宋体" w:cs="Times New Roman"/>
          <w:szCs w:val="24"/>
          <w:lang w:eastAsia="zh-CN"/>
        </w:rPr>
      </w:pPr>
    </w:p>
    <w:bookmarkEnd w:id="0"/>
    <w:p w14:paraId="5D6269E7" w14:textId="22D56420" w:rsidR="00462E8D" w:rsidRDefault="00A329B3">
      <w:pPr>
        <w:rPr>
          <w:rFonts w:cs="Times New Roman"/>
          <w:szCs w:val="24"/>
        </w:rPr>
      </w:pPr>
      <w:r>
        <w:rPr>
          <w:rFonts w:cs="Times New Roman"/>
          <w:szCs w:val="24"/>
        </w:rPr>
        <w:t>Table S3. Adsorption kinetic parameters for the</w:t>
      </w:r>
      <w:r w:rsidR="002534EC">
        <w:rPr>
          <w:rFonts w:eastAsia="宋体" w:cs="Times New Roman" w:hint="eastAsia"/>
          <w:szCs w:val="24"/>
          <w:lang w:eastAsia="zh-CN"/>
        </w:rPr>
        <w:t xml:space="preserve"> six</w:t>
      </w:r>
      <w:r>
        <w:rPr>
          <w:rFonts w:cs="Times New Roman"/>
          <w:szCs w:val="24"/>
        </w:rPr>
        <w:t xml:space="preserve"> strobilurin fungicides on </w:t>
      </w:r>
      <w:proofErr w:type="spellStart"/>
      <w:r>
        <w:rPr>
          <w:rFonts w:cs="Times New Roman"/>
          <w:szCs w:val="24"/>
        </w:rPr>
        <w:t>Fe₃O</w:t>
      </w:r>
      <w:proofErr w:type="spellEnd"/>
      <w:r>
        <w:rPr>
          <w:rFonts w:cs="Times New Roman"/>
          <w:szCs w:val="24"/>
        </w:rPr>
        <w:t>₄@</w:t>
      </w:r>
      <w:proofErr w:type="spellStart"/>
      <w:r>
        <w:rPr>
          <w:rFonts w:cs="Times New Roman"/>
          <w:szCs w:val="24"/>
        </w:rPr>
        <w:t>SiO</w:t>
      </w:r>
      <w:proofErr w:type="spellEnd"/>
      <w:r>
        <w:rPr>
          <w:rFonts w:cs="Times New Roman"/>
          <w:szCs w:val="24"/>
        </w:rPr>
        <w:t>₂@MPS@MIP</w:t>
      </w:r>
    </w:p>
    <w:tbl>
      <w:tblPr>
        <w:tblStyle w:val="af8"/>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683"/>
        <w:gridCol w:w="1234"/>
        <w:gridCol w:w="1234"/>
        <w:gridCol w:w="1234"/>
        <w:gridCol w:w="1234"/>
        <w:gridCol w:w="1234"/>
        <w:gridCol w:w="1643"/>
      </w:tblGrid>
      <w:tr w:rsidR="00462E8D" w14:paraId="0F608E19" w14:textId="77777777">
        <w:trPr>
          <w:jc w:val="center"/>
        </w:trPr>
        <w:tc>
          <w:tcPr>
            <w:tcW w:w="1683" w:type="dxa"/>
            <w:tcBorders>
              <w:top w:val="single" w:sz="12" w:space="0" w:color="auto"/>
              <w:bottom w:val="single" w:sz="6" w:space="0" w:color="auto"/>
            </w:tcBorders>
            <w:vAlign w:val="center"/>
          </w:tcPr>
          <w:p w14:paraId="2385B077" w14:textId="77777777" w:rsidR="00462E8D" w:rsidRDefault="00A329B3">
            <w:pPr>
              <w:rPr>
                <w:rFonts w:cs="Times New Roman"/>
                <w:szCs w:val="24"/>
              </w:rPr>
            </w:pPr>
            <w:r>
              <w:rPr>
                <w:rFonts w:cs="Times New Roman"/>
                <w:szCs w:val="24"/>
              </w:rPr>
              <w:t>Analytes</w:t>
            </w:r>
          </w:p>
        </w:tc>
        <w:tc>
          <w:tcPr>
            <w:tcW w:w="1234" w:type="dxa"/>
            <w:tcBorders>
              <w:top w:val="single" w:sz="12" w:space="0" w:color="auto"/>
              <w:bottom w:val="single" w:sz="6" w:space="0" w:color="auto"/>
            </w:tcBorders>
            <w:vAlign w:val="center"/>
          </w:tcPr>
          <w:p w14:paraId="5ACF8E22" w14:textId="77777777" w:rsidR="00462E8D" w:rsidRDefault="00A329B3">
            <w:pPr>
              <w:rPr>
                <w:rFonts w:cs="Times New Roman"/>
                <w:szCs w:val="24"/>
              </w:rPr>
            </w:pPr>
            <w:r>
              <w:rPr>
                <w:rFonts w:cs="Times New Roman"/>
                <w:szCs w:val="24"/>
              </w:rPr>
              <w:t>Pseudo-first-order R²</w:t>
            </w:r>
          </w:p>
        </w:tc>
        <w:tc>
          <w:tcPr>
            <w:tcW w:w="1234" w:type="dxa"/>
            <w:tcBorders>
              <w:top w:val="single" w:sz="12" w:space="0" w:color="auto"/>
              <w:bottom w:val="single" w:sz="6" w:space="0" w:color="auto"/>
            </w:tcBorders>
            <w:vAlign w:val="center"/>
          </w:tcPr>
          <w:p w14:paraId="678CA470" w14:textId="77777777" w:rsidR="00462E8D" w:rsidRDefault="00A329B3">
            <w:pPr>
              <w:rPr>
                <w:rFonts w:cs="Times New Roman"/>
                <w:szCs w:val="24"/>
              </w:rPr>
            </w:pPr>
            <w:r>
              <w:rPr>
                <w:rFonts w:cs="Times New Roman"/>
                <w:szCs w:val="24"/>
              </w:rPr>
              <w:t>Q₁ (mg/g)</w:t>
            </w:r>
          </w:p>
        </w:tc>
        <w:tc>
          <w:tcPr>
            <w:tcW w:w="1234" w:type="dxa"/>
            <w:tcBorders>
              <w:top w:val="single" w:sz="12" w:space="0" w:color="auto"/>
              <w:bottom w:val="single" w:sz="6" w:space="0" w:color="auto"/>
            </w:tcBorders>
            <w:vAlign w:val="center"/>
          </w:tcPr>
          <w:p w14:paraId="198D40B8" w14:textId="77777777" w:rsidR="00462E8D" w:rsidRDefault="00A329B3">
            <w:pPr>
              <w:rPr>
                <w:rFonts w:cs="Times New Roman"/>
                <w:szCs w:val="24"/>
              </w:rPr>
            </w:pPr>
            <w:r>
              <w:rPr>
                <w:rFonts w:cs="Times New Roman"/>
                <w:szCs w:val="24"/>
              </w:rPr>
              <w:t>k₁ (min⁻¹)</w:t>
            </w:r>
          </w:p>
        </w:tc>
        <w:tc>
          <w:tcPr>
            <w:tcW w:w="1234" w:type="dxa"/>
            <w:tcBorders>
              <w:top w:val="single" w:sz="12" w:space="0" w:color="auto"/>
              <w:bottom w:val="single" w:sz="6" w:space="0" w:color="auto"/>
            </w:tcBorders>
            <w:vAlign w:val="center"/>
          </w:tcPr>
          <w:p w14:paraId="5AF89920" w14:textId="77777777" w:rsidR="00462E8D" w:rsidRDefault="00A329B3">
            <w:pPr>
              <w:rPr>
                <w:rFonts w:cs="Times New Roman"/>
                <w:szCs w:val="24"/>
              </w:rPr>
            </w:pPr>
            <w:r>
              <w:rPr>
                <w:rFonts w:cs="Times New Roman"/>
                <w:szCs w:val="24"/>
              </w:rPr>
              <w:t>Pseudo-second-order R²</w:t>
            </w:r>
          </w:p>
        </w:tc>
        <w:tc>
          <w:tcPr>
            <w:tcW w:w="1234" w:type="dxa"/>
            <w:tcBorders>
              <w:top w:val="single" w:sz="12" w:space="0" w:color="auto"/>
              <w:bottom w:val="single" w:sz="6" w:space="0" w:color="auto"/>
            </w:tcBorders>
            <w:vAlign w:val="center"/>
          </w:tcPr>
          <w:p w14:paraId="0E174901" w14:textId="77777777" w:rsidR="00462E8D" w:rsidRDefault="00A329B3">
            <w:pPr>
              <w:rPr>
                <w:rFonts w:cs="Times New Roman"/>
                <w:szCs w:val="24"/>
              </w:rPr>
            </w:pPr>
            <w:r>
              <w:rPr>
                <w:rFonts w:cs="Times New Roman"/>
                <w:szCs w:val="24"/>
              </w:rPr>
              <w:t>Q₂ (mg/g)</w:t>
            </w:r>
          </w:p>
        </w:tc>
        <w:tc>
          <w:tcPr>
            <w:tcW w:w="1643" w:type="dxa"/>
            <w:tcBorders>
              <w:top w:val="single" w:sz="12" w:space="0" w:color="auto"/>
              <w:bottom w:val="single" w:sz="6" w:space="0" w:color="auto"/>
            </w:tcBorders>
            <w:vAlign w:val="center"/>
          </w:tcPr>
          <w:p w14:paraId="2E585FD1" w14:textId="77777777" w:rsidR="00462E8D" w:rsidRDefault="00A329B3">
            <w:pPr>
              <w:rPr>
                <w:rFonts w:cs="Times New Roman"/>
                <w:szCs w:val="24"/>
              </w:rPr>
            </w:pPr>
            <w:r>
              <w:rPr>
                <w:rFonts w:cs="Times New Roman"/>
                <w:szCs w:val="24"/>
              </w:rPr>
              <w:t>k₂ (g·mg⁻¹·min⁻¹)</w:t>
            </w:r>
          </w:p>
        </w:tc>
      </w:tr>
      <w:tr w:rsidR="00462E8D" w14:paraId="2D3AADD7" w14:textId="77777777">
        <w:trPr>
          <w:jc w:val="center"/>
        </w:trPr>
        <w:tc>
          <w:tcPr>
            <w:tcW w:w="1683" w:type="dxa"/>
            <w:tcBorders>
              <w:top w:val="single" w:sz="6" w:space="0" w:color="auto"/>
            </w:tcBorders>
            <w:vAlign w:val="center"/>
          </w:tcPr>
          <w:p w14:paraId="06381F44" w14:textId="77777777" w:rsidR="00462E8D" w:rsidRDefault="00A329B3">
            <w:pPr>
              <w:rPr>
                <w:rFonts w:cs="Times New Roman"/>
                <w:szCs w:val="24"/>
              </w:rPr>
            </w:pPr>
            <w:proofErr w:type="spellStart"/>
            <w:r>
              <w:rPr>
                <w:rFonts w:cs="Times New Roman"/>
                <w:szCs w:val="24"/>
              </w:rPr>
              <w:t>Pyraclostrobin</w:t>
            </w:r>
            <w:proofErr w:type="spellEnd"/>
          </w:p>
        </w:tc>
        <w:tc>
          <w:tcPr>
            <w:tcW w:w="1234" w:type="dxa"/>
            <w:tcBorders>
              <w:top w:val="single" w:sz="6" w:space="0" w:color="auto"/>
            </w:tcBorders>
            <w:vAlign w:val="center"/>
          </w:tcPr>
          <w:p w14:paraId="32142070" w14:textId="77777777" w:rsidR="00462E8D" w:rsidRDefault="00A329B3">
            <w:pPr>
              <w:rPr>
                <w:rFonts w:cs="Times New Roman"/>
                <w:szCs w:val="24"/>
              </w:rPr>
            </w:pPr>
            <w:r>
              <w:rPr>
                <w:rFonts w:cs="Times New Roman"/>
                <w:szCs w:val="24"/>
              </w:rPr>
              <w:t>0.9599</w:t>
            </w:r>
          </w:p>
        </w:tc>
        <w:tc>
          <w:tcPr>
            <w:tcW w:w="1234" w:type="dxa"/>
            <w:tcBorders>
              <w:top w:val="single" w:sz="6" w:space="0" w:color="auto"/>
            </w:tcBorders>
            <w:vAlign w:val="center"/>
          </w:tcPr>
          <w:p w14:paraId="492D2D06" w14:textId="77777777" w:rsidR="00462E8D" w:rsidRDefault="00A329B3">
            <w:pPr>
              <w:rPr>
                <w:rFonts w:cs="Times New Roman"/>
                <w:szCs w:val="24"/>
              </w:rPr>
            </w:pPr>
            <w:r>
              <w:rPr>
                <w:rFonts w:cs="Times New Roman"/>
                <w:szCs w:val="24"/>
              </w:rPr>
              <w:t>19.87</w:t>
            </w:r>
          </w:p>
        </w:tc>
        <w:tc>
          <w:tcPr>
            <w:tcW w:w="1234" w:type="dxa"/>
            <w:tcBorders>
              <w:top w:val="single" w:sz="6" w:space="0" w:color="auto"/>
            </w:tcBorders>
            <w:vAlign w:val="center"/>
          </w:tcPr>
          <w:p w14:paraId="65250BD4" w14:textId="77777777" w:rsidR="00462E8D" w:rsidRDefault="00A329B3">
            <w:pPr>
              <w:rPr>
                <w:rFonts w:cs="Times New Roman"/>
                <w:szCs w:val="24"/>
              </w:rPr>
            </w:pPr>
            <w:r>
              <w:rPr>
                <w:rFonts w:cs="Times New Roman"/>
                <w:szCs w:val="24"/>
              </w:rPr>
              <w:t>0.1271</w:t>
            </w:r>
          </w:p>
        </w:tc>
        <w:tc>
          <w:tcPr>
            <w:tcW w:w="1234" w:type="dxa"/>
            <w:tcBorders>
              <w:top w:val="single" w:sz="6" w:space="0" w:color="auto"/>
            </w:tcBorders>
            <w:vAlign w:val="center"/>
          </w:tcPr>
          <w:p w14:paraId="5943BD40" w14:textId="77777777" w:rsidR="00462E8D" w:rsidRDefault="00A329B3">
            <w:pPr>
              <w:rPr>
                <w:rFonts w:cs="Times New Roman"/>
                <w:szCs w:val="24"/>
              </w:rPr>
            </w:pPr>
            <w:r>
              <w:rPr>
                <w:rFonts w:cs="Times New Roman"/>
                <w:szCs w:val="24"/>
              </w:rPr>
              <w:t>0.9913</w:t>
            </w:r>
          </w:p>
        </w:tc>
        <w:tc>
          <w:tcPr>
            <w:tcW w:w="1234" w:type="dxa"/>
            <w:tcBorders>
              <w:top w:val="single" w:sz="6" w:space="0" w:color="auto"/>
            </w:tcBorders>
            <w:vAlign w:val="center"/>
          </w:tcPr>
          <w:p w14:paraId="16C0160C" w14:textId="77777777" w:rsidR="00462E8D" w:rsidRDefault="00A329B3">
            <w:pPr>
              <w:rPr>
                <w:rFonts w:cs="Times New Roman"/>
                <w:szCs w:val="24"/>
              </w:rPr>
            </w:pPr>
            <w:r>
              <w:rPr>
                <w:rFonts w:cs="Times New Roman"/>
                <w:szCs w:val="24"/>
              </w:rPr>
              <w:t>22.37</w:t>
            </w:r>
          </w:p>
        </w:tc>
        <w:tc>
          <w:tcPr>
            <w:tcW w:w="1643" w:type="dxa"/>
            <w:tcBorders>
              <w:top w:val="single" w:sz="6" w:space="0" w:color="auto"/>
            </w:tcBorders>
            <w:vAlign w:val="center"/>
          </w:tcPr>
          <w:p w14:paraId="621A7D02" w14:textId="77777777" w:rsidR="00462E8D" w:rsidRDefault="00A329B3">
            <w:pPr>
              <w:rPr>
                <w:rFonts w:cs="Times New Roman"/>
                <w:szCs w:val="24"/>
              </w:rPr>
            </w:pPr>
            <w:r>
              <w:rPr>
                <w:rFonts w:cs="Times New Roman"/>
                <w:szCs w:val="24"/>
              </w:rPr>
              <w:t>0.00698</w:t>
            </w:r>
          </w:p>
        </w:tc>
      </w:tr>
      <w:tr w:rsidR="00462E8D" w14:paraId="34050CF1" w14:textId="77777777">
        <w:trPr>
          <w:jc w:val="center"/>
        </w:trPr>
        <w:tc>
          <w:tcPr>
            <w:tcW w:w="1683" w:type="dxa"/>
            <w:vAlign w:val="center"/>
          </w:tcPr>
          <w:p w14:paraId="3F2BCB1A" w14:textId="77777777" w:rsidR="00462E8D" w:rsidRDefault="00A329B3">
            <w:pPr>
              <w:rPr>
                <w:rFonts w:cs="Times New Roman"/>
                <w:szCs w:val="24"/>
              </w:rPr>
            </w:pPr>
            <w:r>
              <w:rPr>
                <w:rFonts w:cs="Times New Roman"/>
                <w:szCs w:val="24"/>
              </w:rPr>
              <w:t>Azoxystrobin</w:t>
            </w:r>
          </w:p>
        </w:tc>
        <w:tc>
          <w:tcPr>
            <w:tcW w:w="1234" w:type="dxa"/>
            <w:vAlign w:val="center"/>
          </w:tcPr>
          <w:p w14:paraId="0E1B6E8E" w14:textId="77777777" w:rsidR="00462E8D" w:rsidRDefault="00A329B3">
            <w:pPr>
              <w:rPr>
                <w:rFonts w:cs="Times New Roman"/>
                <w:szCs w:val="24"/>
              </w:rPr>
            </w:pPr>
            <w:r>
              <w:rPr>
                <w:rFonts w:cs="Times New Roman"/>
                <w:szCs w:val="24"/>
              </w:rPr>
              <w:t>0.9836</w:t>
            </w:r>
          </w:p>
        </w:tc>
        <w:tc>
          <w:tcPr>
            <w:tcW w:w="1234" w:type="dxa"/>
            <w:vAlign w:val="center"/>
          </w:tcPr>
          <w:p w14:paraId="4D6CE359" w14:textId="77777777" w:rsidR="00462E8D" w:rsidRDefault="00A329B3">
            <w:pPr>
              <w:rPr>
                <w:rFonts w:cs="Times New Roman"/>
                <w:szCs w:val="24"/>
              </w:rPr>
            </w:pPr>
            <w:r>
              <w:rPr>
                <w:rFonts w:cs="Times New Roman"/>
                <w:szCs w:val="24"/>
              </w:rPr>
              <w:t>18.32</w:t>
            </w:r>
          </w:p>
        </w:tc>
        <w:tc>
          <w:tcPr>
            <w:tcW w:w="1234" w:type="dxa"/>
            <w:vAlign w:val="center"/>
          </w:tcPr>
          <w:p w14:paraId="655ABC26" w14:textId="77777777" w:rsidR="00462E8D" w:rsidRDefault="00A329B3">
            <w:pPr>
              <w:rPr>
                <w:rFonts w:cs="Times New Roman"/>
                <w:szCs w:val="24"/>
              </w:rPr>
            </w:pPr>
            <w:r>
              <w:rPr>
                <w:rFonts w:cs="Times New Roman"/>
                <w:szCs w:val="24"/>
              </w:rPr>
              <w:t>0.1917</w:t>
            </w:r>
          </w:p>
        </w:tc>
        <w:tc>
          <w:tcPr>
            <w:tcW w:w="1234" w:type="dxa"/>
            <w:vAlign w:val="center"/>
          </w:tcPr>
          <w:p w14:paraId="64F0F071" w14:textId="77777777" w:rsidR="00462E8D" w:rsidRDefault="00A329B3">
            <w:pPr>
              <w:rPr>
                <w:rFonts w:cs="Times New Roman"/>
                <w:szCs w:val="24"/>
              </w:rPr>
            </w:pPr>
            <w:r>
              <w:rPr>
                <w:rFonts w:cs="Times New Roman"/>
                <w:szCs w:val="24"/>
              </w:rPr>
              <w:t>0.9990</w:t>
            </w:r>
          </w:p>
        </w:tc>
        <w:tc>
          <w:tcPr>
            <w:tcW w:w="1234" w:type="dxa"/>
            <w:vAlign w:val="center"/>
          </w:tcPr>
          <w:p w14:paraId="0A451BCF" w14:textId="77777777" w:rsidR="00462E8D" w:rsidRDefault="00A329B3">
            <w:pPr>
              <w:rPr>
                <w:rFonts w:cs="Times New Roman"/>
                <w:szCs w:val="24"/>
              </w:rPr>
            </w:pPr>
            <w:r>
              <w:rPr>
                <w:rFonts w:cs="Times New Roman"/>
                <w:szCs w:val="24"/>
              </w:rPr>
              <w:t>20.06</w:t>
            </w:r>
          </w:p>
        </w:tc>
        <w:tc>
          <w:tcPr>
            <w:tcW w:w="1643" w:type="dxa"/>
            <w:vAlign w:val="center"/>
          </w:tcPr>
          <w:p w14:paraId="1848983D" w14:textId="77777777" w:rsidR="00462E8D" w:rsidRDefault="00A329B3">
            <w:pPr>
              <w:rPr>
                <w:rFonts w:cs="Times New Roman"/>
                <w:szCs w:val="24"/>
              </w:rPr>
            </w:pPr>
            <w:r>
              <w:rPr>
                <w:rFonts w:cs="Times New Roman"/>
                <w:szCs w:val="24"/>
              </w:rPr>
              <w:t>0.01184</w:t>
            </w:r>
          </w:p>
        </w:tc>
      </w:tr>
      <w:tr w:rsidR="00462E8D" w14:paraId="2A05D137" w14:textId="77777777">
        <w:trPr>
          <w:jc w:val="center"/>
        </w:trPr>
        <w:tc>
          <w:tcPr>
            <w:tcW w:w="1683" w:type="dxa"/>
            <w:vAlign w:val="center"/>
          </w:tcPr>
          <w:p w14:paraId="40CE368B" w14:textId="77777777" w:rsidR="00462E8D" w:rsidRDefault="00A329B3">
            <w:pPr>
              <w:rPr>
                <w:rFonts w:cs="Times New Roman"/>
                <w:szCs w:val="24"/>
              </w:rPr>
            </w:pPr>
            <w:proofErr w:type="spellStart"/>
            <w:r>
              <w:rPr>
                <w:rFonts w:cs="Times New Roman"/>
                <w:szCs w:val="24"/>
              </w:rPr>
              <w:t>Trifloxystrobin</w:t>
            </w:r>
            <w:proofErr w:type="spellEnd"/>
          </w:p>
        </w:tc>
        <w:tc>
          <w:tcPr>
            <w:tcW w:w="1234" w:type="dxa"/>
            <w:vAlign w:val="center"/>
          </w:tcPr>
          <w:p w14:paraId="420F46CA" w14:textId="77777777" w:rsidR="00462E8D" w:rsidRDefault="00A329B3">
            <w:pPr>
              <w:rPr>
                <w:rFonts w:cs="Times New Roman"/>
                <w:szCs w:val="24"/>
              </w:rPr>
            </w:pPr>
            <w:r>
              <w:rPr>
                <w:rFonts w:cs="Times New Roman"/>
                <w:szCs w:val="24"/>
              </w:rPr>
              <w:t>0.9649</w:t>
            </w:r>
          </w:p>
        </w:tc>
        <w:tc>
          <w:tcPr>
            <w:tcW w:w="1234" w:type="dxa"/>
            <w:vAlign w:val="center"/>
          </w:tcPr>
          <w:p w14:paraId="5F1B9A7C" w14:textId="77777777" w:rsidR="00462E8D" w:rsidRDefault="00A329B3">
            <w:pPr>
              <w:rPr>
                <w:rFonts w:cs="Times New Roman"/>
                <w:szCs w:val="24"/>
              </w:rPr>
            </w:pPr>
            <w:r>
              <w:rPr>
                <w:rFonts w:cs="Times New Roman"/>
                <w:szCs w:val="24"/>
              </w:rPr>
              <w:t>22.40</w:t>
            </w:r>
          </w:p>
        </w:tc>
        <w:tc>
          <w:tcPr>
            <w:tcW w:w="1234" w:type="dxa"/>
            <w:vAlign w:val="center"/>
          </w:tcPr>
          <w:p w14:paraId="41025E7D" w14:textId="77777777" w:rsidR="00462E8D" w:rsidRDefault="00A329B3">
            <w:pPr>
              <w:rPr>
                <w:rFonts w:cs="Times New Roman"/>
                <w:szCs w:val="24"/>
              </w:rPr>
            </w:pPr>
            <w:r>
              <w:rPr>
                <w:rFonts w:cs="Times New Roman"/>
                <w:szCs w:val="24"/>
              </w:rPr>
              <w:t>0.2427</w:t>
            </w:r>
          </w:p>
        </w:tc>
        <w:tc>
          <w:tcPr>
            <w:tcW w:w="1234" w:type="dxa"/>
            <w:vAlign w:val="center"/>
          </w:tcPr>
          <w:p w14:paraId="12EFBA47" w14:textId="77777777" w:rsidR="00462E8D" w:rsidRDefault="00A329B3">
            <w:pPr>
              <w:rPr>
                <w:rFonts w:cs="Times New Roman"/>
                <w:szCs w:val="24"/>
              </w:rPr>
            </w:pPr>
            <w:r>
              <w:rPr>
                <w:rFonts w:cs="Times New Roman"/>
                <w:szCs w:val="24"/>
              </w:rPr>
              <w:t>0.9946</w:t>
            </w:r>
          </w:p>
        </w:tc>
        <w:tc>
          <w:tcPr>
            <w:tcW w:w="1234" w:type="dxa"/>
            <w:vAlign w:val="center"/>
          </w:tcPr>
          <w:p w14:paraId="11C9F99B" w14:textId="77777777" w:rsidR="00462E8D" w:rsidRDefault="00A329B3">
            <w:pPr>
              <w:rPr>
                <w:rFonts w:cs="Times New Roman"/>
                <w:szCs w:val="24"/>
              </w:rPr>
            </w:pPr>
            <w:r>
              <w:rPr>
                <w:rFonts w:cs="Times New Roman"/>
                <w:szCs w:val="24"/>
              </w:rPr>
              <w:t>24.19</w:t>
            </w:r>
          </w:p>
        </w:tc>
        <w:tc>
          <w:tcPr>
            <w:tcW w:w="1643" w:type="dxa"/>
            <w:vAlign w:val="center"/>
          </w:tcPr>
          <w:p w14:paraId="0C79718C" w14:textId="77777777" w:rsidR="00462E8D" w:rsidRDefault="00A329B3">
            <w:pPr>
              <w:rPr>
                <w:rFonts w:cs="Times New Roman"/>
                <w:szCs w:val="24"/>
              </w:rPr>
            </w:pPr>
            <w:r>
              <w:rPr>
                <w:rFonts w:cs="Times New Roman"/>
                <w:szCs w:val="24"/>
              </w:rPr>
              <w:t>0.01274</w:t>
            </w:r>
          </w:p>
        </w:tc>
      </w:tr>
      <w:tr w:rsidR="00462E8D" w14:paraId="631F1641" w14:textId="77777777">
        <w:trPr>
          <w:jc w:val="center"/>
        </w:trPr>
        <w:tc>
          <w:tcPr>
            <w:tcW w:w="1683" w:type="dxa"/>
            <w:vAlign w:val="center"/>
          </w:tcPr>
          <w:p w14:paraId="3C37FE27" w14:textId="77777777" w:rsidR="00462E8D" w:rsidRDefault="00A329B3">
            <w:pPr>
              <w:rPr>
                <w:rFonts w:cs="Times New Roman"/>
                <w:szCs w:val="24"/>
              </w:rPr>
            </w:pPr>
            <w:r>
              <w:rPr>
                <w:rFonts w:cs="Times New Roman"/>
                <w:szCs w:val="24"/>
              </w:rPr>
              <w:t>Picoxystrobin</w:t>
            </w:r>
          </w:p>
        </w:tc>
        <w:tc>
          <w:tcPr>
            <w:tcW w:w="1234" w:type="dxa"/>
            <w:vAlign w:val="center"/>
          </w:tcPr>
          <w:p w14:paraId="4B1DE978" w14:textId="77777777" w:rsidR="00462E8D" w:rsidRDefault="00A329B3">
            <w:pPr>
              <w:rPr>
                <w:rFonts w:cs="Times New Roman"/>
                <w:szCs w:val="24"/>
              </w:rPr>
            </w:pPr>
            <w:r>
              <w:rPr>
                <w:rFonts w:cs="Times New Roman"/>
                <w:szCs w:val="24"/>
              </w:rPr>
              <w:t>0.9772</w:t>
            </w:r>
          </w:p>
        </w:tc>
        <w:tc>
          <w:tcPr>
            <w:tcW w:w="1234" w:type="dxa"/>
            <w:vAlign w:val="center"/>
          </w:tcPr>
          <w:p w14:paraId="55928F7D" w14:textId="77777777" w:rsidR="00462E8D" w:rsidRDefault="00A329B3">
            <w:pPr>
              <w:rPr>
                <w:rFonts w:cs="Times New Roman"/>
                <w:szCs w:val="24"/>
              </w:rPr>
            </w:pPr>
            <w:r>
              <w:rPr>
                <w:rFonts w:cs="Times New Roman"/>
                <w:szCs w:val="24"/>
              </w:rPr>
              <w:t>20.27</w:t>
            </w:r>
          </w:p>
        </w:tc>
        <w:tc>
          <w:tcPr>
            <w:tcW w:w="1234" w:type="dxa"/>
            <w:vAlign w:val="center"/>
          </w:tcPr>
          <w:p w14:paraId="729781A7" w14:textId="77777777" w:rsidR="00462E8D" w:rsidRDefault="00A329B3">
            <w:pPr>
              <w:rPr>
                <w:rFonts w:cs="Times New Roman"/>
                <w:szCs w:val="24"/>
              </w:rPr>
            </w:pPr>
            <w:r>
              <w:rPr>
                <w:rFonts w:cs="Times New Roman"/>
                <w:szCs w:val="24"/>
              </w:rPr>
              <w:t>0.1531</w:t>
            </w:r>
          </w:p>
        </w:tc>
        <w:tc>
          <w:tcPr>
            <w:tcW w:w="1234" w:type="dxa"/>
            <w:vAlign w:val="center"/>
          </w:tcPr>
          <w:p w14:paraId="3955DC4E" w14:textId="77777777" w:rsidR="00462E8D" w:rsidRDefault="00A329B3">
            <w:pPr>
              <w:rPr>
                <w:rFonts w:cs="Times New Roman"/>
                <w:szCs w:val="24"/>
              </w:rPr>
            </w:pPr>
            <w:r>
              <w:rPr>
                <w:rFonts w:cs="Times New Roman"/>
                <w:szCs w:val="24"/>
              </w:rPr>
              <w:t>0.9994</w:t>
            </w:r>
          </w:p>
        </w:tc>
        <w:tc>
          <w:tcPr>
            <w:tcW w:w="1234" w:type="dxa"/>
            <w:vAlign w:val="center"/>
          </w:tcPr>
          <w:p w14:paraId="2DF160E6" w14:textId="77777777" w:rsidR="00462E8D" w:rsidRDefault="00A329B3">
            <w:pPr>
              <w:rPr>
                <w:rFonts w:cs="Times New Roman"/>
                <w:szCs w:val="24"/>
              </w:rPr>
            </w:pPr>
            <w:r>
              <w:rPr>
                <w:rFonts w:cs="Times New Roman"/>
                <w:szCs w:val="24"/>
              </w:rPr>
              <w:t>22.55</w:t>
            </w:r>
          </w:p>
        </w:tc>
        <w:tc>
          <w:tcPr>
            <w:tcW w:w="1643" w:type="dxa"/>
            <w:vAlign w:val="center"/>
          </w:tcPr>
          <w:p w14:paraId="201F12C0" w14:textId="77777777" w:rsidR="00462E8D" w:rsidRDefault="00A329B3">
            <w:pPr>
              <w:rPr>
                <w:rFonts w:cs="Times New Roman"/>
                <w:szCs w:val="24"/>
              </w:rPr>
            </w:pPr>
            <w:r>
              <w:rPr>
                <w:rFonts w:cs="Times New Roman"/>
                <w:szCs w:val="24"/>
              </w:rPr>
              <w:t>0.00828</w:t>
            </w:r>
          </w:p>
        </w:tc>
      </w:tr>
      <w:tr w:rsidR="00462E8D" w14:paraId="351EEACD" w14:textId="77777777">
        <w:trPr>
          <w:jc w:val="center"/>
        </w:trPr>
        <w:tc>
          <w:tcPr>
            <w:tcW w:w="1683" w:type="dxa"/>
            <w:vAlign w:val="center"/>
          </w:tcPr>
          <w:p w14:paraId="3AA5B8E5" w14:textId="77777777" w:rsidR="00462E8D" w:rsidRDefault="00A329B3">
            <w:pPr>
              <w:rPr>
                <w:rFonts w:cs="Times New Roman"/>
                <w:szCs w:val="24"/>
              </w:rPr>
            </w:pPr>
            <w:proofErr w:type="spellStart"/>
            <w:r>
              <w:rPr>
                <w:rFonts w:cs="Times New Roman"/>
                <w:szCs w:val="24"/>
              </w:rPr>
              <w:t>Fluoxastrobin</w:t>
            </w:r>
            <w:proofErr w:type="spellEnd"/>
          </w:p>
        </w:tc>
        <w:tc>
          <w:tcPr>
            <w:tcW w:w="1234" w:type="dxa"/>
            <w:vAlign w:val="center"/>
          </w:tcPr>
          <w:p w14:paraId="02B2F7A5" w14:textId="77777777" w:rsidR="00462E8D" w:rsidRDefault="00A329B3">
            <w:pPr>
              <w:rPr>
                <w:rFonts w:cs="Times New Roman"/>
                <w:szCs w:val="24"/>
              </w:rPr>
            </w:pPr>
            <w:r>
              <w:rPr>
                <w:rFonts w:cs="Times New Roman"/>
                <w:szCs w:val="24"/>
              </w:rPr>
              <w:t>0.9717</w:t>
            </w:r>
          </w:p>
        </w:tc>
        <w:tc>
          <w:tcPr>
            <w:tcW w:w="1234" w:type="dxa"/>
            <w:vAlign w:val="center"/>
          </w:tcPr>
          <w:p w14:paraId="26D32F3D" w14:textId="77777777" w:rsidR="00462E8D" w:rsidRDefault="00A329B3">
            <w:pPr>
              <w:rPr>
                <w:rFonts w:cs="Times New Roman"/>
                <w:szCs w:val="24"/>
              </w:rPr>
            </w:pPr>
            <w:r>
              <w:rPr>
                <w:rFonts w:cs="Times New Roman"/>
                <w:szCs w:val="24"/>
              </w:rPr>
              <w:t>18.05</w:t>
            </w:r>
          </w:p>
        </w:tc>
        <w:tc>
          <w:tcPr>
            <w:tcW w:w="1234" w:type="dxa"/>
            <w:vAlign w:val="center"/>
          </w:tcPr>
          <w:p w14:paraId="0EC7F6C8" w14:textId="77777777" w:rsidR="00462E8D" w:rsidRDefault="00A329B3">
            <w:pPr>
              <w:rPr>
                <w:rFonts w:cs="Times New Roman"/>
                <w:szCs w:val="24"/>
              </w:rPr>
            </w:pPr>
            <w:r>
              <w:rPr>
                <w:rFonts w:cs="Times New Roman"/>
                <w:szCs w:val="24"/>
              </w:rPr>
              <w:t>0.1832</w:t>
            </w:r>
          </w:p>
        </w:tc>
        <w:tc>
          <w:tcPr>
            <w:tcW w:w="1234" w:type="dxa"/>
            <w:vAlign w:val="center"/>
          </w:tcPr>
          <w:p w14:paraId="285302F1" w14:textId="77777777" w:rsidR="00462E8D" w:rsidRDefault="00A329B3">
            <w:pPr>
              <w:rPr>
                <w:rFonts w:cs="Times New Roman"/>
                <w:szCs w:val="24"/>
              </w:rPr>
            </w:pPr>
            <w:r>
              <w:rPr>
                <w:rFonts w:cs="Times New Roman"/>
                <w:szCs w:val="24"/>
              </w:rPr>
              <w:t>0.9982</w:t>
            </w:r>
          </w:p>
        </w:tc>
        <w:tc>
          <w:tcPr>
            <w:tcW w:w="1234" w:type="dxa"/>
            <w:vAlign w:val="center"/>
          </w:tcPr>
          <w:p w14:paraId="13A49871" w14:textId="77777777" w:rsidR="00462E8D" w:rsidRDefault="00A329B3">
            <w:pPr>
              <w:rPr>
                <w:rFonts w:cs="Times New Roman"/>
                <w:szCs w:val="24"/>
              </w:rPr>
            </w:pPr>
            <w:r>
              <w:rPr>
                <w:rFonts w:cs="Times New Roman"/>
                <w:szCs w:val="24"/>
              </w:rPr>
              <w:t>19.87</w:t>
            </w:r>
          </w:p>
        </w:tc>
        <w:tc>
          <w:tcPr>
            <w:tcW w:w="1643" w:type="dxa"/>
            <w:vAlign w:val="center"/>
          </w:tcPr>
          <w:p w14:paraId="2C78E611" w14:textId="77777777" w:rsidR="00462E8D" w:rsidRDefault="00A329B3">
            <w:pPr>
              <w:rPr>
                <w:rFonts w:cs="Times New Roman"/>
                <w:szCs w:val="24"/>
              </w:rPr>
            </w:pPr>
            <w:r>
              <w:rPr>
                <w:rFonts w:cs="Times New Roman"/>
                <w:szCs w:val="24"/>
              </w:rPr>
              <w:t>0.01124</w:t>
            </w:r>
          </w:p>
        </w:tc>
      </w:tr>
      <w:tr w:rsidR="00462E8D" w14:paraId="21F3B79F" w14:textId="77777777">
        <w:trPr>
          <w:jc w:val="center"/>
        </w:trPr>
        <w:tc>
          <w:tcPr>
            <w:tcW w:w="1683" w:type="dxa"/>
          </w:tcPr>
          <w:p w14:paraId="7E227F07" w14:textId="77777777" w:rsidR="00462E8D" w:rsidRDefault="00A329B3">
            <w:pPr>
              <w:rPr>
                <w:rFonts w:cs="Times New Roman"/>
                <w:szCs w:val="24"/>
              </w:rPr>
            </w:pPr>
            <w:proofErr w:type="spellStart"/>
            <w:r>
              <w:t>Enestroburin</w:t>
            </w:r>
            <w:proofErr w:type="spellEnd"/>
          </w:p>
        </w:tc>
        <w:tc>
          <w:tcPr>
            <w:tcW w:w="1234" w:type="dxa"/>
          </w:tcPr>
          <w:p w14:paraId="0C703777" w14:textId="77777777" w:rsidR="00462E8D" w:rsidRDefault="00A329B3">
            <w:pPr>
              <w:rPr>
                <w:rFonts w:cs="Times New Roman"/>
                <w:szCs w:val="24"/>
              </w:rPr>
            </w:pPr>
            <w:r>
              <w:t>0.9758</w:t>
            </w:r>
          </w:p>
        </w:tc>
        <w:tc>
          <w:tcPr>
            <w:tcW w:w="1234" w:type="dxa"/>
          </w:tcPr>
          <w:p w14:paraId="480C96E3" w14:textId="77777777" w:rsidR="00462E8D" w:rsidRDefault="00A329B3">
            <w:pPr>
              <w:rPr>
                <w:rFonts w:cs="Times New Roman"/>
                <w:szCs w:val="24"/>
              </w:rPr>
            </w:pPr>
            <w:r>
              <w:t>17.62</w:t>
            </w:r>
          </w:p>
        </w:tc>
        <w:tc>
          <w:tcPr>
            <w:tcW w:w="1234" w:type="dxa"/>
          </w:tcPr>
          <w:p w14:paraId="26056752" w14:textId="77777777" w:rsidR="00462E8D" w:rsidRDefault="00A329B3">
            <w:pPr>
              <w:rPr>
                <w:rFonts w:cs="Times New Roman"/>
                <w:szCs w:val="24"/>
              </w:rPr>
            </w:pPr>
            <w:r>
              <w:t>0.1765</w:t>
            </w:r>
          </w:p>
        </w:tc>
        <w:tc>
          <w:tcPr>
            <w:tcW w:w="1234" w:type="dxa"/>
          </w:tcPr>
          <w:p w14:paraId="38597AFF" w14:textId="77777777" w:rsidR="00462E8D" w:rsidRDefault="00A329B3">
            <w:pPr>
              <w:rPr>
                <w:rFonts w:cs="Times New Roman"/>
                <w:szCs w:val="24"/>
              </w:rPr>
            </w:pPr>
            <w:r>
              <w:t>0.9976</w:t>
            </w:r>
          </w:p>
        </w:tc>
        <w:tc>
          <w:tcPr>
            <w:tcW w:w="1234" w:type="dxa"/>
          </w:tcPr>
          <w:p w14:paraId="5BD06A0B" w14:textId="77777777" w:rsidR="00462E8D" w:rsidRDefault="00A329B3">
            <w:pPr>
              <w:rPr>
                <w:rFonts w:cs="Times New Roman"/>
                <w:szCs w:val="24"/>
              </w:rPr>
            </w:pPr>
            <w:r>
              <w:t>19.45</w:t>
            </w:r>
          </w:p>
        </w:tc>
        <w:tc>
          <w:tcPr>
            <w:tcW w:w="1643" w:type="dxa"/>
          </w:tcPr>
          <w:p w14:paraId="658106EE" w14:textId="77777777" w:rsidR="00462E8D" w:rsidRDefault="00A329B3">
            <w:pPr>
              <w:rPr>
                <w:rFonts w:cs="Times New Roman"/>
                <w:szCs w:val="24"/>
              </w:rPr>
            </w:pPr>
            <w:r>
              <w:t>0.01052</w:t>
            </w:r>
          </w:p>
        </w:tc>
      </w:tr>
    </w:tbl>
    <w:p w14:paraId="1DD81C77" w14:textId="77777777" w:rsidR="00462E8D" w:rsidRDefault="00462E8D">
      <w:pPr>
        <w:rPr>
          <w:rFonts w:cs="Times New Roman"/>
          <w:szCs w:val="24"/>
        </w:rPr>
      </w:pPr>
    </w:p>
    <w:p w14:paraId="06C8C292" w14:textId="77777777" w:rsidR="00462E8D" w:rsidRDefault="00462E8D">
      <w:pPr>
        <w:spacing w:after="200" w:line="276" w:lineRule="auto"/>
        <w:rPr>
          <w:rFonts w:eastAsia="宋体"/>
          <w:lang w:eastAsia="zh-CN"/>
        </w:rPr>
      </w:pPr>
    </w:p>
    <w:p w14:paraId="5EDD1D80" w14:textId="77777777" w:rsidR="00462E8D" w:rsidRDefault="00A329B3">
      <w:pPr>
        <w:spacing w:after="200" w:line="276" w:lineRule="auto"/>
        <w:rPr>
          <w:rFonts w:eastAsia="宋体"/>
          <w:lang w:eastAsia="zh-CN"/>
        </w:rPr>
      </w:pPr>
      <w:r>
        <w:rPr>
          <w:rFonts w:eastAsia="宋体"/>
          <w:lang w:eastAsia="zh-CN"/>
        </w:rPr>
        <w:br w:type="page"/>
      </w:r>
    </w:p>
    <w:p w14:paraId="63C195C2" w14:textId="77777777" w:rsidR="00462E8D" w:rsidRDefault="00A329B3">
      <w:pPr>
        <w:rPr>
          <w:rFonts w:eastAsia="宋体" w:cs="Times New Roman"/>
          <w:b/>
          <w:bCs/>
          <w:szCs w:val="24"/>
          <w:lang w:eastAsia="zh-CN"/>
        </w:rPr>
      </w:pPr>
      <w:bookmarkStart w:id="3" w:name="OLE_LINK1"/>
      <w:r>
        <w:rPr>
          <w:rFonts w:cs="Times New Roman" w:hint="eastAsia"/>
          <w:b/>
          <w:bCs/>
          <w:szCs w:val="24"/>
        </w:rPr>
        <w:lastRenderedPageBreak/>
        <w:t xml:space="preserve">Figure </w:t>
      </w:r>
      <w:r>
        <w:rPr>
          <w:rFonts w:cs="Times New Roman"/>
          <w:b/>
          <w:bCs/>
          <w:szCs w:val="24"/>
        </w:rPr>
        <w:t>Captions</w:t>
      </w:r>
      <w:bookmarkEnd w:id="3"/>
    </w:p>
    <w:p w14:paraId="149B20A6" w14:textId="77777777" w:rsidR="00462E8D" w:rsidRDefault="00A329B3">
      <w:pPr>
        <w:spacing w:after="200" w:line="276" w:lineRule="auto"/>
        <w:rPr>
          <w:rFonts w:eastAsia="宋体"/>
          <w:lang w:eastAsia="zh-CN"/>
        </w:rPr>
      </w:pPr>
      <w:r>
        <w:rPr>
          <w:rFonts w:eastAsia="宋体"/>
          <w:b/>
          <w:bCs/>
          <w:lang w:eastAsia="zh-CN"/>
        </w:rPr>
        <w:t>Fig. S1.</w:t>
      </w:r>
      <w:r>
        <w:rPr>
          <w:rFonts w:eastAsia="宋体"/>
          <w:lang w:eastAsia="zh-CN"/>
        </w:rPr>
        <w:t xml:space="preserve"> Optimization of the magnetic solid-phase extraction conditions for the six strobilurin fungicides using </w:t>
      </w:r>
      <w:proofErr w:type="spellStart"/>
      <w:r>
        <w:rPr>
          <w:rFonts w:eastAsia="宋体"/>
          <w:lang w:eastAsia="zh-CN"/>
        </w:rPr>
        <w:t>Fe₃O</w:t>
      </w:r>
      <w:proofErr w:type="spellEnd"/>
      <w:r>
        <w:rPr>
          <w:rFonts w:eastAsia="宋体"/>
          <w:lang w:eastAsia="zh-CN"/>
        </w:rPr>
        <w:t>₄@</w:t>
      </w:r>
      <w:proofErr w:type="spellStart"/>
      <w:r>
        <w:rPr>
          <w:rFonts w:eastAsia="宋体"/>
          <w:lang w:eastAsia="zh-CN"/>
        </w:rPr>
        <w:t>SiO</w:t>
      </w:r>
      <w:proofErr w:type="spellEnd"/>
      <w:r>
        <w:rPr>
          <w:rFonts w:eastAsia="宋体"/>
          <w:lang w:eastAsia="zh-CN"/>
        </w:rPr>
        <w:t>₂@MPS@MIP: (A) effect of adsorbent dosage; (B) effect of adsorption solution pH; (C) effect of adsorption time; (D) effect of desorption solvent composition; and (E) effect of desorption solvent volume on the recoveries of the six target analytes.</w:t>
      </w:r>
    </w:p>
    <w:p w14:paraId="1E404CBC" w14:textId="77777777" w:rsidR="00462E8D" w:rsidRDefault="00A329B3">
      <w:pPr>
        <w:spacing w:after="200" w:line="276" w:lineRule="auto"/>
        <w:rPr>
          <w:rFonts w:eastAsia="宋体"/>
          <w:lang w:eastAsia="zh-CN"/>
        </w:rPr>
      </w:pPr>
      <w:r>
        <w:rPr>
          <w:rFonts w:eastAsia="宋体"/>
          <w:b/>
          <w:bCs/>
          <w:lang w:eastAsia="zh-CN"/>
        </w:rPr>
        <w:t>Fig</w:t>
      </w:r>
      <w:r>
        <w:rPr>
          <w:rFonts w:eastAsia="宋体" w:hint="eastAsia"/>
          <w:b/>
          <w:bCs/>
          <w:lang w:eastAsia="zh-CN"/>
        </w:rPr>
        <w:t>.</w:t>
      </w:r>
      <w:r>
        <w:rPr>
          <w:rFonts w:eastAsia="宋体"/>
          <w:b/>
          <w:bCs/>
          <w:lang w:eastAsia="zh-CN"/>
        </w:rPr>
        <w:t xml:space="preserve"> S2.</w:t>
      </w:r>
      <w:r>
        <w:rPr>
          <w:rFonts w:eastAsia="宋体"/>
          <w:lang w:eastAsia="zh-CN"/>
        </w:rPr>
        <w:t xml:space="preserve"> Reusability of </w:t>
      </w:r>
      <w:proofErr w:type="spellStart"/>
      <w:r>
        <w:rPr>
          <w:rFonts w:eastAsia="宋体"/>
          <w:lang w:eastAsia="zh-CN"/>
        </w:rPr>
        <w:t>Fe₃O</w:t>
      </w:r>
      <w:proofErr w:type="spellEnd"/>
      <w:r>
        <w:rPr>
          <w:rFonts w:eastAsia="宋体"/>
          <w:lang w:eastAsia="zh-CN"/>
        </w:rPr>
        <w:t>₄@</w:t>
      </w:r>
      <w:proofErr w:type="spellStart"/>
      <w:r>
        <w:rPr>
          <w:rFonts w:eastAsia="宋体"/>
          <w:lang w:eastAsia="zh-CN"/>
        </w:rPr>
        <w:t>SiO</w:t>
      </w:r>
      <w:proofErr w:type="spellEnd"/>
      <w:r>
        <w:rPr>
          <w:rFonts w:eastAsia="宋体"/>
          <w:lang w:eastAsia="zh-CN"/>
        </w:rPr>
        <w:t>₂@MPS@MIP for the extraction of six strobilurin fungicides over nine consecutive adsorption–desorption cycles.</w:t>
      </w:r>
    </w:p>
    <w:sectPr w:rsidR="00462E8D">
      <w:pgSz w:w="11906" w:h="16838"/>
      <w:pgMar w:top="720" w:right="1077" w:bottom="720" w:left="107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AE57D" w14:textId="77777777" w:rsidR="002C3D33" w:rsidRDefault="002C3D33">
      <w:r>
        <w:separator/>
      </w:r>
    </w:p>
  </w:endnote>
  <w:endnote w:type="continuationSeparator" w:id="0">
    <w:p w14:paraId="773738EA" w14:textId="77777777" w:rsidR="002C3D33" w:rsidRDefault="002C3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9FA4B" w14:textId="77777777" w:rsidR="002C3D33" w:rsidRDefault="002C3D33">
      <w:r>
        <w:separator/>
      </w:r>
    </w:p>
  </w:footnote>
  <w:footnote w:type="continuationSeparator" w:id="0">
    <w:p w14:paraId="362177F2" w14:textId="77777777" w:rsidR="002C3D33" w:rsidRDefault="002C3D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297609065">
    <w:abstractNumId w:val="1"/>
  </w:num>
  <w:num w:numId="2" w16cid:durableId="1957909966">
    <w:abstractNumId w:val="4"/>
  </w:num>
  <w:num w:numId="3" w16cid:durableId="1842156897">
    <w:abstractNumId w:val="5"/>
  </w:num>
  <w:num w:numId="4" w16cid:durableId="1443570031">
    <w:abstractNumId w:val="2"/>
  </w:num>
  <w:num w:numId="5" w16cid:durableId="1139883910">
    <w:abstractNumId w:val="0"/>
  </w:num>
  <w:num w:numId="6" w16cid:durableId="21318975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4681"/>
    <w:rsid w:val="00034616"/>
    <w:rsid w:val="0006063C"/>
    <w:rsid w:val="0007232F"/>
    <w:rsid w:val="00087A7B"/>
    <w:rsid w:val="00103A1F"/>
    <w:rsid w:val="00117E0D"/>
    <w:rsid w:val="0015074B"/>
    <w:rsid w:val="0019555D"/>
    <w:rsid w:val="001A3099"/>
    <w:rsid w:val="00200A5D"/>
    <w:rsid w:val="00213627"/>
    <w:rsid w:val="002418E7"/>
    <w:rsid w:val="00241D1A"/>
    <w:rsid w:val="002428FA"/>
    <w:rsid w:val="002534EC"/>
    <w:rsid w:val="00275AD8"/>
    <w:rsid w:val="0029119C"/>
    <w:rsid w:val="0029639D"/>
    <w:rsid w:val="002A50BF"/>
    <w:rsid w:val="002C3D33"/>
    <w:rsid w:val="00326F90"/>
    <w:rsid w:val="00337A8A"/>
    <w:rsid w:val="00374DC0"/>
    <w:rsid w:val="00386635"/>
    <w:rsid w:val="003A431C"/>
    <w:rsid w:val="003C122B"/>
    <w:rsid w:val="003F5D88"/>
    <w:rsid w:val="004035AE"/>
    <w:rsid w:val="004217F4"/>
    <w:rsid w:val="00422F19"/>
    <w:rsid w:val="004420A7"/>
    <w:rsid w:val="00462E8D"/>
    <w:rsid w:val="00464CF6"/>
    <w:rsid w:val="004B302D"/>
    <w:rsid w:val="004C0334"/>
    <w:rsid w:val="004D64DD"/>
    <w:rsid w:val="005B43EA"/>
    <w:rsid w:val="005C229B"/>
    <w:rsid w:val="005D3F57"/>
    <w:rsid w:val="005E1F60"/>
    <w:rsid w:val="00601FA2"/>
    <w:rsid w:val="00613B61"/>
    <w:rsid w:val="0061756A"/>
    <w:rsid w:val="00621176"/>
    <w:rsid w:val="00623525"/>
    <w:rsid w:val="00645F69"/>
    <w:rsid w:val="00646721"/>
    <w:rsid w:val="0066046E"/>
    <w:rsid w:val="00696358"/>
    <w:rsid w:val="006D27E8"/>
    <w:rsid w:val="006E3BD4"/>
    <w:rsid w:val="006F13F6"/>
    <w:rsid w:val="00702EBF"/>
    <w:rsid w:val="007351B5"/>
    <w:rsid w:val="0073710D"/>
    <w:rsid w:val="00804E61"/>
    <w:rsid w:val="008169D2"/>
    <w:rsid w:val="00832CE1"/>
    <w:rsid w:val="00997E11"/>
    <w:rsid w:val="009B7B40"/>
    <w:rsid w:val="00A2095F"/>
    <w:rsid w:val="00A329B3"/>
    <w:rsid w:val="00A43C35"/>
    <w:rsid w:val="00A44E74"/>
    <w:rsid w:val="00A56ED3"/>
    <w:rsid w:val="00A92D10"/>
    <w:rsid w:val="00AA1D8D"/>
    <w:rsid w:val="00AA580D"/>
    <w:rsid w:val="00AB5E7C"/>
    <w:rsid w:val="00AF5899"/>
    <w:rsid w:val="00B458CA"/>
    <w:rsid w:val="00B47730"/>
    <w:rsid w:val="00BB1D66"/>
    <w:rsid w:val="00BD7BB7"/>
    <w:rsid w:val="00C4284C"/>
    <w:rsid w:val="00CB0664"/>
    <w:rsid w:val="00CC069C"/>
    <w:rsid w:val="00CE32AA"/>
    <w:rsid w:val="00CE71F9"/>
    <w:rsid w:val="00D50159"/>
    <w:rsid w:val="00D65C35"/>
    <w:rsid w:val="00D66919"/>
    <w:rsid w:val="00D924F3"/>
    <w:rsid w:val="00DA705B"/>
    <w:rsid w:val="00E46488"/>
    <w:rsid w:val="00F04E32"/>
    <w:rsid w:val="00F301DD"/>
    <w:rsid w:val="00F56CBA"/>
    <w:rsid w:val="00F87685"/>
    <w:rsid w:val="00F9156A"/>
    <w:rsid w:val="00FC693F"/>
    <w:rsid w:val="00FE768A"/>
    <w:rsid w:val="521B6C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217F443"/>
  <w14:defaultImageDpi w14:val="300"/>
  <w15:docId w15:val="{EADCC0F5-1BF2-42DB-AE52-DAE3F484B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lsdException w:name="List Bullet" w:unhideWhenUsed="1"/>
    <w:lsdException w:name="List Number"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unhideWhenUsed="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nhideWhenUsed="1"/>
    <w:lsdException w:name="Body Text Indent" w:semiHidden="1" w:unhideWhenUsed="1"/>
    <w:lsdException w:name="List Continue" w:unhideWhenUsed="1"/>
    <w:lsdException w:name="List Continue 2" w:unhideWhenUsed="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Pr>
      <w:rFonts w:ascii="Times New Roman" w:eastAsia="Times New Roman" w:hAnsi="Times New Roman"/>
      <w:sz w:val="24"/>
      <w:szCs w:val="22"/>
      <w:lang w:eastAsia="en-US"/>
    </w:rPr>
  </w:style>
  <w:style w:type="paragraph" w:styleId="1">
    <w:name w:val="heading 1"/>
    <w:basedOn w:val="a1"/>
    <w:next w:val="a1"/>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paragraph" w:styleId="33">
    <w:name w:val="List 3"/>
    <w:basedOn w:val="a1"/>
    <w:uiPriority w:val="99"/>
    <w:unhideWhenUsed/>
    <w:pPr>
      <w:ind w:left="1080" w:hanging="360"/>
      <w:contextualSpacing/>
    </w:pPr>
  </w:style>
  <w:style w:type="paragraph" w:styleId="2">
    <w:name w:val="List Number 2"/>
    <w:basedOn w:val="a1"/>
    <w:uiPriority w:val="99"/>
    <w:unhideWhenUsed/>
    <w:pPr>
      <w:numPr>
        <w:numId w:val="1"/>
      </w:numPr>
      <w:contextualSpacing/>
    </w:pPr>
  </w:style>
  <w:style w:type="paragraph" w:styleId="a">
    <w:name w:val="List Number"/>
    <w:basedOn w:val="a1"/>
    <w:uiPriority w:val="99"/>
    <w:unhideWhenUsed/>
    <w:pPr>
      <w:numPr>
        <w:numId w:val="2"/>
      </w:numPr>
      <w:contextualSpacing/>
    </w:pPr>
  </w:style>
  <w:style w:type="paragraph" w:styleId="a7">
    <w:name w:val="caption"/>
    <w:basedOn w:val="a1"/>
    <w:next w:val="a1"/>
    <w:uiPriority w:val="35"/>
    <w:semiHidden/>
    <w:unhideWhenUsed/>
    <w:qFormat/>
    <w:rPr>
      <w:b/>
      <w:bCs/>
      <w:color w:val="4F81BD" w:themeColor="accent1"/>
      <w:sz w:val="18"/>
      <w:szCs w:val="18"/>
    </w:rPr>
  </w:style>
  <w:style w:type="paragraph" w:styleId="a0">
    <w:name w:val="List Bullet"/>
    <w:basedOn w:val="a1"/>
    <w:uiPriority w:val="99"/>
    <w:unhideWhenUsed/>
    <w:pPr>
      <w:numPr>
        <w:numId w:val="3"/>
      </w:numPr>
      <w:contextualSpacing/>
    </w:pPr>
  </w:style>
  <w:style w:type="paragraph" w:styleId="a8">
    <w:name w:val="annotation text"/>
    <w:basedOn w:val="a1"/>
    <w:link w:val="a9"/>
    <w:uiPriority w:val="99"/>
    <w:semiHidden/>
    <w:unhideWhenUsed/>
  </w:style>
  <w:style w:type="paragraph" w:styleId="34">
    <w:name w:val="Body Text 3"/>
    <w:basedOn w:val="a1"/>
    <w:link w:val="35"/>
    <w:uiPriority w:val="99"/>
    <w:unhideWhenUsed/>
    <w:pPr>
      <w:spacing w:after="120"/>
    </w:pPr>
    <w:rPr>
      <w:sz w:val="16"/>
      <w:szCs w:val="16"/>
    </w:rPr>
  </w:style>
  <w:style w:type="paragraph" w:styleId="30">
    <w:name w:val="List Bullet 3"/>
    <w:basedOn w:val="a1"/>
    <w:uiPriority w:val="99"/>
    <w:unhideWhenUsed/>
    <w:pPr>
      <w:numPr>
        <w:numId w:val="4"/>
      </w:numPr>
      <w:contextualSpacing/>
    </w:pPr>
  </w:style>
  <w:style w:type="paragraph" w:styleId="aa">
    <w:name w:val="Body Text"/>
    <w:basedOn w:val="a1"/>
    <w:link w:val="ab"/>
    <w:uiPriority w:val="99"/>
    <w:unhideWhenUsed/>
    <w:pPr>
      <w:spacing w:after="120"/>
    </w:pPr>
  </w:style>
  <w:style w:type="paragraph" w:styleId="3">
    <w:name w:val="List Number 3"/>
    <w:basedOn w:val="a1"/>
    <w:uiPriority w:val="99"/>
    <w:unhideWhenUsed/>
    <w:pPr>
      <w:numPr>
        <w:numId w:val="5"/>
      </w:numPr>
      <w:contextualSpacing/>
    </w:pPr>
  </w:style>
  <w:style w:type="paragraph" w:styleId="23">
    <w:name w:val="List 2"/>
    <w:basedOn w:val="a1"/>
    <w:uiPriority w:val="99"/>
    <w:unhideWhenUsed/>
    <w:pPr>
      <w:ind w:left="720" w:hanging="360"/>
      <w:contextualSpacing/>
    </w:pPr>
  </w:style>
  <w:style w:type="paragraph" w:styleId="ac">
    <w:name w:val="List Continue"/>
    <w:basedOn w:val="a1"/>
    <w:uiPriority w:val="99"/>
    <w:unhideWhenUsed/>
    <w:pPr>
      <w:spacing w:after="120"/>
      <w:ind w:left="360"/>
      <w:contextualSpacing/>
    </w:pPr>
  </w:style>
  <w:style w:type="paragraph" w:styleId="20">
    <w:name w:val="List Bullet 2"/>
    <w:basedOn w:val="a1"/>
    <w:uiPriority w:val="99"/>
    <w:unhideWhenUsed/>
    <w:pPr>
      <w:numPr>
        <w:numId w:val="6"/>
      </w:numPr>
      <w:contextualSpacing/>
    </w:pPr>
  </w:style>
  <w:style w:type="paragraph" w:styleId="ad">
    <w:name w:val="footer"/>
    <w:basedOn w:val="a1"/>
    <w:link w:val="ae"/>
    <w:uiPriority w:val="99"/>
    <w:unhideWhenUsed/>
    <w:pPr>
      <w:tabs>
        <w:tab w:val="center" w:pos="4680"/>
        <w:tab w:val="right" w:pos="9360"/>
      </w:tabs>
    </w:pPr>
  </w:style>
  <w:style w:type="paragraph" w:styleId="af">
    <w:name w:val="header"/>
    <w:basedOn w:val="a1"/>
    <w:link w:val="af0"/>
    <w:uiPriority w:val="99"/>
    <w:unhideWhenUsed/>
    <w:pPr>
      <w:tabs>
        <w:tab w:val="center" w:pos="4680"/>
        <w:tab w:val="right" w:pos="9360"/>
      </w:tabs>
    </w:pPr>
  </w:style>
  <w:style w:type="paragraph" w:styleId="af1">
    <w:name w:val="Subtitle"/>
    <w:basedOn w:val="a1"/>
    <w:next w:val="a1"/>
    <w:link w:val="af2"/>
    <w:uiPriority w:val="11"/>
    <w:qFormat/>
    <w:rPr>
      <w:rFonts w:asciiTheme="majorHAnsi" w:eastAsiaTheme="majorEastAsia" w:hAnsiTheme="majorHAnsi" w:cstheme="majorBidi"/>
      <w:i/>
      <w:iCs/>
      <w:color w:val="4F81BD" w:themeColor="accent1"/>
      <w:spacing w:val="15"/>
      <w:szCs w:val="24"/>
    </w:rPr>
  </w:style>
  <w:style w:type="paragraph" w:styleId="af3">
    <w:name w:val="List"/>
    <w:basedOn w:val="a1"/>
    <w:uiPriority w:val="99"/>
    <w:unhideWhenUsed/>
    <w:pPr>
      <w:ind w:left="360" w:hanging="360"/>
      <w:contextualSpacing/>
    </w:pPr>
  </w:style>
  <w:style w:type="paragraph" w:styleId="24">
    <w:name w:val="Body Text 2"/>
    <w:basedOn w:val="a1"/>
    <w:link w:val="25"/>
    <w:uiPriority w:val="99"/>
    <w:unhideWhenUsed/>
    <w:pPr>
      <w:spacing w:after="120" w:line="480" w:lineRule="auto"/>
    </w:pPr>
  </w:style>
  <w:style w:type="paragraph" w:styleId="26">
    <w:name w:val="List Continue 2"/>
    <w:basedOn w:val="a1"/>
    <w:uiPriority w:val="99"/>
    <w:unhideWhenUsed/>
    <w:pPr>
      <w:spacing w:after="120"/>
      <w:ind w:left="720"/>
      <w:contextualSpacing/>
    </w:pPr>
  </w:style>
  <w:style w:type="paragraph" w:styleId="36">
    <w:name w:val="List Continue 3"/>
    <w:basedOn w:val="a1"/>
    <w:uiPriority w:val="99"/>
    <w:unhideWhenUsed/>
    <w:pPr>
      <w:spacing w:after="120"/>
      <w:ind w:left="1080"/>
      <w:contextualSpacing/>
    </w:pPr>
  </w:style>
  <w:style w:type="paragraph" w:styleId="af4">
    <w:name w:val="Title"/>
    <w:basedOn w:val="a1"/>
    <w:next w:val="a1"/>
    <w:link w:val="af5"/>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f6">
    <w:name w:val="annotation subject"/>
    <w:basedOn w:val="a8"/>
    <w:next w:val="a8"/>
    <w:link w:val="af7"/>
    <w:uiPriority w:val="99"/>
    <w:semiHidden/>
    <w:unhideWhenUsed/>
    <w:rPr>
      <w:b/>
      <w:bCs/>
    </w:rPr>
  </w:style>
  <w:style w:type="table" w:styleId="af8">
    <w:name w:val="Table Grid"/>
    <w:basedOn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Light Shading"/>
    <w:basedOn w:val="a3"/>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a">
    <w:name w:val="Light List"/>
    <w:basedOn w:val="a3"/>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b">
    <w:name w:val="Light Grid"/>
    <w:basedOn w:val="a3"/>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c">
    <w:name w:val="Dark List"/>
    <w:basedOn w:val="a3"/>
    <w:uiPriority w:val="70"/>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d">
    <w:name w:val="Colorful Shading"/>
    <w:basedOn w:val="a3"/>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e">
    <w:name w:val="Colorful List"/>
    <w:basedOn w:val="a3"/>
    <w:uiPriority w:val="7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
    <w:name w:val="Colorful Grid"/>
    <w:basedOn w:val="a3"/>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0">
    <w:name w:val="Strong"/>
    <w:basedOn w:val="a2"/>
    <w:uiPriority w:val="22"/>
    <w:qFormat/>
    <w:rPr>
      <w:b/>
      <w:bCs/>
    </w:rPr>
  </w:style>
  <w:style w:type="character" w:styleId="aff1">
    <w:name w:val="Emphasis"/>
    <w:basedOn w:val="a2"/>
    <w:uiPriority w:val="20"/>
    <w:qFormat/>
    <w:rPr>
      <w:i/>
      <w:iCs/>
    </w:rPr>
  </w:style>
  <w:style w:type="character" w:styleId="aff2">
    <w:name w:val="annotation reference"/>
    <w:basedOn w:val="a2"/>
    <w:uiPriority w:val="99"/>
    <w:semiHidden/>
    <w:unhideWhenUsed/>
    <w:rPr>
      <w:sz w:val="21"/>
      <w:szCs w:val="21"/>
    </w:rPr>
  </w:style>
  <w:style w:type="character" w:customStyle="1" w:styleId="af0">
    <w:name w:val="页眉 字符"/>
    <w:basedOn w:val="a2"/>
    <w:link w:val="af"/>
    <w:uiPriority w:val="99"/>
  </w:style>
  <w:style w:type="character" w:customStyle="1" w:styleId="ae">
    <w:name w:val="页脚 字符"/>
    <w:basedOn w:val="a2"/>
    <w:link w:val="ad"/>
    <w:uiPriority w:val="99"/>
  </w:style>
  <w:style w:type="paragraph" w:styleId="aff3">
    <w:name w:val="No Spacing"/>
    <w:uiPriority w:val="1"/>
    <w:qFormat/>
    <w:rPr>
      <w:sz w:val="22"/>
      <w:szCs w:val="22"/>
      <w:lang w:eastAsia="en-US"/>
    </w:rPr>
  </w:style>
  <w:style w:type="character" w:customStyle="1" w:styleId="10">
    <w:name w:val="标题 1 字符"/>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Pr>
      <w:rFonts w:asciiTheme="majorHAnsi" w:eastAsiaTheme="majorEastAsia" w:hAnsiTheme="majorHAnsi" w:cstheme="majorBidi"/>
      <w:b/>
      <w:bCs/>
      <w:color w:val="4F81BD" w:themeColor="accent1"/>
    </w:rPr>
  </w:style>
  <w:style w:type="character" w:customStyle="1" w:styleId="af5">
    <w:name w:val="标题 字符"/>
    <w:basedOn w:val="a2"/>
    <w:link w:val="af4"/>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af2">
    <w:name w:val="副标题 字符"/>
    <w:basedOn w:val="a2"/>
    <w:link w:val="af1"/>
    <w:uiPriority w:val="11"/>
    <w:rPr>
      <w:rFonts w:asciiTheme="majorHAnsi" w:eastAsiaTheme="majorEastAsia" w:hAnsiTheme="majorHAnsi" w:cstheme="majorBidi"/>
      <w:i/>
      <w:iCs/>
      <w:color w:val="4F81BD" w:themeColor="accent1"/>
      <w:spacing w:val="15"/>
      <w:sz w:val="24"/>
      <w:szCs w:val="24"/>
    </w:rPr>
  </w:style>
  <w:style w:type="paragraph" w:styleId="aff4">
    <w:name w:val="List Paragraph"/>
    <w:basedOn w:val="a1"/>
    <w:uiPriority w:val="34"/>
    <w:qFormat/>
    <w:pPr>
      <w:ind w:left="720"/>
      <w:contextualSpacing/>
    </w:pPr>
  </w:style>
  <w:style w:type="character" w:customStyle="1" w:styleId="ab">
    <w:name w:val="正文文本 字符"/>
    <w:basedOn w:val="a2"/>
    <w:link w:val="aa"/>
    <w:uiPriority w:val="99"/>
  </w:style>
  <w:style w:type="character" w:customStyle="1" w:styleId="25">
    <w:name w:val="正文文本 2 字符"/>
    <w:basedOn w:val="a2"/>
    <w:link w:val="24"/>
    <w:uiPriority w:val="99"/>
  </w:style>
  <w:style w:type="character" w:customStyle="1" w:styleId="35">
    <w:name w:val="正文文本 3 字符"/>
    <w:basedOn w:val="a2"/>
    <w:link w:val="34"/>
    <w:uiPriority w:val="99"/>
    <w:rPr>
      <w:sz w:val="16"/>
      <w:szCs w:val="16"/>
    </w:rPr>
  </w:style>
  <w:style w:type="character" w:customStyle="1" w:styleId="a6">
    <w:name w:val="宏文本 字符"/>
    <w:basedOn w:val="a2"/>
    <w:link w:val="a5"/>
    <w:uiPriority w:val="99"/>
    <w:rPr>
      <w:rFonts w:ascii="Courier" w:hAnsi="Courier"/>
      <w:sz w:val="20"/>
      <w:szCs w:val="20"/>
    </w:rPr>
  </w:style>
  <w:style w:type="paragraph" w:styleId="aff5">
    <w:name w:val="Quote"/>
    <w:basedOn w:val="a1"/>
    <w:next w:val="a1"/>
    <w:link w:val="aff6"/>
    <w:uiPriority w:val="29"/>
    <w:qFormat/>
    <w:rPr>
      <w:i/>
      <w:iCs/>
      <w:color w:val="000000" w:themeColor="text1"/>
    </w:rPr>
  </w:style>
  <w:style w:type="character" w:customStyle="1" w:styleId="aff6">
    <w:name w:val="引用 字符"/>
    <w:basedOn w:val="a2"/>
    <w:link w:val="aff5"/>
    <w:uiPriority w:val="29"/>
    <w:rPr>
      <w:i/>
      <w:iCs/>
      <w:color w:val="000000" w:themeColor="text1"/>
    </w:rPr>
  </w:style>
  <w:style w:type="character" w:customStyle="1" w:styleId="40">
    <w:name w:val="标题 4 字符"/>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f7">
    <w:name w:val="Intense Quote"/>
    <w:basedOn w:val="a1"/>
    <w:next w:val="a1"/>
    <w:link w:val="aff8"/>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8">
    <w:name w:val="明显引用 字符"/>
    <w:basedOn w:val="a2"/>
    <w:link w:val="aff7"/>
    <w:uiPriority w:val="30"/>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 w:type="character" w:customStyle="1" w:styleId="a9">
    <w:name w:val="批注文字 字符"/>
    <w:basedOn w:val="a2"/>
    <w:link w:val="a8"/>
    <w:uiPriority w:val="99"/>
    <w:semiHidden/>
    <w:rPr>
      <w:rFonts w:ascii="Times New Roman" w:eastAsia="Times New Roman" w:hAnsi="Times New Roman"/>
      <w:sz w:val="24"/>
    </w:rPr>
  </w:style>
  <w:style w:type="character" w:customStyle="1" w:styleId="af7">
    <w:name w:val="批注主题 字符"/>
    <w:basedOn w:val="a9"/>
    <w:link w:val="af6"/>
    <w:uiPriority w:val="99"/>
    <w:semiHidden/>
    <w:rPr>
      <w:rFonts w:ascii="Times New Roman" w:eastAsia="Times New Roman" w:hAnsi="Times New Roman"/>
      <w:b/>
      <w:bCs/>
      <w:sz w:val="24"/>
    </w:rPr>
  </w:style>
  <w:style w:type="paragraph" w:styleId="aff9">
    <w:name w:val="Balloon Text"/>
    <w:basedOn w:val="a1"/>
    <w:link w:val="affa"/>
    <w:uiPriority w:val="99"/>
    <w:semiHidden/>
    <w:unhideWhenUsed/>
    <w:rsid w:val="002A50BF"/>
    <w:rPr>
      <w:sz w:val="18"/>
      <w:szCs w:val="18"/>
    </w:rPr>
  </w:style>
  <w:style w:type="character" w:customStyle="1" w:styleId="affa">
    <w:name w:val="批注框文本 字符"/>
    <w:basedOn w:val="a2"/>
    <w:link w:val="aff9"/>
    <w:uiPriority w:val="99"/>
    <w:semiHidden/>
    <w:rsid w:val="002A50BF"/>
    <w:rPr>
      <w:rFonts w:ascii="Times New Roman" w:eastAsia="Times New Roman" w:hAnsi="Times New Roman"/>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76106-7C3A-4D69-BA82-96B8FAF1E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11</Pages>
  <Words>1863</Words>
  <Characters>10625</Characters>
  <Application>Microsoft Office Word</Application>
  <DocSecurity>0</DocSecurity>
  <Lines>88</Lines>
  <Paragraphs>24</Paragraphs>
  <ScaleCrop>false</ScaleCrop>
  <Company>神州网信技术有限公司</Company>
  <LinksUpToDate>false</LinksUpToDate>
  <CharactersWithSpaces>12464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美地 王</cp:lastModifiedBy>
  <cp:revision>67</cp:revision>
  <dcterms:created xsi:type="dcterms:W3CDTF">2026-07-31T02:04:00Z</dcterms:created>
  <dcterms:modified xsi:type="dcterms:W3CDTF">2026-09-23T09:11:00Z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eyJoZGlkIjoiODViY2JkMjU3NGYzZTEwMzZmMGFkZWViYmNkYWU3NDIiLCJ1c2VySWQiOiI4ODI4ODYyNTMifQ==</vt:lpwstr>
  </property>
  <property fmtid="{D5CDD505-2E9C-101B-9397-08002B2CF9AE}" pid="3" name="KSOProductBuildVer">
    <vt:lpwstr>2052-12.1.0.28505</vt:lpwstr>
  </property>
  <property fmtid="{D5CDD505-2E9C-101B-9397-08002B2CF9AE}" pid="4" name="ICV">
    <vt:lpwstr>19563CD0D3D74CD6BA102B4F328A98C6_12</vt:lpwstr>
  </property>
</Properties>
</file>