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C09E2" w14:textId="77777777" w:rsidR="00386A2C" w:rsidRDefault="00000000">
      <w:pPr>
        <w:widowControl w:val="0"/>
        <w:ind w:firstLineChars="0" w:firstLine="0"/>
        <w:rPr>
          <w:rFonts w:ascii="Palatino Linotype" w:eastAsia="宋体" w:hAnsi="Palatino Linotype"/>
          <w:bCs/>
          <w:sz w:val="18"/>
          <w:szCs w:val="18"/>
        </w:rPr>
      </w:pPr>
      <w:r>
        <w:rPr>
          <w:rFonts w:ascii="Palatino Linotype" w:eastAsia="宋体" w:hAnsi="Palatino Linotype"/>
          <w:bCs/>
          <w:noProof/>
          <w:sz w:val="18"/>
          <w:szCs w:val="18"/>
        </w:rPr>
        <w:drawing>
          <wp:inline distT="0" distB="0" distL="0" distR="0" wp14:anchorId="389147FB" wp14:editId="08F541E8">
            <wp:extent cx="5277993" cy="3287425"/>
            <wp:effectExtent l="0" t="0" r="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0647" cy="332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4082E" w14:textId="77777777" w:rsidR="00386A2C" w:rsidRDefault="00000000">
      <w:pPr>
        <w:widowControl w:val="0"/>
        <w:ind w:firstLineChars="0" w:firstLine="0"/>
        <w:jc w:val="both"/>
        <w:rPr>
          <w:rFonts w:ascii="Palatino Linotype" w:eastAsia="等线" w:hAnsi="Palatino Linotype"/>
          <w:kern w:val="2"/>
          <w:szCs w:val="21"/>
        </w:rPr>
      </w:pPr>
      <w:r>
        <w:rPr>
          <w:rFonts w:ascii="Palatino Linotype" w:eastAsia="等线" w:hAnsi="Palatino Linotype"/>
          <w:b/>
          <w:kern w:val="2"/>
          <w:szCs w:val="21"/>
        </w:rPr>
        <w:t>Figure S1.</w:t>
      </w:r>
      <w:r>
        <w:rPr>
          <w:rFonts w:ascii="Palatino Linotype" w:eastAsia="宋体" w:hAnsi="Palatino Linotype"/>
          <w:bCs/>
          <w:sz w:val="18"/>
          <w:szCs w:val="18"/>
        </w:rPr>
        <w:t xml:space="preserve"> </w:t>
      </w:r>
      <w:bookmarkStart w:id="0" w:name="_Hlk226035884"/>
      <w:r>
        <w:rPr>
          <w:rFonts w:ascii="Palatino Linotype" w:eastAsia="等线" w:hAnsi="Palatino Linotype"/>
          <w:kern w:val="2"/>
          <w:szCs w:val="21"/>
        </w:rPr>
        <w:t xml:space="preserve">Effects of simplified SynCom on tomato growth indexes. </w:t>
      </w:r>
      <w:r>
        <w:rPr>
          <w:rFonts w:ascii="Palatino Linotype" w:eastAsia="等线" w:hAnsi="Palatino Linotype" w:hint="eastAsia"/>
          <w:kern w:val="2"/>
          <w:szCs w:val="21"/>
        </w:rPr>
        <w:t>CK</w:t>
      </w:r>
      <w:r>
        <w:rPr>
          <w:rFonts w:ascii="Palatino Linotype" w:eastAsia="等线" w:hAnsi="Palatino Linotype"/>
          <w:kern w:val="2"/>
          <w:szCs w:val="21"/>
        </w:rPr>
        <w:t xml:space="preserve"> and SynCom </w:t>
      </w:r>
      <w:r>
        <w:rPr>
          <w:rFonts w:ascii="Palatino Linotype" w:eastAsia="等线" w:hAnsi="Palatino Linotype" w:hint="eastAsia"/>
          <w:kern w:val="2"/>
          <w:szCs w:val="21"/>
        </w:rPr>
        <w:t>re</w:t>
      </w:r>
      <w:r>
        <w:rPr>
          <w:rFonts w:ascii="Palatino Linotype" w:eastAsia="等线" w:hAnsi="Palatino Linotype"/>
          <w:kern w:val="2"/>
          <w:szCs w:val="21"/>
        </w:rPr>
        <w:t>presenting the treatments of non-inoculated and inoculated SynCom, respectively</w:t>
      </w:r>
      <w:bookmarkEnd w:id="0"/>
      <w:r>
        <w:rPr>
          <w:rFonts w:ascii="Palatino Linotype" w:eastAsia="等线" w:hAnsi="Palatino Linotype"/>
          <w:kern w:val="2"/>
          <w:szCs w:val="21"/>
        </w:rPr>
        <w:t>. A and B showing the morphology at the seedling and ripening stages, respectively.</w:t>
      </w:r>
      <w:r>
        <w:rPr>
          <w:rFonts w:ascii="Palatino Linotype" w:eastAsia="等线" w:hAnsi="Palatino Linotype"/>
          <w:kern w:val="2"/>
          <w:szCs w:val="21"/>
        </w:rPr>
        <w:br w:type="page"/>
      </w:r>
    </w:p>
    <w:p w14:paraId="708AA7D2" w14:textId="77777777" w:rsidR="00386A2C" w:rsidRDefault="00000000">
      <w:pPr>
        <w:widowControl w:val="0"/>
        <w:ind w:firstLineChars="0" w:firstLine="0"/>
        <w:rPr>
          <w:rFonts w:ascii="Palatino Linotype" w:eastAsia="等线" w:hAnsi="Palatino Linotype"/>
          <w:b/>
          <w:kern w:val="2"/>
          <w:szCs w:val="21"/>
        </w:rPr>
      </w:pPr>
      <w:r>
        <w:rPr>
          <w:rFonts w:ascii="Palatino Linotype" w:eastAsia="等线" w:hAnsi="Palatino Linotype"/>
          <w:b/>
          <w:noProof/>
          <w:kern w:val="2"/>
          <w:szCs w:val="21"/>
        </w:rPr>
        <w:lastRenderedPageBreak/>
        <w:drawing>
          <wp:inline distT="0" distB="0" distL="0" distR="0" wp14:anchorId="1AD9DC46" wp14:editId="66F2EFAF">
            <wp:extent cx="4022303" cy="493627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260" cy="494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EF67B" w14:textId="77777777" w:rsidR="002C3889" w:rsidRDefault="00000000" w:rsidP="002C3889">
      <w:pPr>
        <w:widowControl w:val="0"/>
        <w:ind w:firstLineChars="0" w:firstLine="0"/>
        <w:rPr>
          <w:rFonts w:ascii="等线" w:eastAsia="等线" w:hAnsi="等线" w:hint="eastAsia"/>
          <w:kern w:val="2"/>
          <w:sz w:val="18"/>
          <w:szCs w:val="18"/>
        </w:rPr>
      </w:pPr>
      <w:r>
        <w:rPr>
          <w:rFonts w:ascii="Palatino Linotype" w:eastAsia="等线" w:hAnsi="Palatino Linotype"/>
          <w:b/>
          <w:kern w:val="2"/>
          <w:szCs w:val="21"/>
        </w:rPr>
        <w:t>Figure S2.</w:t>
      </w:r>
      <w:r>
        <w:rPr>
          <w:rFonts w:ascii="Palatino Linotype" w:eastAsia="宋体" w:hAnsi="Palatino Linotype"/>
          <w:bCs/>
          <w:sz w:val="18"/>
          <w:szCs w:val="18"/>
        </w:rPr>
        <w:t xml:space="preserve"> </w:t>
      </w:r>
      <w:r>
        <w:rPr>
          <w:rFonts w:ascii="Palatino Linotype" w:eastAsia="等线" w:hAnsi="Palatino Linotype"/>
          <w:kern w:val="2"/>
          <w:szCs w:val="21"/>
        </w:rPr>
        <w:t>Co-occurrence networks of microbial communities under different treatments.</w:t>
      </w:r>
      <w:r>
        <w:rPr>
          <w:rFonts w:ascii="Palatino Linotype" w:eastAsia="等线" w:hAnsi="Palatino Linotype"/>
          <w:b/>
          <w:kern w:val="2"/>
          <w:sz w:val="20"/>
          <w:szCs w:val="20"/>
        </w:rPr>
        <w:br w:type="page"/>
      </w:r>
      <w:r w:rsidR="002C3889">
        <w:rPr>
          <w:rFonts w:ascii="Palatino Linotype" w:eastAsia="等线" w:hAnsi="Palatino Linotype"/>
          <w:b/>
          <w:kern w:val="2"/>
          <w:sz w:val="20"/>
          <w:szCs w:val="20"/>
        </w:rPr>
        <w:lastRenderedPageBreak/>
        <w:t>Table S1.</w:t>
      </w:r>
      <w:r w:rsidR="002C3889">
        <w:rPr>
          <w:rFonts w:ascii="Palatino Linotype" w:eastAsia="等线" w:hAnsi="Palatino Linotype"/>
          <w:kern w:val="2"/>
          <w:sz w:val="20"/>
          <w:szCs w:val="20"/>
        </w:rPr>
        <w:t xml:space="preserve"> </w:t>
      </w:r>
      <w:r w:rsidR="002C3889">
        <w:rPr>
          <w:rFonts w:ascii="Palatino Linotype" w:eastAsia="等线" w:hAnsi="Palatino Linotype" w:hint="eastAsia"/>
          <w:kern w:val="2"/>
          <w:sz w:val="20"/>
          <w:szCs w:val="20"/>
        </w:rPr>
        <w:t>E</w:t>
      </w:r>
      <w:r w:rsidR="002C3889">
        <w:rPr>
          <w:rFonts w:ascii="Palatino Linotype" w:eastAsia="宋体" w:hAnsi="Palatino Linotype"/>
          <w:bCs/>
          <w:sz w:val="20"/>
          <w:szCs w:val="20"/>
        </w:rPr>
        <w:t>ffects of SynCom on the yield and quality of tomato fruits</w:t>
      </w:r>
    </w:p>
    <w:tbl>
      <w:tblPr>
        <w:tblW w:w="3319" w:type="pct"/>
        <w:jc w:val="center"/>
        <w:tblLook w:val="04A0" w:firstRow="1" w:lastRow="0" w:firstColumn="1" w:lastColumn="0" w:noHBand="0" w:noVBand="1"/>
      </w:tblPr>
      <w:tblGrid>
        <w:gridCol w:w="1417"/>
        <w:gridCol w:w="1404"/>
        <w:gridCol w:w="1149"/>
        <w:gridCol w:w="1149"/>
        <w:gridCol w:w="1149"/>
        <w:gridCol w:w="1440"/>
        <w:gridCol w:w="1557"/>
      </w:tblGrid>
      <w:tr w:rsidR="002C3889" w14:paraId="56A0F023" w14:textId="77777777" w:rsidTr="00DF4890">
        <w:trPr>
          <w:trHeight w:val="256"/>
          <w:jc w:val="center"/>
        </w:trPr>
        <w:tc>
          <w:tcPr>
            <w:tcW w:w="765" w:type="pct"/>
            <w:tcBorders>
              <w:top w:val="single" w:sz="4" w:space="0" w:color="auto"/>
              <w:bottom w:val="single" w:sz="4" w:space="0" w:color="auto"/>
            </w:tcBorders>
          </w:tcPr>
          <w:p w14:paraId="2DD2A686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14:paraId="054B345B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 w:hint="eastAsia"/>
                <w:kern w:val="2"/>
                <w:sz w:val="18"/>
                <w:szCs w:val="18"/>
              </w:rPr>
              <w:t>Y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ield</w:t>
            </w:r>
            <w:r>
              <w:rPr>
                <w:rFonts w:ascii="Palatino Linotype" w:eastAsia="等线" w:hAnsi="Palatino Linotype" w:hint="eastAsia"/>
                <w:kern w:val="2"/>
                <w:sz w:val="18"/>
                <w:szCs w:val="18"/>
              </w:rPr>
              <w:t xml:space="preserve"> 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(ton/</w:t>
            </w:r>
            <w:r>
              <w:rPr>
                <w:rFonts w:ascii="Palatino Linotype" w:eastAsia="等线" w:hAnsi="Palatino Linotype" w:hint="eastAsia"/>
                <w:kern w:val="2"/>
                <w:sz w:val="18"/>
                <w:szCs w:val="18"/>
              </w:rPr>
              <w:t>h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a</w:t>
            </w:r>
            <w:r>
              <w:rPr>
                <w:rFonts w:ascii="Palatino Linotype" w:eastAsia="等线" w:hAnsi="Palatino Linotype" w:hint="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</w:tcPr>
          <w:p w14:paraId="31243A16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SS (%)</w:t>
            </w: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</w:tcPr>
          <w:p w14:paraId="55D52C37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SP (mg/g)</w:t>
            </w: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</w:tcPr>
          <w:p w14:paraId="6E0E2C18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TA (%)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14:paraId="30BE8710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Ly (mg/100g)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</w:tcPr>
          <w:p w14:paraId="18502B7C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VC (mg/g)</w:t>
            </w:r>
          </w:p>
        </w:tc>
      </w:tr>
      <w:tr w:rsidR="002C3889" w14:paraId="55E6AA72" w14:textId="77777777" w:rsidTr="00DF4890">
        <w:trPr>
          <w:trHeight w:val="263"/>
          <w:jc w:val="center"/>
        </w:trPr>
        <w:tc>
          <w:tcPr>
            <w:tcW w:w="765" w:type="pct"/>
            <w:tcBorders>
              <w:top w:val="single" w:sz="4" w:space="0" w:color="auto"/>
            </w:tcBorders>
          </w:tcPr>
          <w:p w14:paraId="7729627A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2CK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14:paraId="09B3D484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50.03±2.37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20" w:type="pct"/>
            <w:tcBorders>
              <w:top w:val="single" w:sz="4" w:space="0" w:color="auto"/>
            </w:tcBorders>
          </w:tcPr>
          <w:p w14:paraId="52EC7889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2.72±0.30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20" w:type="pct"/>
            <w:tcBorders>
              <w:top w:val="single" w:sz="4" w:space="0" w:color="auto"/>
            </w:tcBorders>
          </w:tcPr>
          <w:p w14:paraId="54D8FC88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0.11±0.01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20" w:type="pct"/>
            <w:tcBorders>
              <w:top w:val="single" w:sz="4" w:space="0" w:color="auto"/>
            </w:tcBorders>
          </w:tcPr>
          <w:p w14:paraId="235CC24D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0.66±0.10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77" w:type="pct"/>
            <w:tcBorders>
              <w:top w:val="single" w:sz="4" w:space="0" w:color="auto"/>
            </w:tcBorders>
          </w:tcPr>
          <w:p w14:paraId="3896D618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45.16±8.70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840" w:type="pct"/>
            <w:tcBorders>
              <w:top w:val="single" w:sz="4" w:space="0" w:color="auto"/>
            </w:tcBorders>
          </w:tcPr>
          <w:p w14:paraId="0DA0338F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0.36±0.16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b</w:t>
            </w:r>
          </w:p>
        </w:tc>
      </w:tr>
      <w:tr w:rsidR="002C3889" w14:paraId="6ED50D16" w14:textId="77777777" w:rsidTr="00DF4890">
        <w:trPr>
          <w:trHeight w:val="181"/>
          <w:jc w:val="center"/>
        </w:trPr>
        <w:tc>
          <w:tcPr>
            <w:tcW w:w="765" w:type="pct"/>
          </w:tcPr>
          <w:p w14:paraId="0D25CBC8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2SynCom</w:t>
            </w:r>
          </w:p>
        </w:tc>
        <w:tc>
          <w:tcPr>
            <w:tcW w:w="758" w:type="pct"/>
          </w:tcPr>
          <w:p w14:paraId="7E076E80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59.98±5.31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20" w:type="pct"/>
          </w:tcPr>
          <w:p w14:paraId="7E272333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4.49±0.25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20" w:type="pct"/>
          </w:tcPr>
          <w:p w14:paraId="3E7E61B9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0.12±0.01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20" w:type="pct"/>
          </w:tcPr>
          <w:p w14:paraId="1177DC56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0.49±0.03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77" w:type="pct"/>
          </w:tcPr>
          <w:p w14:paraId="3E4C98D2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82.06±12.56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840" w:type="pct"/>
          </w:tcPr>
          <w:p w14:paraId="1B8F985E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0.65±0.04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</w:tr>
      <w:tr w:rsidR="002C3889" w14:paraId="1F00242E" w14:textId="77777777" w:rsidTr="00DF4890">
        <w:trPr>
          <w:trHeight w:val="88"/>
          <w:jc w:val="center"/>
        </w:trPr>
        <w:tc>
          <w:tcPr>
            <w:tcW w:w="765" w:type="pct"/>
          </w:tcPr>
          <w:p w14:paraId="7E63F502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3CK</w:t>
            </w:r>
          </w:p>
        </w:tc>
        <w:tc>
          <w:tcPr>
            <w:tcW w:w="758" w:type="pct"/>
          </w:tcPr>
          <w:p w14:paraId="5BBB3CD8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56.07±4.97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20" w:type="pct"/>
          </w:tcPr>
          <w:p w14:paraId="391A12B2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6.00±0.44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20" w:type="pct"/>
          </w:tcPr>
          <w:p w14:paraId="384C038B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0.21±0.06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20" w:type="pct"/>
          </w:tcPr>
          <w:p w14:paraId="5730ACE8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0.57±0.07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77" w:type="pct"/>
          </w:tcPr>
          <w:p w14:paraId="01663014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62.91±3.45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840" w:type="pct"/>
          </w:tcPr>
          <w:p w14:paraId="484F230A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0.56±0.23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b</w:t>
            </w:r>
          </w:p>
        </w:tc>
      </w:tr>
      <w:tr w:rsidR="002C3889" w14:paraId="3FDAA696" w14:textId="77777777" w:rsidTr="00DF4890">
        <w:trPr>
          <w:trHeight w:val="293"/>
          <w:jc w:val="center"/>
        </w:trPr>
        <w:tc>
          <w:tcPr>
            <w:tcW w:w="765" w:type="pct"/>
          </w:tcPr>
          <w:p w14:paraId="6378CD14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3SynCom</w:t>
            </w:r>
          </w:p>
        </w:tc>
        <w:tc>
          <w:tcPr>
            <w:tcW w:w="758" w:type="pct"/>
          </w:tcPr>
          <w:p w14:paraId="2C606656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63.35±3.29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20" w:type="pct"/>
          </w:tcPr>
          <w:p w14:paraId="0942C491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8.96±0.18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20" w:type="pct"/>
          </w:tcPr>
          <w:p w14:paraId="617BA18D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0.37±0.03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20" w:type="pct"/>
          </w:tcPr>
          <w:p w14:paraId="5EF184DF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0.41±0.06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77" w:type="pct"/>
          </w:tcPr>
          <w:p w14:paraId="7283595E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88.24±3.07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840" w:type="pct"/>
          </w:tcPr>
          <w:p w14:paraId="34085CBE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1.25±0.10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</w:tr>
      <w:tr w:rsidR="002C3889" w14:paraId="7335BF1E" w14:textId="77777777" w:rsidTr="00DF4890">
        <w:trPr>
          <w:trHeight w:val="315"/>
          <w:jc w:val="center"/>
        </w:trPr>
        <w:tc>
          <w:tcPr>
            <w:tcW w:w="765" w:type="pct"/>
          </w:tcPr>
          <w:p w14:paraId="42359FDC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4CK</w:t>
            </w:r>
          </w:p>
        </w:tc>
        <w:tc>
          <w:tcPr>
            <w:tcW w:w="758" w:type="pct"/>
          </w:tcPr>
          <w:p w14:paraId="1E428CD2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46.62±3.21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20" w:type="pct"/>
          </w:tcPr>
          <w:p w14:paraId="7A211C38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2.52±0.14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20" w:type="pct"/>
          </w:tcPr>
          <w:p w14:paraId="63447891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0.24±0.03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20" w:type="pct"/>
          </w:tcPr>
          <w:p w14:paraId="54D245FD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0.44±0.05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77" w:type="pct"/>
          </w:tcPr>
          <w:p w14:paraId="21D3E9A8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62.43±9.99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840" w:type="pct"/>
          </w:tcPr>
          <w:p w14:paraId="59B79757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0.45±0.09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b</w:t>
            </w:r>
          </w:p>
        </w:tc>
      </w:tr>
      <w:tr w:rsidR="002C3889" w14:paraId="7D1FDFA4" w14:textId="77777777" w:rsidTr="00DF4890">
        <w:trPr>
          <w:trHeight w:val="193"/>
          <w:jc w:val="center"/>
        </w:trPr>
        <w:tc>
          <w:tcPr>
            <w:tcW w:w="765" w:type="pct"/>
            <w:tcBorders>
              <w:bottom w:val="single" w:sz="4" w:space="0" w:color="auto"/>
            </w:tcBorders>
          </w:tcPr>
          <w:p w14:paraId="6FF1CBEB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4SynCom</w:t>
            </w:r>
          </w:p>
        </w:tc>
        <w:tc>
          <w:tcPr>
            <w:tcW w:w="758" w:type="pct"/>
            <w:tcBorders>
              <w:bottom w:val="single" w:sz="4" w:space="0" w:color="auto"/>
            </w:tcBorders>
          </w:tcPr>
          <w:p w14:paraId="2A28F779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53.47±2.73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00AAB59A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3.71±0.27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300583DA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0.32±0.04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5EA010CB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0.27±0.03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14:paraId="3DB135D8" w14:textId="77777777" w:rsidR="002C3889" w:rsidRDefault="002C3889" w:rsidP="00DF4890">
            <w:pPr>
              <w:widowControl w:val="0"/>
              <w:ind w:firstLineChars="0" w:firstLine="0"/>
              <w:jc w:val="left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83.08±10.37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840" w:type="pct"/>
            <w:tcBorders>
              <w:bottom w:val="single" w:sz="4" w:space="0" w:color="auto"/>
            </w:tcBorders>
          </w:tcPr>
          <w:p w14:paraId="526B6573" w14:textId="77777777" w:rsidR="002C3889" w:rsidRDefault="002C3889" w:rsidP="00DF4890">
            <w:pPr>
              <w:widowControl w:val="0"/>
              <w:ind w:firstLineChars="0" w:firstLine="0"/>
              <w:jc w:val="both"/>
              <w:rPr>
                <w:rFonts w:ascii="Palatino Linotype" w:eastAsia="等线" w:hAnsi="Palatino Linotype"/>
                <w:kern w:val="2"/>
                <w:sz w:val="18"/>
                <w:szCs w:val="18"/>
              </w:rPr>
            </w:pPr>
            <w:r>
              <w:rPr>
                <w:rFonts w:ascii="Palatino Linotype" w:eastAsia="等线" w:hAnsi="Palatino Linotype"/>
                <w:kern w:val="2"/>
                <w:sz w:val="18"/>
                <w:szCs w:val="18"/>
              </w:rPr>
              <w:t>1.20±0.13</w:t>
            </w:r>
            <w:r>
              <w:rPr>
                <w:rFonts w:ascii="Palatino Linotype" w:eastAsia="等线" w:hAnsi="Palatino Linotype"/>
                <w:kern w:val="2"/>
                <w:sz w:val="18"/>
                <w:szCs w:val="18"/>
                <w:vertAlign w:val="superscript"/>
              </w:rPr>
              <w:t>a</w:t>
            </w:r>
          </w:p>
        </w:tc>
      </w:tr>
    </w:tbl>
    <w:p w14:paraId="4AD381E0" w14:textId="1D9E7A18" w:rsidR="002C3889" w:rsidRDefault="002C3889" w:rsidP="002C3889">
      <w:pPr>
        <w:widowControl w:val="0"/>
        <w:ind w:firstLineChars="0" w:firstLine="0"/>
        <w:jc w:val="left"/>
        <w:rPr>
          <w:rFonts w:ascii="Palatino Linotype" w:eastAsia="等线" w:hAnsi="Palatino Linotype"/>
          <w:kern w:val="2"/>
          <w:sz w:val="18"/>
          <w:szCs w:val="20"/>
        </w:rPr>
        <w:sectPr w:rsidR="002C3889" w:rsidSect="002C388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bookmarkStart w:id="1" w:name="_Hlk204342603"/>
      <w:bookmarkStart w:id="2" w:name="_Hlk196921295"/>
      <w:r>
        <w:rPr>
          <w:rFonts w:ascii="Palatino Linotype" w:eastAsia="等线" w:hAnsi="Palatino Linotype"/>
          <w:kern w:val="2"/>
          <w:sz w:val="18"/>
          <w:szCs w:val="20"/>
        </w:rPr>
        <w:t xml:space="preserve">Note: </w:t>
      </w:r>
      <w:bookmarkEnd w:id="1"/>
      <w:r>
        <w:rPr>
          <w:rFonts w:ascii="Palatino Linotype" w:eastAsia="等线" w:hAnsi="Palatino Linotype"/>
          <w:kern w:val="2"/>
          <w:sz w:val="18"/>
          <w:szCs w:val="20"/>
        </w:rPr>
        <w:t xml:space="preserve">The numbers of 2, 3 and 4 in the treatment names of non-inoculated (CK) and inoculated SynCom represent the continuous cropping of second, third and fourth respectively. SS, SP, TA, Ly </w:t>
      </w:r>
      <w:r>
        <w:rPr>
          <w:rFonts w:ascii="Palatino Linotype" w:eastAsia="等线" w:hAnsi="Palatino Linotype" w:hint="eastAsia"/>
          <w:kern w:val="2"/>
          <w:sz w:val="18"/>
          <w:szCs w:val="20"/>
        </w:rPr>
        <w:t>and</w:t>
      </w:r>
      <w:r>
        <w:rPr>
          <w:rFonts w:ascii="Palatino Linotype" w:eastAsia="等线" w:hAnsi="Palatino Linotype"/>
          <w:kern w:val="2"/>
          <w:sz w:val="18"/>
          <w:szCs w:val="20"/>
        </w:rPr>
        <w:t xml:space="preserve"> VC represent soluble sugar, soluble protein,</w:t>
      </w:r>
      <w:r>
        <w:rPr>
          <w:rFonts w:ascii="Palatino Linotype" w:eastAsia="等线" w:hAnsi="Palatino Linotype"/>
          <w:kern w:val="2"/>
        </w:rPr>
        <w:t xml:space="preserve"> </w:t>
      </w:r>
      <w:r>
        <w:rPr>
          <w:rFonts w:ascii="Palatino Linotype" w:eastAsia="等线" w:hAnsi="Palatino Linotype"/>
          <w:kern w:val="2"/>
          <w:sz w:val="18"/>
          <w:szCs w:val="20"/>
        </w:rPr>
        <w:t xml:space="preserve">titratable acid, lycopene </w:t>
      </w:r>
      <w:r>
        <w:rPr>
          <w:rFonts w:ascii="Palatino Linotype" w:eastAsia="等线" w:hAnsi="Palatino Linotype" w:hint="eastAsia"/>
          <w:kern w:val="2"/>
          <w:sz w:val="18"/>
          <w:szCs w:val="20"/>
        </w:rPr>
        <w:t>and</w:t>
      </w:r>
      <w:r>
        <w:rPr>
          <w:rFonts w:ascii="Palatino Linotype" w:eastAsia="等线" w:hAnsi="Palatino Linotype"/>
          <w:kern w:val="2"/>
          <w:sz w:val="18"/>
          <w:szCs w:val="20"/>
        </w:rPr>
        <w:t xml:space="preserve"> vitamin C, respectively. The small letters in uppercase indicates difference significance level of 0.05</w:t>
      </w:r>
      <w:bookmarkEnd w:id="2"/>
    </w:p>
    <w:p w14:paraId="12551EB3" w14:textId="2F2A4C69" w:rsidR="00386A2C" w:rsidRPr="002C3889" w:rsidRDefault="00386A2C">
      <w:pPr>
        <w:widowControl w:val="0"/>
        <w:ind w:firstLineChars="0" w:firstLine="0"/>
        <w:jc w:val="both"/>
        <w:rPr>
          <w:rFonts w:ascii="Palatino Linotype" w:eastAsia="等线" w:hAnsi="Palatino Linotype"/>
          <w:b/>
          <w:kern w:val="2"/>
          <w:sz w:val="20"/>
          <w:szCs w:val="20"/>
        </w:rPr>
      </w:pPr>
    </w:p>
    <w:sectPr w:rsidR="00386A2C" w:rsidRPr="002C388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B3A07" w14:textId="77777777" w:rsidR="007A24C3" w:rsidRDefault="007A24C3" w:rsidP="00655D5B">
      <w:pPr>
        <w:ind w:firstLine="420"/>
      </w:pPr>
      <w:r>
        <w:separator/>
      </w:r>
    </w:p>
  </w:endnote>
  <w:endnote w:type="continuationSeparator" w:id="0">
    <w:p w14:paraId="7B4AABD6" w14:textId="77777777" w:rsidR="007A24C3" w:rsidRDefault="007A24C3" w:rsidP="00655D5B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9D6AE" w14:textId="77777777" w:rsidR="002C3889" w:rsidRDefault="002C3889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EE6B0" w14:textId="77777777" w:rsidR="002C3889" w:rsidRDefault="002C3889">
    <w:pPr>
      <w:pStyle w:val="a6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68970" w14:textId="77777777" w:rsidR="002C3889" w:rsidRDefault="002C3889">
    <w:pPr>
      <w:pStyle w:val="a6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04C30" w14:textId="77777777" w:rsidR="00655D5B" w:rsidRDefault="00655D5B">
    <w:pPr>
      <w:pStyle w:val="a6"/>
      <w:ind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8FF5B" w14:textId="77777777" w:rsidR="00655D5B" w:rsidRDefault="00655D5B">
    <w:pPr>
      <w:pStyle w:val="a6"/>
      <w:ind w:firstLine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EDDC9" w14:textId="77777777" w:rsidR="00655D5B" w:rsidRDefault="00655D5B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C496A" w14:textId="77777777" w:rsidR="007A24C3" w:rsidRDefault="007A24C3" w:rsidP="00655D5B">
      <w:pPr>
        <w:ind w:firstLine="420"/>
      </w:pPr>
      <w:r>
        <w:separator/>
      </w:r>
    </w:p>
  </w:footnote>
  <w:footnote w:type="continuationSeparator" w:id="0">
    <w:p w14:paraId="6267626F" w14:textId="77777777" w:rsidR="007A24C3" w:rsidRDefault="007A24C3" w:rsidP="00655D5B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2306A" w14:textId="77777777" w:rsidR="002C3889" w:rsidRDefault="002C3889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22808" w14:textId="77777777" w:rsidR="002C3889" w:rsidRDefault="002C3889">
    <w:pPr>
      <w:pStyle w:val="a4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C640C" w14:textId="77777777" w:rsidR="002C3889" w:rsidRDefault="002C3889">
    <w:pPr>
      <w:pStyle w:val="a4"/>
      <w:ind w:firstLine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66D5C" w14:textId="77777777" w:rsidR="00655D5B" w:rsidRDefault="00655D5B">
    <w:pPr>
      <w:pStyle w:val="a4"/>
      <w:ind w:firstLine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F49A3" w14:textId="77777777" w:rsidR="00655D5B" w:rsidRDefault="00655D5B">
    <w:pPr>
      <w:pStyle w:val="a4"/>
      <w:ind w:firstLine="36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82BE6" w14:textId="77777777" w:rsidR="00655D5B" w:rsidRDefault="00655D5B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535D2"/>
    <w:multiLevelType w:val="hybridMultilevel"/>
    <w:tmpl w:val="B6CEA8A6"/>
    <w:lvl w:ilvl="0" w:tplc="14D0BF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909150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2C"/>
    <w:rsid w:val="000D5DC9"/>
    <w:rsid w:val="002C3889"/>
    <w:rsid w:val="00386A2C"/>
    <w:rsid w:val="00593833"/>
    <w:rsid w:val="00655D5B"/>
    <w:rsid w:val="007A24C3"/>
    <w:rsid w:val="008E5AAF"/>
    <w:rsid w:val="00C629C0"/>
    <w:rsid w:val="00DC238C"/>
    <w:rsid w:val="00F6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F4475"/>
  <w15:chartTrackingRefBased/>
  <w15:docId w15:val="{03D2185C-9996-4F66-AFC9-530DF37F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1"/>
        <w:szCs w:val="22"/>
        <w:lang w:val="en-US" w:eastAsia="zh-CN" w:bidi="ar-SA"/>
      </w:rPr>
    </w:rPrDefault>
    <w:pPrDefault>
      <w:pPr>
        <w:ind w:firstLineChars="200" w:firstLine="20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="420"/>
    </w:pPr>
  </w:style>
  <w:style w:type="paragraph" w:styleId="a4">
    <w:name w:val="header"/>
    <w:basedOn w:val="a"/>
    <w:link w:val="a5"/>
    <w:uiPriority w:val="99"/>
    <w:unhideWhenUsed/>
    <w:rsid w:val="00655D5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55D5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55D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55D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8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 宇泽</dc:creator>
  <cp:keywords/>
  <dc:description/>
  <cp:lastModifiedBy>宇泽 郭</cp:lastModifiedBy>
  <cp:revision>27</cp:revision>
  <dcterms:created xsi:type="dcterms:W3CDTF">2025-10-24T02:45:00Z</dcterms:created>
  <dcterms:modified xsi:type="dcterms:W3CDTF">2026-08-26T02:13:00Z</dcterms:modified>
</cp:coreProperties>
</file>