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D27F" w14:textId="7142299B" w:rsidR="00DF16BD" w:rsidRPr="004E7A53" w:rsidRDefault="00DF16BD" w:rsidP="008D478C">
      <w:pPr>
        <w:pStyle w:val="Heading1"/>
        <w:spacing w:before="0" w:after="0"/>
        <w:rPr>
          <w:rFonts w:ascii="Times New Roman" w:hAnsi="Times New Roman" w:cs="Times New Roman"/>
          <w:b/>
          <w:bCs/>
          <w:sz w:val="24"/>
          <w:szCs w:val="24"/>
        </w:rPr>
      </w:pPr>
      <w:r w:rsidRPr="004E7A53">
        <w:rPr>
          <w:rFonts w:ascii="Times New Roman" w:hAnsi="Times New Roman" w:cs="Times New Roman"/>
          <w:b/>
          <w:bCs/>
          <w:color w:val="auto"/>
          <w:sz w:val="24"/>
          <w:szCs w:val="24"/>
        </w:rPr>
        <w:t>Reply to referees of manuscript JIBE-D-25-00045*</w:t>
      </w:r>
    </w:p>
    <w:p w14:paraId="719713C0" w14:textId="59FE27E7" w:rsidR="000639DD" w:rsidRPr="00AF7AE3" w:rsidRDefault="000639DD" w:rsidP="00C939D1">
      <w:pPr>
        <w:jc w:val="both"/>
        <w:rPr>
          <w:rFonts w:ascii="Times New Roman" w:hAnsi="Times New Roman" w:cs="Times New Roman"/>
        </w:rPr>
      </w:pPr>
      <w:r w:rsidRPr="00AF7AE3">
        <w:rPr>
          <w:rFonts w:ascii="Times New Roman" w:hAnsi="Times New Roman" w:cs="Times New Roman"/>
          <w:u w:val="single"/>
        </w:rPr>
        <w:t>*Reply from the author in</w:t>
      </w:r>
      <w:r w:rsidRPr="00AA193E">
        <w:rPr>
          <w:rFonts w:ascii="Times New Roman" w:hAnsi="Times New Roman" w:cs="Times New Roman"/>
          <w:b/>
          <w:bCs/>
          <w:color w:val="77206D" w:themeColor="accent5" w:themeShade="BF"/>
        </w:rPr>
        <w:t xml:space="preserve"> </w:t>
      </w:r>
      <w:r w:rsidR="00AA193E" w:rsidRPr="00AA193E">
        <w:rPr>
          <w:rFonts w:ascii="Times New Roman" w:hAnsi="Times New Roman" w:cs="Times New Roman"/>
          <w:b/>
          <w:bCs/>
          <w:color w:val="77206D" w:themeColor="accent5" w:themeShade="BF"/>
        </w:rPr>
        <w:t>purple</w:t>
      </w:r>
    </w:p>
    <w:p w14:paraId="4C30FB0C" w14:textId="18A1950A" w:rsidR="00F91D3B" w:rsidRPr="00AF7AE3" w:rsidRDefault="002B4048" w:rsidP="00C939D1">
      <w:pPr>
        <w:rPr>
          <w:rFonts w:ascii="Times New Roman" w:hAnsi="Times New Roman" w:cs="Times New Roman"/>
        </w:rPr>
      </w:pPr>
      <w:r w:rsidRPr="00AF7AE3">
        <w:rPr>
          <w:rFonts w:ascii="Times New Roman" w:hAnsi="Times New Roman" w:cs="Times New Roman"/>
        </w:rPr>
        <w:t>COMMENTS FOR THE AUTHOR:</w:t>
      </w:r>
      <w:r w:rsidRPr="00AF7AE3">
        <w:rPr>
          <w:rFonts w:ascii="Times New Roman" w:hAnsi="Times New Roman" w:cs="Times New Roman"/>
        </w:rPr>
        <w:br/>
      </w:r>
      <w:r w:rsidRPr="00AF7AE3">
        <w:rPr>
          <w:rFonts w:ascii="Times New Roman" w:hAnsi="Times New Roman" w:cs="Times New Roman"/>
        </w:rPr>
        <w:br/>
        <w:t>Dear Alejandro Ramirez-Guerra,</w:t>
      </w:r>
      <w:r w:rsidRPr="00AF7AE3">
        <w:rPr>
          <w:rFonts w:ascii="Times New Roman" w:hAnsi="Times New Roman" w:cs="Times New Roman"/>
        </w:rPr>
        <w:br/>
      </w:r>
      <w:r w:rsidRPr="00AF7AE3">
        <w:rPr>
          <w:rFonts w:ascii="Times New Roman" w:hAnsi="Times New Roman" w:cs="Times New Roman"/>
        </w:rPr>
        <w:br/>
        <w:t>We have now received the reports from two reviewers on your manuscript JIBE-D-25-00045 with title "Total Factor Productivity (TFP) decomposition, from micro to macro”.</w:t>
      </w:r>
    </w:p>
    <w:p w14:paraId="0C2B8841" w14:textId="77777777" w:rsidR="00765D44" w:rsidRPr="004E7A53" w:rsidRDefault="00765D44" w:rsidP="008D478C">
      <w:pPr>
        <w:pStyle w:val="Heading2"/>
        <w:rPr>
          <w:rFonts w:ascii="Times New Roman" w:hAnsi="Times New Roman" w:cs="Times New Roman"/>
          <w:b/>
          <w:bCs/>
          <w:color w:val="77206D" w:themeColor="accent5" w:themeShade="BF"/>
          <w:sz w:val="22"/>
          <w:szCs w:val="22"/>
        </w:rPr>
      </w:pPr>
      <w:r w:rsidRPr="004E7A53">
        <w:rPr>
          <w:rFonts w:ascii="Times New Roman" w:hAnsi="Times New Roman" w:cs="Times New Roman"/>
          <w:b/>
          <w:bCs/>
          <w:color w:val="77206D" w:themeColor="accent5" w:themeShade="BF"/>
          <w:sz w:val="22"/>
          <w:szCs w:val="22"/>
        </w:rPr>
        <w:t>General response to referees and editors</w:t>
      </w:r>
    </w:p>
    <w:p w14:paraId="5DEEA85E" w14:textId="77777777" w:rsidR="00765D44" w:rsidRPr="00AA193E" w:rsidRDefault="00765D44" w:rsidP="00C939D1">
      <w:pPr>
        <w:jc w:val="both"/>
        <w:rPr>
          <w:rFonts w:ascii="Times New Roman" w:hAnsi="Times New Roman" w:cs="Times New Roman"/>
          <w:color w:val="77206D" w:themeColor="accent5" w:themeShade="BF"/>
        </w:rPr>
      </w:pPr>
      <w:r w:rsidRPr="00AA193E">
        <w:rPr>
          <w:rFonts w:ascii="Times New Roman" w:hAnsi="Times New Roman" w:cs="Times New Roman"/>
          <w:color w:val="77206D" w:themeColor="accent5" w:themeShade="BF"/>
        </w:rPr>
        <w:t>The author thanks two anonymous referees for their time in reading the manuscript and providing feedback. Due to unforeseen personal and professional circumstances, the author’s availability to make the indicated corrections and reply to the referees’ comments was limited. It took 18 months to reply to the referees’ comments. For this reason, the author apologises to the staff of the Journal of Industrial and Business Economics (JIBE) and the referees.</w:t>
      </w:r>
    </w:p>
    <w:p w14:paraId="15B85F45" w14:textId="1AA6B8E4" w:rsidR="00765D44" w:rsidRPr="00AA193E" w:rsidRDefault="00765D44" w:rsidP="00C939D1">
      <w:pPr>
        <w:jc w:val="both"/>
        <w:rPr>
          <w:rFonts w:ascii="Times New Roman" w:hAnsi="Times New Roman" w:cs="Times New Roman"/>
          <w:color w:val="77206D" w:themeColor="accent5" w:themeShade="BF"/>
        </w:rPr>
      </w:pPr>
      <w:r w:rsidRPr="00AA193E">
        <w:rPr>
          <w:rFonts w:ascii="Times New Roman" w:hAnsi="Times New Roman" w:cs="Times New Roman"/>
          <w:color w:val="77206D" w:themeColor="accent5" w:themeShade="BF"/>
        </w:rPr>
        <w:t xml:space="preserve">The author appreciates the reviewers' suggestions for improving the paper. These suggestions were challenging and motivated the author to improve the research and deliver a better paper. Below, the editor and reviewers can see the numerous comments on the paper, which have been addressed. </w:t>
      </w:r>
      <w:r w:rsidR="00453AB6">
        <w:rPr>
          <w:rFonts w:ascii="Times New Roman" w:hAnsi="Times New Roman" w:cs="Times New Roman"/>
          <w:color w:val="77206D" w:themeColor="accent5" w:themeShade="BF"/>
        </w:rPr>
        <w:t>As a result</w:t>
      </w:r>
      <w:r w:rsidRPr="00AA193E">
        <w:rPr>
          <w:rFonts w:ascii="Times New Roman" w:hAnsi="Times New Roman" w:cs="Times New Roman"/>
          <w:color w:val="77206D" w:themeColor="accent5" w:themeShade="BF"/>
        </w:rPr>
        <w:t>, the manuscript has changed significantly since its first version.</w:t>
      </w:r>
    </w:p>
    <w:p w14:paraId="2E00347A" w14:textId="77777777" w:rsidR="00765D44" w:rsidRPr="00AA193E" w:rsidRDefault="00765D44" w:rsidP="00C939D1">
      <w:pPr>
        <w:jc w:val="both"/>
        <w:rPr>
          <w:rFonts w:ascii="Times New Roman" w:hAnsi="Times New Roman" w:cs="Times New Roman"/>
          <w:color w:val="77206D" w:themeColor="accent5" w:themeShade="BF"/>
        </w:rPr>
      </w:pPr>
      <w:r w:rsidRPr="00AA193E">
        <w:rPr>
          <w:rFonts w:ascii="Times New Roman" w:hAnsi="Times New Roman" w:cs="Times New Roman"/>
          <w:color w:val="77206D" w:themeColor="accent5" w:themeShade="BF"/>
        </w:rPr>
        <w:t>The revised manuscript includes the requested changes. First, the manuscript now includes more recent data from the Economic Census of Mexico, the primary data source for the research. In the previous version, the data covered 1998-2018; in this version, the analysis covers 1998-2023. Second, the author has included a compelling appendix to provide further evidence or clarification requested by the referees.</w:t>
      </w:r>
    </w:p>
    <w:p w14:paraId="382F3914" w14:textId="16B61C71" w:rsidR="00F91D3B" w:rsidRPr="00AA193E" w:rsidRDefault="00765D44" w:rsidP="00C939D1">
      <w:pPr>
        <w:jc w:val="both"/>
        <w:rPr>
          <w:rFonts w:ascii="Times New Roman" w:hAnsi="Times New Roman" w:cs="Times New Roman"/>
          <w:color w:val="77206D" w:themeColor="accent5" w:themeShade="BF"/>
        </w:rPr>
      </w:pPr>
      <w:r w:rsidRPr="00AA193E">
        <w:rPr>
          <w:rFonts w:ascii="Times New Roman" w:hAnsi="Times New Roman" w:cs="Times New Roman"/>
          <w:color w:val="77206D" w:themeColor="accent5" w:themeShade="BF"/>
        </w:rPr>
        <w:t>In addition, the manuscript has changed its title and content. The document retains its structure and research line. This research line provides evidence of aggregate TFP and TFP growth in Mexico across three productivity dimensions: over time, across geographical locations, and across sectors. The paper's audience is primarily policymakers and readers interested in productivity analysis. The policy implications of the TFP analysis are to provide information that could support the design and implementation of industrial strategies aimed at improving productivity performance in Mexico.</w:t>
      </w:r>
    </w:p>
    <w:p w14:paraId="6A3CAA63" w14:textId="6DECE0DF" w:rsidR="00672BEF" w:rsidRPr="004E7A53" w:rsidRDefault="002E0793" w:rsidP="004E7A53">
      <w:pPr>
        <w:pStyle w:val="Heading2"/>
        <w:rPr>
          <w:rFonts w:ascii="Times New Roman" w:hAnsi="Times New Roman" w:cs="Times New Roman"/>
          <w:b/>
          <w:bCs/>
          <w:color w:val="77206D" w:themeColor="accent5" w:themeShade="BF"/>
          <w:sz w:val="22"/>
          <w:szCs w:val="22"/>
        </w:rPr>
      </w:pPr>
      <w:r w:rsidRPr="004E7A53">
        <w:rPr>
          <w:rFonts w:ascii="Times New Roman" w:hAnsi="Times New Roman" w:cs="Times New Roman"/>
          <w:b/>
          <w:bCs/>
          <w:color w:val="77206D" w:themeColor="accent5" w:themeShade="BF"/>
          <w:sz w:val="22"/>
          <w:szCs w:val="22"/>
        </w:rPr>
        <w:t xml:space="preserve">Response to referee </w:t>
      </w:r>
      <w:r w:rsidR="00292155" w:rsidRPr="004E7A53">
        <w:rPr>
          <w:rFonts w:ascii="Times New Roman" w:hAnsi="Times New Roman" w:cs="Times New Roman"/>
          <w:b/>
          <w:bCs/>
          <w:color w:val="77206D" w:themeColor="accent5" w:themeShade="BF"/>
          <w:sz w:val="22"/>
          <w:szCs w:val="22"/>
        </w:rPr>
        <w:t>1</w:t>
      </w:r>
    </w:p>
    <w:p w14:paraId="496A02D9" w14:textId="77777777" w:rsidR="0066327F" w:rsidRPr="00AF7AE3" w:rsidRDefault="002B4048" w:rsidP="00DC0DEC">
      <w:pPr>
        <w:rPr>
          <w:rFonts w:ascii="Times New Roman" w:hAnsi="Times New Roman" w:cs="Times New Roman"/>
        </w:rPr>
      </w:pPr>
      <w:r w:rsidRPr="00AF7AE3">
        <w:rPr>
          <w:rFonts w:ascii="Times New Roman" w:hAnsi="Times New Roman" w:cs="Times New Roman"/>
        </w:rPr>
        <w:t>Main Issues</w:t>
      </w:r>
      <w:r w:rsidRPr="00AF7AE3">
        <w:rPr>
          <w:rFonts w:ascii="Times New Roman" w:hAnsi="Times New Roman" w:cs="Times New Roman"/>
        </w:rPr>
        <w:br/>
      </w:r>
      <w:r w:rsidRPr="00AF7AE3">
        <w:rPr>
          <w:rFonts w:ascii="Times New Roman" w:hAnsi="Times New Roman" w:cs="Times New Roman"/>
          <w:b/>
          <w:bCs/>
        </w:rPr>
        <w:t>1. Equations (1) and (2): Ambiguous Weight Definitions</w:t>
      </w:r>
      <w:r w:rsidRPr="00AF7AE3">
        <w:rPr>
          <w:rFonts w:ascii="Times New Roman" w:hAnsi="Times New Roman" w:cs="Times New Roman"/>
          <w:b/>
          <w:bCs/>
        </w:rPr>
        <w:br/>
      </w:r>
      <w:r w:rsidRPr="00AF7AE3">
        <w:rPr>
          <w:rFonts w:ascii="Times New Roman" w:hAnsi="Times New Roman" w:cs="Times New Roman"/>
        </w:rPr>
        <w:t>Equations (1) and (2) appear to use the same weight notation \theta_{it} without sufficient clarification. In Equation (1), \theta_{it} is defined as Y_{it}/Y_{t} (guess from line 7, p.5), but Y_{it} and Y_{t} lack explicit definitions. Equation (2) reuses \theta_{it} for a subsample N_{t}^{J}, which raises concerns. Summing \theta_{it}​ over N_{t}^{J} (subsample) does not guarantee weights summing to unity. Following Melitz &amp; Polanec (2015), the correct weight for subsample J should be w_{it}=\theta_{it}/(Y_{</w:t>
      </w:r>
      <w:proofErr w:type="spellStart"/>
      <w:r w:rsidRPr="00AF7AE3">
        <w:rPr>
          <w:rFonts w:ascii="Times New Roman" w:hAnsi="Times New Roman" w:cs="Times New Roman"/>
        </w:rPr>
        <w:t>jt</w:t>
      </w:r>
      <w:proofErr w:type="spellEnd"/>
      <w:r w:rsidRPr="00AF7AE3">
        <w:rPr>
          <w:rFonts w:ascii="Times New Roman" w:hAnsi="Times New Roman" w:cs="Times New Roman"/>
        </w:rPr>
        <w:t>}/Y_{t}) where Y_{</w:t>
      </w:r>
      <w:proofErr w:type="spellStart"/>
      <w:r w:rsidRPr="00AF7AE3">
        <w:rPr>
          <w:rFonts w:ascii="Times New Roman" w:hAnsi="Times New Roman" w:cs="Times New Roman"/>
        </w:rPr>
        <w:t>jt</w:t>
      </w:r>
      <w:proofErr w:type="spellEnd"/>
      <w:r w:rsidRPr="00AF7AE3">
        <w:rPr>
          <w:rFonts w:ascii="Times New Roman" w:hAnsi="Times New Roman" w:cs="Times New Roman"/>
        </w:rPr>
        <w:t>} = sum_{</w:t>
      </w:r>
      <w:proofErr w:type="gramStart"/>
      <w:r w:rsidRPr="00AF7AE3">
        <w:rPr>
          <w:rFonts w:ascii="Times New Roman" w:hAnsi="Times New Roman" w:cs="Times New Roman"/>
        </w:rPr>
        <w:t>1}^</w:t>
      </w:r>
      <w:proofErr w:type="gramEnd"/>
      <w:r w:rsidRPr="00AF7AE3">
        <w:rPr>
          <w:rFonts w:ascii="Times New Roman" w:hAnsi="Times New Roman" w:cs="Times New Roman"/>
        </w:rPr>
        <w:t>{N_{t}^J} Y_{it}. Clarify definitions and ensure consistency with established methodologies.</w:t>
      </w:r>
    </w:p>
    <w:p w14:paraId="58207545" w14:textId="1C42F7B3" w:rsidR="00437453" w:rsidRPr="00C2537B" w:rsidRDefault="00606D9F" w:rsidP="00C939D1">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The reviewer is right</w:t>
      </w:r>
      <w:r w:rsidR="00166A7F" w:rsidRPr="00C2537B">
        <w:rPr>
          <w:rFonts w:ascii="Times New Roman" w:hAnsi="Times New Roman" w:cs="Times New Roman"/>
          <w:color w:val="77206D" w:themeColor="accent5" w:themeShade="BF"/>
        </w:rPr>
        <w:t xml:space="preserve">. </w:t>
      </w:r>
      <w:r w:rsidR="00973C11" w:rsidRPr="00C2537B">
        <w:rPr>
          <w:rFonts w:ascii="Times New Roman" w:hAnsi="Times New Roman" w:cs="Times New Roman"/>
          <w:color w:val="77206D" w:themeColor="accent5" w:themeShade="BF"/>
        </w:rPr>
        <w:t xml:space="preserve">The author has made additional corrections requested by the </w:t>
      </w:r>
      <w:r w:rsidR="00DF6202">
        <w:rPr>
          <w:rFonts w:ascii="Times New Roman" w:hAnsi="Times New Roman" w:cs="Times New Roman"/>
          <w:color w:val="77206D" w:themeColor="accent5" w:themeShade="BF"/>
        </w:rPr>
        <w:t>referee</w:t>
      </w:r>
      <w:r w:rsidR="00973C11" w:rsidRPr="00C2537B">
        <w:rPr>
          <w:rFonts w:ascii="Times New Roman" w:hAnsi="Times New Roman" w:cs="Times New Roman"/>
          <w:color w:val="77206D" w:themeColor="accent5" w:themeShade="BF"/>
        </w:rPr>
        <w:t xml:space="preserve"> and has renumbered </w:t>
      </w:r>
      <w:r w:rsidR="00E06639" w:rsidRPr="00C2537B">
        <w:rPr>
          <w:rFonts w:ascii="Times New Roman" w:hAnsi="Times New Roman" w:cs="Times New Roman"/>
          <w:color w:val="77206D" w:themeColor="accent5" w:themeShade="BF"/>
        </w:rPr>
        <w:t>e</w:t>
      </w:r>
      <w:r w:rsidR="00973C11" w:rsidRPr="00C2537B">
        <w:rPr>
          <w:rFonts w:ascii="Times New Roman" w:hAnsi="Times New Roman" w:cs="Times New Roman"/>
          <w:color w:val="77206D" w:themeColor="accent5" w:themeShade="BF"/>
        </w:rPr>
        <w:t xml:space="preserve">quation (1) as </w:t>
      </w:r>
      <w:r w:rsidR="00E06639" w:rsidRPr="00C2537B">
        <w:rPr>
          <w:rFonts w:ascii="Times New Roman" w:hAnsi="Times New Roman" w:cs="Times New Roman"/>
          <w:color w:val="77206D" w:themeColor="accent5" w:themeShade="BF"/>
        </w:rPr>
        <w:t>e</w:t>
      </w:r>
      <w:r w:rsidR="00973C11" w:rsidRPr="00C2537B">
        <w:rPr>
          <w:rFonts w:ascii="Times New Roman" w:hAnsi="Times New Roman" w:cs="Times New Roman"/>
          <w:color w:val="77206D" w:themeColor="accent5" w:themeShade="BF"/>
        </w:rPr>
        <w:t xml:space="preserve">quation (3), and </w:t>
      </w:r>
      <w:r w:rsidR="00E06639" w:rsidRPr="00C2537B">
        <w:rPr>
          <w:rFonts w:ascii="Times New Roman" w:hAnsi="Times New Roman" w:cs="Times New Roman"/>
          <w:color w:val="77206D" w:themeColor="accent5" w:themeShade="BF"/>
        </w:rPr>
        <w:t>e</w:t>
      </w:r>
      <w:r w:rsidR="00973C11" w:rsidRPr="00C2537B">
        <w:rPr>
          <w:rFonts w:ascii="Times New Roman" w:hAnsi="Times New Roman" w:cs="Times New Roman"/>
          <w:color w:val="77206D" w:themeColor="accent5" w:themeShade="BF"/>
        </w:rPr>
        <w:t>quation (2) as equation (4)</w:t>
      </w:r>
      <w:r w:rsidR="00E06639" w:rsidRPr="00C2537B">
        <w:rPr>
          <w:rFonts w:ascii="Times New Roman" w:hAnsi="Times New Roman" w:cs="Times New Roman"/>
          <w:color w:val="77206D" w:themeColor="accent5" w:themeShade="BF"/>
        </w:rPr>
        <w:t xml:space="preserve">. </w:t>
      </w:r>
      <w:r w:rsidR="00166A7F" w:rsidRPr="00C2537B">
        <w:rPr>
          <w:rFonts w:ascii="Times New Roman" w:hAnsi="Times New Roman" w:cs="Times New Roman"/>
          <w:color w:val="77206D" w:themeColor="accent5" w:themeShade="BF"/>
        </w:rPr>
        <w:t xml:space="preserve">The author has </w:t>
      </w:r>
      <w:r w:rsidR="006B08F4" w:rsidRPr="00C2537B">
        <w:rPr>
          <w:rFonts w:ascii="Times New Roman" w:hAnsi="Times New Roman" w:cs="Times New Roman"/>
          <w:color w:val="77206D" w:themeColor="accent5" w:themeShade="BF"/>
        </w:rPr>
        <w:t>corrected</w:t>
      </w:r>
      <w:r w:rsidR="00E74F53" w:rsidRPr="00C2537B">
        <w:rPr>
          <w:rFonts w:ascii="Times New Roman" w:hAnsi="Times New Roman" w:cs="Times New Roman"/>
          <w:color w:val="77206D" w:themeColor="accent5" w:themeShade="BF"/>
        </w:rPr>
        <w:t xml:space="preserve"> the </w:t>
      </w:r>
      <w:r w:rsidR="00263838" w:rsidRPr="00C2537B">
        <w:rPr>
          <w:rFonts w:ascii="Times New Roman" w:hAnsi="Times New Roman" w:cs="Times New Roman"/>
          <w:color w:val="77206D" w:themeColor="accent5" w:themeShade="BF"/>
        </w:rPr>
        <w:t xml:space="preserve">explanations for </w:t>
      </w:r>
      <w:r w:rsidR="00CB785C" w:rsidRPr="00C2537B">
        <w:rPr>
          <w:rFonts w:ascii="Times New Roman" w:hAnsi="Times New Roman" w:cs="Times New Roman"/>
          <w:color w:val="77206D" w:themeColor="accent5" w:themeShade="BF"/>
        </w:rPr>
        <w:t>e</w:t>
      </w:r>
      <w:r w:rsidR="00263838" w:rsidRPr="00C2537B">
        <w:rPr>
          <w:rFonts w:ascii="Times New Roman" w:hAnsi="Times New Roman" w:cs="Times New Roman"/>
          <w:color w:val="77206D" w:themeColor="accent5" w:themeShade="BF"/>
        </w:rPr>
        <w:t>quations (</w:t>
      </w:r>
      <w:r w:rsidR="00E06639" w:rsidRPr="00C2537B">
        <w:rPr>
          <w:rFonts w:ascii="Times New Roman" w:hAnsi="Times New Roman" w:cs="Times New Roman"/>
          <w:color w:val="77206D" w:themeColor="accent5" w:themeShade="BF"/>
        </w:rPr>
        <w:t>3</w:t>
      </w:r>
      <w:r w:rsidR="00263838" w:rsidRPr="00C2537B">
        <w:rPr>
          <w:rFonts w:ascii="Times New Roman" w:hAnsi="Times New Roman" w:cs="Times New Roman"/>
          <w:color w:val="77206D" w:themeColor="accent5" w:themeShade="BF"/>
        </w:rPr>
        <w:t>) and (</w:t>
      </w:r>
      <w:r w:rsidR="00E06639" w:rsidRPr="00C2537B">
        <w:rPr>
          <w:rFonts w:ascii="Times New Roman" w:hAnsi="Times New Roman" w:cs="Times New Roman"/>
          <w:color w:val="77206D" w:themeColor="accent5" w:themeShade="BF"/>
        </w:rPr>
        <w:t>4</w:t>
      </w:r>
      <w:r w:rsidR="00263838" w:rsidRPr="00C2537B">
        <w:rPr>
          <w:rFonts w:ascii="Times New Roman" w:hAnsi="Times New Roman" w:cs="Times New Roman"/>
          <w:color w:val="77206D" w:themeColor="accent5" w:themeShade="BF"/>
        </w:rPr>
        <w:t>)</w:t>
      </w:r>
      <w:r w:rsidR="00CB785C" w:rsidRPr="00C2537B">
        <w:rPr>
          <w:rFonts w:ascii="Times New Roman" w:hAnsi="Times New Roman" w:cs="Times New Roman"/>
          <w:color w:val="77206D" w:themeColor="accent5" w:themeShade="BF"/>
        </w:rPr>
        <w:t>,</w:t>
      </w:r>
      <w:r w:rsidR="001E2566" w:rsidRPr="00C2537B">
        <w:rPr>
          <w:rFonts w:ascii="Times New Roman" w:hAnsi="Times New Roman" w:cs="Times New Roman"/>
          <w:color w:val="77206D" w:themeColor="accent5" w:themeShade="BF"/>
        </w:rPr>
        <w:t xml:space="preserve"> </w:t>
      </w:r>
      <w:r w:rsidR="00CB785C" w:rsidRPr="00C2537B">
        <w:rPr>
          <w:rFonts w:ascii="Times New Roman" w:hAnsi="Times New Roman" w:cs="Times New Roman"/>
          <w:color w:val="77206D" w:themeColor="accent5" w:themeShade="BF"/>
        </w:rPr>
        <w:t>as well as</w:t>
      </w:r>
      <w:r w:rsidR="001E2566" w:rsidRPr="00C2537B">
        <w:rPr>
          <w:rFonts w:ascii="Times New Roman" w:hAnsi="Times New Roman" w:cs="Times New Roman"/>
          <w:color w:val="77206D" w:themeColor="accent5" w:themeShade="BF"/>
        </w:rPr>
        <w:t xml:space="preserve"> their mathematical notation</w:t>
      </w:r>
      <w:r w:rsidR="00CB42E2" w:rsidRPr="00C2537B">
        <w:rPr>
          <w:rFonts w:ascii="Times New Roman" w:hAnsi="Times New Roman" w:cs="Times New Roman"/>
          <w:color w:val="77206D" w:themeColor="accent5" w:themeShade="BF"/>
        </w:rPr>
        <w:t xml:space="preserve"> </w:t>
      </w:r>
      <w:r w:rsidR="00CB785C" w:rsidRPr="00C2537B">
        <w:rPr>
          <w:rFonts w:ascii="Times New Roman" w:hAnsi="Times New Roman" w:cs="Times New Roman"/>
          <w:color w:val="77206D" w:themeColor="accent5" w:themeShade="BF"/>
        </w:rPr>
        <w:t>on</w:t>
      </w:r>
      <w:r w:rsidR="00CB42E2" w:rsidRPr="00C2537B">
        <w:rPr>
          <w:rFonts w:ascii="Times New Roman" w:hAnsi="Times New Roman" w:cs="Times New Roman"/>
          <w:color w:val="77206D" w:themeColor="accent5" w:themeShade="BF"/>
        </w:rPr>
        <w:t xml:space="preserve"> </w:t>
      </w:r>
      <w:r w:rsidR="006B08F4" w:rsidRPr="00C2537B">
        <w:rPr>
          <w:rFonts w:ascii="Times New Roman" w:hAnsi="Times New Roman" w:cs="Times New Roman"/>
          <w:color w:val="77206D" w:themeColor="accent5" w:themeShade="BF"/>
        </w:rPr>
        <w:t xml:space="preserve">page </w:t>
      </w:r>
      <w:r w:rsidR="00CB42E2" w:rsidRPr="00C2537B">
        <w:rPr>
          <w:rFonts w:ascii="Times New Roman" w:hAnsi="Times New Roman" w:cs="Times New Roman"/>
          <w:color w:val="77206D" w:themeColor="accent5" w:themeShade="BF"/>
        </w:rPr>
        <w:t>7</w:t>
      </w:r>
      <w:r w:rsidR="006B08F4" w:rsidRPr="00C2537B">
        <w:rPr>
          <w:rFonts w:ascii="Times New Roman" w:hAnsi="Times New Roman" w:cs="Times New Roman"/>
          <w:color w:val="77206D" w:themeColor="accent5" w:themeShade="BF"/>
        </w:rPr>
        <w:t>. The main explanations are the following.</w:t>
      </w:r>
      <w:r w:rsidR="00263838" w:rsidRPr="00C2537B">
        <w:rPr>
          <w:rFonts w:ascii="Times New Roman" w:hAnsi="Times New Roman" w:cs="Times New Roman"/>
          <w:color w:val="77206D" w:themeColor="accent5" w:themeShade="BF"/>
        </w:rPr>
        <w:t xml:space="preserve"> </w:t>
      </w:r>
    </w:p>
    <w:p w14:paraId="59A3DFE8" w14:textId="2BDF0FDC" w:rsidR="00437453" w:rsidRPr="00C2537B" w:rsidRDefault="00166A7F" w:rsidP="00C939D1">
      <w:pPr>
        <w:pStyle w:val="ListParagraph"/>
        <w:numPr>
          <w:ilvl w:val="0"/>
          <w:numId w:val="3"/>
        </w:num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 xml:space="preserve">The weights </w:t>
      </w:r>
      <w:r w:rsidR="00F662C0" w:rsidRPr="00C2537B">
        <w:rPr>
          <w:rFonts w:ascii="Times New Roman" w:hAnsi="Times New Roman" w:cs="Times New Roman"/>
          <w:color w:val="77206D" w:themeColor="accent5" w:themeShade="BF"/>
        </w:rPr>
        <w:t>in the (national) aggregated economy</w:t>
      </w:r>
      <w:r w:rsidR="00DD4A27" w:rsidRPr="00C2537B">
        <w:rPr>
          <w:rFonts w:ascii="Times New Roman" w:hAnsi="Times New Roman" w:cs="Times New Roman"/>
          <w:color w:val="77206D" w:themeColor="accent5" w:themeShade="BF"/>
        </w:rPr>
        <w:t xml:space="preserve"> (</w:t>
      </w:r>
      <w:r w:rsidR="00BE4ADF" w:rsidRPr="00C2537B">
        <w:rPr>
          <w:rFonts w:ascii="Times New Roman" w:hAnsi="Times New Roman" w:cs="Times New Roman"/>
          <w:color w:val="77206D" w:themeColor="accent5" w:themeShade="BF"/>
        </w:rPr>
        <w:t>e</w:t>
      </w:r>
      <w:r w:rsidR="007F5E10" w:rsidRPr="00C2537B">
        <w:rPr>
          <w:rFonts w:ascii="Times New Roman" w:hAnsi="Times New Roman" w:cs="Times New Roman"/>
          <w:color w:val="77206D" w:themeColor="accent5" w:themeShade="BF"/>
        </w:rPr>
        <w:t>quation (</w:t>
      </w:r>
      <w:r w:rsidR="001C2438" w:rsidRPr="00C2537B">
        <w:rPr>
          <w:rFonts w:ascii="Times New Roman" w:hAnsi="Times New Roman" w:cs="Times New Roman"/>
          <w:color w:val="77206D" w:themeColor="accent5" w:themeShade="BF"/>
        </w:rPr>
        <w:t>3</w:t>
      </w:r>
      <w:r w:rsidR="007F5E10" w:rsidRPr="00C2537B">
        <w:rPr>
          <w:rFonts w:ascii="Times New Roman" w:hAnsi="Times New Roman" w:cs="Times New Roman"/>
          <w:color w:val="77206D" w:themeColor="accent5" w:themeShade="BF"/>
        </w:rPr>
        <w:t>))</w:t>
      </w:r>
      <w:r w:rsidR="00F662C0" w:rsidRPr="00C2537B">
        <w:rPr>
          <w:rFonts w:ascii="Times New Roman" w:hAnsi="Times New Roman" w:cs="Times New Roman"/>
          <w:color w:val="77206D" w:themeColor="accent5" w:themeShade="BF"/>
        </w:rPr>
        <w:t xml:space="preserve"> </w:t>
      </w:r>
      <w:r w:rsidR="007F5E10" w:rsidRPr="00C2537B">
        <w:rPr>
          <w:rFonts w:ascii="Times New Roman" w:hAnsi="Times New Roman" w:cs="Times New Roman"/>
          <w:color w:val="77206D" w:themeColor="accent5" w:themeShade="BF"/>
        </w:rPr>
        <w:t>are</w:t>
      </w:r>
      <w:r w:rsidR="00F662C0" w:rsidRPr="00C2537B">
        <w:rPr>
          <w:rFonts w:ascii="Times New Roman" w:hAnsi="Times New Roman" w:cs="Times New Roman"/>
          <w:color w:val="77206D" w:themeColor="accent5" w:themeShade="BF"/>
        </w:rPr>
        <w:t xml:space="preserve"> spec</w:t>
      </w:r>
      <w:r w:rsidR="00DC394F" w:rsidRPr="00C2537B">
        <w:rPr>
          <w:rFonts w:ascii="Times New Roman" w:hAnsi="Times New Roman" w:cs="Times New Roman"/>
          <w:color w:val="77206D" w:themeColor="accent5" w:themeShade="BF"/>
        </w:rPr>
        <w:t>ified as</w:t>
      </w:r>
      <w:r w:rsidR="00E74F53" w:rsidRPr="00C2537B">
        <w:rPr>
          <w:rFonts w:ascii="Times New Roman" w:hAnsi="Times New Roman" w:cs="Times New Roman"/>
          <w:color w:val="77206D" w:themeColor="accent5" w:themeShade="BF"/>
        </w:rPr>
        <w:t xml:space="preserve"> </w:t>
      </w:r>
      <m:oMath>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Sub>
        <m:r>
          <w:rPr>
            <w:rFonts w:ascii="Cambria Math" w:eastAsiaTheme="minorEastAsia" w:hAnsi="Cambria Math" w:cs="Times New Roman"/>
            <w:color w:val="77206D" w:themeColor="accent5" w:themeShade="BF"/>
          </w:rPr>
          <m:t>=</m:t>
        </m:r>
        <m:f>
          <m:fPr>
            <m:type m:val="lin"/>
            <m:ctrlPr>
              <w:rPr>
                <w:rFonts w:ascii="Cambria Math" w:eastAsiaTheme="minorEastAsia" w:hAnsi="Cambria Math" w:cs="Times New Roman"/>
                <w:i/>
                <w:iCs/>
                <w:color w:val="77206D" w:themeColor="accent5" w:themeShade="BF"/>
              </w:rPr>
            </m:ctrlPr>
          </m:fPr>
          <m:num>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it</m:t>
                </m:r>
              </m:sub>
            </m:sSub>
          </m:num>
          <m:den>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t</m:t>
                </m:r>
              </m:sub>
            </m:sSub>
          </m:den>
        </m:f>
      </m:oMath>
      <w:r w:rsidR="00DC394F" w:rsidRPr="00C2537B">
        <w:rPr>
          <w:rFonts w:ascii="Times New Roman" w:hAnsi="Times New Roman" w:cs="Times New Roman"/>
          <w:color w:val="77206D" w:themeColor="accent5" w:themeShade="BF"/>
        </w:rPr>
        <w:t xml:space="preserve"> in which </w:t>
      </w:r>
      <m:oMath>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t</m:t>
            </m:r>
          </m:sub>
        </m:sSub>
        <m:r>
          <w:rPr>
            <w:rFonts w:ascii="Cambria Math" w:hAnsi="Cambria Math" w:cs="Times New Roman"/>
            <w:color w:val="77206D" w:themeColor="accent5" w:themeShade="BF"/>
          </w:rPr>
          <m:t>=</m:t>
        </m:r>
        <m:nary>
          <m:naryPr>
            <m:chr m:val="∑"/>
            <m:limLoc m:val="undOvr"/>
            <m:ctrlPr>
              <w:rPr>
                <w:rFonts w:ascii="Cambria Math" w:hAnsi="Cambria Math" w:cs="Times New Roman"/>
                <w:i/>
                <w:iCs/>
                <w:color w:val="77206D" w:themeColor="accent5" w:themeShade="BF"/>
              </w:rPr>
            </m:ctrlPr>
          </m:naryPr>
          <m:sub>
            <m:r>
              <w:rPr>
                <w:rFonts w:ascii="Cambria Math" w:hAnsi="Cambria Math" w:cs="Times New Roman"/>
                <w:color w:val="77206D" w:themeColor="accent5" w:themeShade="BF"/>
              </w:rPr>
              <m:t>i=1</m:t>
            </m:r>
          </m:sub>
          <m:sup>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N</m:t>
                </m:r>
              </m:e>
              <m:sub>
                <m:r>
                  <w:rPr>
                    <w:rFonts w:ascii="Cambria Math" w:hAnsi="Cambria Math" w:cs="Times New Roman"/>
                    <w:color w:val="77206D" w:themeColor="accent5" w:themeShade="BF"/>
                  </w:rPr>
                  <m:t>t</m:t>
                </m:r>
              </m:sub>
            </m:sSub>
          </m:sup>
          <m:e>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it</m:t>
                </m:r>
              </m:sub>
            </m:sSub>
          </m:e>
        </m:nary>
      </m:oMath>
      <w:r w:rsidR="00437453" w:rsidRPr="00C2537B">
        <w:rPr>
          <w:rFonts w:ascii="Times New Roman" w:hAnsi="Times New Roman" w:cs="Times New Roman"/>
          <w:color w:val="77206D" w:themeColor="accent5" w:themeShade="BF"/>
        </w:rPr>
        <w:t xml:space="preserve">. </w:t>
      </w:r>
    </w:p>
    <w:p w14:paraId="42273D8D" w14:textId="691901DE" w:rsidR="00847D22" w:rsidRPr="00C2537B" w:rsidRDefault="00437453" w:rsidP="00C939D1">
      <w:pPr>
        <w:pStyle w:val="ListParagraph"/>
        <w:numPr>
          <w:ilvl w:val="0"/>
          <w:numId w:val="3"/>
        </w:num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lastRenderedPageBreak/>
        <w:t xml:space="preserve">The weights in the delimitation </w:t>
      </w:r>
      <m:oMath>
        <m:r>
          <w:rPr>
            <w:rFonts w:ascii="Cambria Math" w:hAnsi="Cambria Math" w:cs="Times New Roman"/>
            <w:color w:val="77206D" w:themeColor="accent5" w:themeShade="BF"/>
          </w:rPr>
          <m:t>j</m:t>
        </m:r>
      </m:oMath>
      <w:r w:rsidR="007908B5" w:rsidRPr="00C2537B">
        <w:rPr>
          <w:rFonts w:ascii="Times New Roman" w:hAnsi="Times New Roman" w:cs="Times New Roman"/>
          <w:color w:val="77206D" w:themeColor="accent5" w:themeShade="BF"/>
        </w:rPr>
        <w:t>, which can represent sectors or locations (</w:t>
      </w:r>
      <w:r w:rsidR="00BE4ADF" w:rsidRPr="00C2537B">
        <w:rPr>
          <w:rFonts w:ascii="Times New Roman" w:hAnsi="Times New Roman" w:cs="Times New Roman"/>
          <w:color w:val="77206D" w:themeColor="accent5" w:themeShade="BF"/>
        </w:rPr>
        <w:t>e</w:t>
      </w:r>
      <w:r w:rsidR="007908B5" w:rsidRPr="00C2537B">
        <w:rPr>
          <w:rFonts w:ascii="Times New Roman" w:hAnsi="Times New Roman" w:cs="Times New Roman"/>
          <w:color w:val="77206D" w:themeColor="accent5" w:themeShade="BF"/>
        </w:rPr>
        <w:t>quation (</w:t>
      </w:r>
      <w:r w:rsidR="001C2438" w:rsidRPr="00C2537B">
        <w:rPr>
          <w:rFonts w:ascii="Times New Roman" w:hAnsi="Times New Roman" w:cs="Times New Roman"/>
          <w:color w:val="77206D" w:themeColor="accent5" w:themeShade="BF"/>
        </w:rPr>
        <w:t>4</w:t>
      </w:r>
      <w:r w:rsidR="007908B5" w:rsidRPr="00C2537B">
        <w:rPr>
          <w:rFonts w:ascii="Times New Roman" w:hAnsi="Times New Roman" w:cs="Times New Roman"/>
          <w:color w:val="77206D" w:themeColor="accent5" w:themeShade="BF"/>
        </w:rPr>
        <w:t>)),</w:t>
      </w:r>
      <w:r w:rsidRPr="00C2537B">
        <w:rPr>
          <w:rFonts w:ascii="Times New Roman" w:hAnsi="Times New Roman" w:cs="Times New Roman"/>
          <w:color w:val="77206D" w:themeColor="accent5" w:themeShade="BF"/>
        </w:rPr>
        <w:t xml:space="preserve"> are specified as </w:t>
      </w:r>
      <m:oMath>
        <m:sSubSup>
          <m:sSubSupPr>
            <m:ctrlPr>
              <w:rPr>
                <w:rFonts w:ascii="Cambria Math" w:hAnsi="Cambria Math" w:cs="Times New Roman"/>
                <w:i/>
                <w:color w:val="77206D" w:themeColor="accent5" w:themeShade="BF"/>
              </w:rPr>
            </m:ctrlPr>
          </m:sSubSup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up>
            <m:r>
              <w:rPr>
                <w:rFonts w:ascii="Cambria Math" w:hAnsi="Cambria Math" w:cs="Times New Roman"/>
                <w:color w:val="77206D" w:themeColor="accent5" w:themeShade="BF"/>
              </w:rPr>
              <m:t>j</m:t>
            </m:r>
          </m:sup>
        </m:sSubSup>
        <m:r>
          <w:rPr>
            <w:rFonts w:ascii="Cambria Math" w:eastAsiaTheme="minorEastAsia" w:hAnsi="Cambria Math" w:cs="Times New Roman"/>
            <w:color w:val="77206D" w:themeColor="accent5" w:themeShade="BF"/>
          </w:rPr>
          <m:t>=</m:t>
        </m:r>
        <m:f>
          <m:fPr>
            <m:type m:val="lin"/>
            <m:ctrlPr>
              <w:rPr>
                <w:rFonts w:ascii="Cambria Math" w:eastAsiaTheme="minorEastAsia" w:hAnsi="Cambria Math" w:cs="Times New Roman"/>
                <w:i/>
                <w:color w:val="77206D" w:themeColor="accent5" w:themeShade="BF"/>
              </w:rPr>
            </m:ctrlPr>
          </m:fPr>
          <m:num>
            <m:sSub>
              <m:sSubPr>
                <m:ctrlPr>
                  <w:rPr>
                    <w:rFonts w:ascii="Cambria Math" w:eastAsiaTheme="minorEastAsia" w:hAnsi="Cambria Math" w:cs="Times New Roman"/>
                    <w:i/>
                    <w:color w:val="77206D" w:themeColor="accent5" w:themeShade="BF"/>
                  </w:rPr>
                </m:ctrlPr>
              </m:sSubPr>
              <m:e>
                <m:r>
                  <w:rPr>
                    <w:rFonts w:ascii="Cambria Math" w:eastAsiaTheme="minorEastAsia" w:hAnsi="Cambria Math" w:cs="Times New Roman"/>
                    <w:color w:val="77206D" w:themeColor="accent5" w:themeShade="BF"/>
                  </w:rPr>
                  <m:t>Y</m:t>
                </m:r>
              </m:e>
              <m:sub>
                <m:r>
                  <w:rPr>
                    <w:rFonts w:ascii="Cambria Math" w:eastAsiaTheme="minorEastAsia" w:hAnsi="Cambria Math" w:cs="Times New Roman"/>
                    <w:color w:val="77206D" w:themeColor="accent5" w:themeShade="BF"/>
                  </w:rPr>
                  <m:t>it</m:t>
                </m:r>
              </m:sub>
            </m:sSub>
          </m:num>
          <m:den>
            <m:sSubSup>
              <m:sSubSupPr>
                <m:ctrlPr>
                  <w:rPr>
                    <w:rFonts w:ascii="Cambria Math" w:eastAsiaTheme="minorEastAsia" w:hAnsi="Cambria Math" w:cs="Times New Roman"/>
                    <w:i/>
                    <w:color w:val="77206D" w:themeColor="accent5" w:themeShade="BF"/>
                  </w:rPr>
                </m:ctrlPr>
              </m:sSubSupPr>
              <m:e>
                <m:r>
                  <w:rPr>
                    <w:rFonts w:ascii="Cambria Math" w:eastAsiaTheme="minorEastAsia" w:hAnsi="Cambria Math" w:cs="Times New Roman"/>
                    <w:color w:val="77206D" w:themeColor="accent5" w:themeShade="BF"/>
                  </w:rPr>
                  <m:t>Y</m:t>
                </m:r>
              </m:e>
              <m:sub>
                <m:r>
                  <w:rPr>
                    <w:rFonts w:ascii="Cambria Math" w:eastAsiaTheme="minorEastAsia" w:hAnsi="Cambria Math" w:cs="Times New Roman"/>
                    <w:color w:val="77206D" w:themeColor="accent5" w:themeShade="BF"/>
                  </w:rPr>
                  <m:t>t</m:t>
                </m:r>
              </m:sub>
              <m:sup>
                <m:r>
                  <w:rPr>
                    <w:rFonts w:ascii="Cambria Math" w:eastAsiaTheme="minorEastAsia" w:hAnsi="Cambria Math" w:cs="Times New Roman"/>
                    <w:color w:val="77206D" w:themeColor="accent5" w:themeShade="BF"/>
                  </w:rPr>
                  <m:t>j</m:t>
                </m:r>
              </m:sup>
            </m:sSubSup>
          </m:den>
        </m:f>
      </m:oMath>
      <w:r w:rsidRPr="00C2537B">
        <w:rPr>
          <w:rFonts w:ascii="Times New Roman" w:hAnsi="Times New Roman" w:cs="Times New Roman"/>
          <w:color w:val="77206D" w:themeColor="accent5" w:themeShade="BF"/>
        </w:rPr>
        <w:t xml:space="preserve"> in which </w:t>
      </w:r>
      <w:r w:rsidR="00F53AC6" w:rsidRPr="00C2537B">
        <w:rPr>
          <w:rFonts w:ascii="Times New Roman" w:eastAsiaTheme="minorEastAsia" w:hAnsi="Times New Roman" w:cs="Times New Roman"/>
          <w:iCs/>
          <w:color w:val="77206D" w:themeColor="accent5" w:themeShade="BF"/>
        </w:rPr>
        <w:t xml:space="preserve"> </w:t>
      </w:r>
      <m:oMath>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t</m:t>
            </m:r>
          </m:sub>
          <m:sup>
            <m:r>
              <w:rPr>
                <w:rFonts w:ascii="Cambria Math" w:hAnsi="Cambria Math" w:cs="Times New Roman"/>
                <w:color w:val="77206D" w:themeColor="accent5" w:themeShade="BF"/>
              </w:rPr>
              <m:t>j</m:t>
            </m:r>
          </m:sup>
        </m:sSubSup>
        <m:r>
          <w:rPr>
            <w:rFonts w:ascii="Cambria Math" w:hAnsi="Cambria Math" w:cs="Times New Roman"/>
            <w:color w:val="77206D" w:themeColor="accent5" w:themeShade="BF"/>
          </w:rPr>
          <m:t>=</m:t>
        </m:r>
        <m:nary>
          <m:naryPr>
            <m:chr m:val="∑"/>
            <m:limLoc m:val="undOvr"/>
            <m:ctrlPr>
              <w:rPr>
                <w:rFonts w:ascii="Cambria Math" w:hAnsi="Cambria Math" w:cs="Times New Roman"/>
                <w:i/>
                <w:iCs/>
                <w:color w:val="77206D" w:themeColor="accent5" w:themeShade="BF"/>
              </w:rPr>
            </m:ctrlPr>
          </m:naryPr>
          <m:sub>
            <m:r>
              <w:rPr>
                <w:rFonts w:ascii="Cambria Math" w:hAnsi="Cambria Math" w:cs="Times New Roman"/>
                <w:color w:val="77206D" w:themeColor="accent5" w:themeShade="BF"/>
              </w:rPr>
              <m:t>i=1</m:t>
            </m:r>
          </m:sub>
          <m:sup>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N</m:t>
                </m:r>
              </m:e>
              <m:sub>
                <m:r>
                  <w:rPr>
                    <w:rFonts w:ascii="Cambria Math" w:hAnsi="Cambria Math" w:cs="Times New Roman"/>
                    <w:color w:val="77206D" w:themeColor="accent5" w:themeShade="BF"/>
                  </w:rPr>
                  <m:t>t</m:t>
                </m:r>
              </m:sub>
              <m:sup>
                <m:r>
                  <w:rPr>
                    <w:rFonts w:ascii="Cambria Math" w:hAnsi="Cambria Math" w:cs="Times New Roman"/>
                    <w:color w:val="77206D" w:themeColor="accent5" w:themeShade="BF"/>
                  </w:rPr>
                  <m:t>j</m:t>
                </m:r>
              </m:sup>
            </m:sSubSup>
          </m:sup>
          <m:e>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it</m:t>
                </m:r>
              </m:sub>
              <m:sup>
                <m:r>
                  <w:rPr>
                    <w:rFonts w:ascii="Cambria Math" w:hAnsi="Cambria Math" w:cs="Times New Roman"/>
                    <w:color w:val="77206D" w:themeColor="accent5" w:themeShade="BF"/>
                  </w:rPr>
                  <m:t>j</m:t>
                </m:r>
              </m:sup>
            </m:sSubSup>
          </m:e>
        </m:nary>
      </m:oMath>
      <w:r w:rsidRPr="00C2537B">
        <w:rPr>
          <w:rFonts w:ascii="Times New Roman" w:hAnsi="Times New Roman" w:cs="Times New Roman"/>
          <w:color w:val="77206D" w:themeColor="accent5" w:themeShade="BF"/>
        </w:rPr>
        <w:t>.</w:t>
      </w:r>
    </w:p>
    <w:p w14:paraId="09F63E95" w14:textId="440F39C9" w:rsidR="005624CD" w:rsidRPr="00C2537B" w:rsidRDefault="00847D22" w:rsidP="00C939D1">
      <w:pPr>
        <w:pStyle w:val="ListParagraph"/>
        <w:numPr>
          <w:ilvl w:val="0"/>
          <w:numId w:val="3"/>
        </w:num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Both weights</w:t>
      </w:r>
      <w:r w:rsidR="006D0336" w:rsidRPr="00C2537B">
        <w:rPr>
          <w:rFonts w:ascii="Times New Roman" w:hAnsi="Times New Roman" w:cs="Times New Roman"/>
          <w:color w:val="77206D" w:themeColor="accent5" w:themeShade="BF"/>
        </w:rPr>
        <w:t xml:space="preserve"> </w:t>
      </w:r>
      <w:r w:rsidR="009341FC" w:rsidRPr="00C2537B">
        <w:rPr>
          <w:rFonts w:ascii="Times New Roman" w:hAnsi="Times New Roman" w:cs="Times New Roman"/>
          <w:color w:val="77206D" w:themeColor="accent5" w:themeShade="BF"/>
        </w:rPr>
        <w:t xml:space="preserve">are normalised </w:t>
      </w:r>
      <w:r w:rsidR="006D0336" w:rsidRPr="00C2537B">
        <w:rPr>
          <w:rFonts w:ascii="Times New Roman" w:hAnsi="Times New Roman" w:cs="Times New Roman"/>
          <w:color w:val="77206D" w:themeColor="accent5" w:themeShade="BF"/>
        </w:rPr>
        <w:t>in the (national) aggregate economy (</w:t>
      </w:r>
      <m:oMath>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Sub>
      </m:oMath>
      <w:r w:rsidR="006D0336" w:rsidRPr="00C2537B">
        <w:rPr>
          <w:rFonts w:ascii="Times New Roman" w:hAnsi="Times New Roman" w:cs="Times New Roman"/>
          <w:color w:val="77206D" w:themeColor="accent5" w:themeShade="BF"/>
        </w:rPr>
        <w:t xml:space="preserve">) and in the </w:t>
      </w:r>
      <w:r w:rsidR="009341FC" w:rsidRPr="00C2537B">
        <w:rPr>
          <w:rFonts w:ascii="Times New Roman" w:hAnsi="Times New Roman" w:cs="Times New Roman"/>
          <w:color w:val="77206D" w:themeColor="accent5" w:themeShade="BF"/>
        </w:rPr>
        <w:t xml:space="preserve">(sectoral or locational) subsample </w:t>
      </w:r>
      <m:oMath>
        <m:r>
          <w:rPr>
            <w:rFonts w:ascii="Cambria Math" w:hAnsi="Cambria Math" w:cs="Times New Roman"/>
            <w:color w:val="77206D" w:themeColor="accent5" w:themeShade="BF"/>
          </w:rPr>
          <m:t>j</m:t>
        </m:r>
      </m:oMath>
      <w:r w:rsidR="009341FC" w:rsidRPr="00C2537B">
        <w:rPr>
          <w:rFonts w:ascii="Times New Roman" w:hAnsi="Times New Roman" w:cs="Times New Roman"/>
          <w:color w:val="77206D" w:themeColor="accent5" w:themeShade="BF"/>
        </w:rPr>
        <w:t xml:space="preserve"> (</w:t>
      </w:r>
      <m:oMath>
        <m:sSubSup>
          <m:sSubSupPr>
            <m:ctrlPr>
              <w:rPr>
                <w:rFonts w:ascii="Cambria Math" w:hAnsi="Cambria Math" w:cs="Times New Roman"/>
                <w:i/>
                <w:color w:val="77206D" w:themeColor="accent5" w:themeShade="BF"/>
              </w:rPr>
            </m:ctrlPr>
          </m:sSubSup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up>
            <m:r>
              <w:rPr>
                <w:rFonts w:ascii="Cambria Math" w:hAnsi="Cambria Math" w:cs="Times New Roman"/>
                <w:color w:val="77206D" w:themeColor="accent5" w:themeShade="BF"/>
              </w:rPr>
              <m:t>j</m:t>
            </m:r>
          </m:sup>
        </m:sSubSup>
      </m:oMath>
      <w:r w:rsidR="00D855A8" w:rsidRPr="00C2537B">
        <w:rPr>
          <w:rFonts w:ascii="Times New Roman" w:hAnsi="Times New Roman" w:cs="Times New Roman"/>
          <w:color w:val="77206D" w:themeColor="accent5" w:themeShade="BF"/>
        </w:rPr>
        <w:t xml:space="preserve">). </w:t>
      </w:r>
      <w:r w:rsidR="002C2A46" w:rsidRPr="00C2537B">
        <w:rPr>
          <w:rFonts w:ascii="Times New Roman" w:hAnsi="Times New Roman" w:cs="Times New Roman"/>
          <w:color w:val="77206D" w:themeColor="accent5" w:themeShade="BF"/>
        </w:rPr>
        <w:t>Normalised weights a</w:t>
      </w:r>
      <w:r w:rsidR="00900C53">
        <w:rPr>
          <w:rFonts w:ascii="Times New Roman" w:hAnsi="Times New Roman" w:cs="Times New Roman"/>
          <w:color w:val="77206D" w:themeColor="accent5" w:themeShade="BF"/>
        </w:rPr>
        <w:t>re</w:t>
      </w:r>
      <w:r w:rsidR="002C2A46" w:rsidRPr="00C2537B">
        <w:rPr>
          <w:rFonts w:ascii="Times New Roman" w:hAnsi="Times New Roman" w:cs="Times New Roman"/>
          <w:color w:val="77206D" w:themeColor="accent5" w:themeShade="BF"/>
        </w:rPr>
        <w:t xml:space="preserve"> specified as:</w:t>
      </w:r>
      <m:oMath>
        <m:nary>
          <m:naryPr>
            <m:chr m:val="∑"/>
            <m:limLoc m:val="undOvr"/>
            <m:ctrlPr>
              <w:rPr>
                <w:rFonts w:ascii="Cambria Math" w:hAnsi="Cambria Math" w:cs="Times New Roman"/>
                <w:i/>
                <w:iCs/>
                <w:color w:val="77206D" w:themeColor="accent5" w:themeShade="BF"/>
              </w:rPr>
            </m:ctrlPr>
          </m:naryPr>
          <m:sub>
            <m:r>
              <w:rPr>
                <w:rFonts w:ascii="Cambria Math" w:hAnsi="Cambria Math" w:cs="Times New Roman"/>
                <w:color w:val="77206D" w:themeColor="accent5" w:themeShade="BF"/>
              </w:rPr>
              <m:t>i=1</m:t>
            </m:r>
          </m:sub>
          <m:sup>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N</m:t>
                </m:r>
              </m:e>
              <m:sub>
                <m:r>
                  <w:rPr>
                    <w:rFonts w:ascii="Cambria Math" w:hAnsi="Cambria Math" w:cs="Times New Roman"/>
                    <w:color w:val="77206D" w:themeColor="accent5" w:themeShade="BF"/>
                  </w:rPr>
                  <m:t>t</m:t>
                </m:r>
              </m:sub>
            </m:sSub>
          </m:sup>
          <m:e>
            <m:sSub>
              <m:sSubPr>
                <m:ctrlPr>
                  <w:rPr>
                    <w:rFonts w:ascii="Cambria Math" w:hAnsi="Cambria Math" w:cs="Times New Roman"/>
                    <w:i/>
                    <w:iCs/>
                    <w:color w:val="77206D" w:themeColor="accent5" w:themeShade="BF"/>
                  </w:rPr>
                </m:ctrlPr>
              </m:sSub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Sub>
            <m:r>
              <w:rPr>
                <w:rFonts w:ascii="Cambria Math" w:hAnsi="Cambria Math" w:cs="Times New Roman"/>
                <w:color w:val="77206D" w:themeColor="accent5" w:themeShade="BF"/>
              </w:rPr>
              <m:t>=1</m:t>
            </m:r>
          </m:e>
        </m:nary>
      </m:oMath>
      <w:r w:rsidR="009636F2" w:rsidRPr="00C2537B">
        <w:rPr>
          <w:rFonts w:ascii="Times New Roman" w:hAnsi="Times New Roman" w:cs="Times New Roman"/>
          <w:color w:val="77206D" w:themeColor="accent5" w:themeShade="BF"/>
        </w:rPr>
        <w:t xml:space="preserve">, and </w:t>
      </w:r>
      <m:oMath>
        <m:nary>
          <m:naryPr>
            <m:chr m:val="∑"/>
            <m:limLoc m:val="undOvr"/>
            <m:ctrlPr>
              <w:rPr>
                <w:rFonts w:ascii="Cambria Math" w:hAnsi="Cambria Math" w:cs="Times New Roman"/>
                <w:i/>
                <w:iCs/>
                <w:color w:val="77206D" w:themeColor="accent5" w:themeShade="BF"/>
              </w:rPr>
            </m:ctrlPr>
          </m:naryPr>
          <m:sub>
            <m:r>
              <w:rPr>
                <w:rFonts w:ascii="Cambria Math" w:hAnsi="Cambria Math" w:cs="Times New Roman"/>
                <w:color w:val="77206D" w:themeColor="accent5" w:themeShade="BF"/>
              </w:rPr>
              <m:t>i=1</m:t>
            </m:r>
          </m:sub>
          <m:sup>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N</m:t>
                </m:r>
              </m:e>
              <m:sub>
                <m:r>
                  <w:rPr>
                    <w:rFonts w:ascii="Cambria Math" w:hAnsi="Cambria Math" w:cs="Times New Roman"/>
                    <w:color w:val="77206D" w:themeColor="accent5" w:themeShade="BF"/>
                  </w:rPr>
                  <m:t>t</m:t>
                </m:r>
              </m:sub>
              <m:sup>
                <m:r>
                  <w:rPr>
                    <w:rFonts w:ascii="Cambria Math" w:hAnsi="Cambria Math" w:cs="Times New Roman"/>
                    <w:color w:val="77206D" w:themeColor="accent5" w:themeShade="BF"/>
                  </w:rPr>
                  <m:t>j</m:t>
                </m:r>
              </m:sup>
            </m:sSubSup>
          </m:sup>
          <m:e>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up>
                <m:r>
                  <w:rPr>
                    <w:rFonts w:ascii="Cambria Math" w:hAnsi="Cambria Math" w:cs="Times New Roman"/>
                    <w:color w:val="77206D" w:themeColor="accent5" w:themeShade="BF"/>
                  </w:rPr>
                  <m:t>j</m:t>
                </m:r>
              </m:sup>
            </m:sSubSup>
          </m:e>
        </m:nary>
        <m:r>
          <w:rPr>
            <w:rFonts w:ascii="Cambria Math" w:eastAsiaTheme="minorEastAsia" w:hAnsi="Cambria Math" w:cs="Times New Roman"/>
            <w:color w:val="77206D" w:themeColor="accent5" w:themeShade="BF"/>
          </w:rPr>
          <m:t>=1</m:t>
        </m:r>
      </m:oMath>
      <w:r w:rsidR="009C2DC2" w:rsidRPr="00C2537B">
        <w:rPr>
          <w:rFonts w:ascii="Times New Roman" w:hAnsi="Times New Roman" w:cs="Times New Roman"/>
          <w:color w:val="77206D" w:themeColor="accent5" w:themeShade="BF"/>
        </w:rPr>
        <w:t>.</w:t>
      </w:r>
      <w:r w:rsidR="00CA56D6" w:rsidRPr="00C2537B">
        <w:rPr>
          <w:rFonts w:ascii="Times New Roman" w:hAnsi="Times New Roman" w:cs="Times New Roman"/>
          <w:color w:val="77206D" w:themeColor="accent5" w:themeShade="BF"/>
        </w:rPr>
        <w:t xml:space="preserve"> This is the specification that </w:t>
      </w:r>
      <w:sdt>
        <w:sdtPr>
          <w:rPr>
            <w:rFonts w:ascii="Times New Roman" w:hAnsi="Times New Roman" w:cs="Times New Roman"/>
            <w:color w:val="78206E"/>
          </w:rPr>
          <w:tag w:val="MENDELEY_CITATION_v3_eyJjaXRhdGlvbklEIjoiTUVOREVMRVlfQ0lUQVRJT05fNzE3ZmQwMDUtM2UyNC00NzkwLTlkYWQtMzZkYzAyNjg3NjQy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1914512386"/>
          <w:placeholder>
            <w:docPart w:val="DefaultPlaceholder_-1854013440"/>
          </w:placeholder>
        </w:sdtPr>
        <w:sdtContent>
          <w:r w:rsidR="003C0A51" w:rsidRPr="003C0A51">
            <w:rPr>
              <w:rFonts w:ascii="Times New Roman" w:eastAsia="Times New Roman" w:hAnsi="Times New Roman" w:cs="Times New Roman"/>
              <w:color w:val="78206E"/>
            </w:rPr>
            <w:t>Melitz &amp; Polanec (2015)</w:t>
          </w:r>
        </w:sdtContent>
      </w:sdt>
      <w:r w:rsidR="00033A5C">
        <w:rPr>
          <w:rFonts w:ascii="Times New Roman" w:hAnsi="Times New Roman" w:cs="Times New Roman"/>
          <w:color w:val="78206E"/>
        </w:rPr>
        <w:t xml:space="preserve"> </w:t>
      </w:r>
      <w:r w:rsidR="007F5D28" w:rsidRPr="00C2537B">
        <w:rPr>
          <w:rFonts w:ascii="Times New Roman" w:hAnsi="Times New Roman" w:cs="Times New Roman"/>
          <w:color w:val="77206D" w:themeColor="accent5" w:themeShade="BF"/>
        </w:rPr>
        <w:t xml:space="preserve"> propose.</w:t>
      </w:r>
    </w:p>
    <w:p w14:paraId="790CAA66" w14:textId="77777777" w:rsidR="00D2797B" w:rsidRDefault="002B4048" w:rsidP="00D2797B">
      <w:pPr>
        <w:rPr>
          <w:rFonts w:ascii="Times New Roman" w:hAnsi="Times New Roman" w:cs="Times New Roman"/>
        </w:rPr>
      </w:pPr>
      <w:r w:rsidRPr="00AF7AE3">
        <w:rPr>
          <w:rFonts w:ascii="Times New Roman" w:hAnsi="Times New Roman" w:cs="Times New Roman"/>
          <w:b/>
          <w:bCs/>
        </w:rPr>
        <w:t>2. Equation (10): Methodological Misalignment</w:t>
      </w:r>
      <w:r w:rsidRPr="00AF7AE3">
        <w:rPr>
          <w:rFonts w:ascii="Times New Roman" w:hAnsi="Times New Roman" w:cs="Times New Roman"/>
          <w:b/>
          <w:bCs/>
        </w:rPr>
        <w:br/>
      </w:r>
      <w:r w:rsidRPr="00AF7AE3">
        <w:rPr>
          <w:rFonts w:ascii="Times New Roman" w:hAnsi="Times New Roman" w:cs="Times New Roman"/>
        </w:rPr>
        <w:t xml:space="preserve">The decomposition in Equation (10) conflates key concepts from Melitz &amp; Polanec (2015). The first term should represent the change in mean productivity of surviving firms, not the mean of firm-level productivity changes. While mathematically equivalent in some cases, this deviation from the standard presentation risks confusing readers familiar with the original decomposition framework. Additionally, N_{t} in the first term should be replaced with N_{t}^{s} since it specifically denotes surviving establishments, not the total population. The third and fourth terms incorrectly use \theta_{it}^{E}, if \theta_{it}^{E} represents the normalized weight​, for both group weights and aggregate productivity calculations. When computing these two terms, you should use \theta_{it} for group weights and normalized </w:t>
      </w:r>
      <w:proofErr w:type="gramStart"/>
      <w:r w:rsidRPr="00AF7AE3">
        <w:rPr>
          <w:rFonts w:ascii="Times New Roman" w:hAnsi="Times New Roman" w:cs="Times New Roman"/>
        </w:rPr>
        <w:t>weight</w:t>
      </w:r>
      <w:proofErr w:type="gramEnd"/>
      <w:r w:rsidRPr="00AF7AE3">
        <w:rPr>
          <w:rFonts w:ascii="Times New Roman" w:hAnsi="Times New Roman" w:cs="Times New Roman"/>
        </w:rPr>
        <w:t>, e.g. \theta_{it}^{E}, etc for aggregate productivity, i.e. the two components inside the {}.​ Verify whether your empirical code aligns with this distinction.</w:t>
      </w:r>
      <w:r w:rsidRPr="00AF7AE3">
        <w:rPr>
          <w:rFonts w:ascii="Times New Roman" w:hAnsi="Times New Roman" w:cs="Times New Roman"/>
        </w:rPr>
        <w:br/>
      </w:r>
    </w:p>
    <w:p w14:paraId="6FC88FCF" w14:textId="5D9A0708" w:rsidR="0010462E" w:rsidRPr="00C2537B" w:rsidRDefault="00F30F8C" w:rsidP="00D2797B">
      <w:pPr>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The reviewer is right</w:t>
      </w:r>
      <w:r w:rsidR="00D955CD" w:rsidRPr="00C2537B">
        <w:rPr>
          <w:rFonts w:ascii="Times New Roman" w:hAnsi="Times New Roman" w:cs="Times New Roman"/>
          <w:color w:val="77206D" w:themeColor="accent5" w:themeShade="BF"/>
        </w:rPr>
        <w:t xml:space="preserve"> in these observations</w:t>
      </w:r>
      <w:r w:rsidR="00BE4ADF" w:rsidRPr="00C2537B">
        <w:rPr>
          <w:rFonts w:ascii="Times New Roman" w:hAnsi="Times New Roman" w:cs="Times New Roman"/>
          <w:color w:val="77206D" w:themeColor="accent5" w:themeShade="BF"/>
        </w:rPr>
        <w:t xml:space="preserve">. The </w:t>
      </w:r>
      <w:r w:rsidR="00073CE6" w:rsidRPr="00C2537B">
        <w:rPr>
          <w:rFonts w:ascii="Times New Roman" w:hAnsi="Times New Roman" w:cs="Times New Roman"/>
          <w:color w:val="77206D" w:themeColor="accent5" w:themeShade="BF"/>
        </w:rPr>
        <w:t>author has renumbered equation (1</w:t>
      </w:r>
      <w:r w:rsidR="00C52626" w:rsidRPr="00C2537B">
        <w:rPr>
          <w:rFonts w:ascii="Times New Roman" w:hAnsi="Times New Roman" w:cs="Times New Roman"/>
          <w:color w:val="77206D" w:themeColor="accent5" w:themeShade="BF"/>
        </w:rPr>
        <w:t>0</w:t>
      </w:r>
      <w:r w:rsidR="00073CE6" w:rsidRPr="00C2537B">
        <w:rPr>
          <w:rFonts w:ascii="Times New Roman" w:hAnsi="Times New Roman" w:cs="Times New Roman"/>
          <w:color w:val="77206D" w:themeColor="accent5" w:themeShade="BF"/>
        </w:rPr>
        <w:t>)</w:t>
      </w:r>
      <w:r w:rsidR="00C52626" w:rsidRPr="00C2537B">
        <w:rPr>
          <w:rFonts w:ascii="Times New Roman" w:hAnsi="Times New Roman" w:cs="Times New Roman"/>
          <w:color w:val="77206D" w:themeColor="accent5" w:themeShade="BF"/>
        </w:rPr>
        <w:t xml:space="preserve"> to equation (12)</w:t>
      </w:r>
      <w:r w:rsidR="00073CE6" w:rsidRPr="00C2537B">
        <w:rPr>
          <w:rFonts w:ascii="Times New Roman" w:hAnsi="Times New Roman" w:cs="Times New Roman"/>
          <w:color w:val="77206D" w:themeColor="accent5" w:themeShade="BF"/>
        </w:rPr>
        <w:t xml:space="preserve"> and </w:t>
      </w:r>
      <w:r w:rsidR="0010462E" w:rsidRPr="00C2537B">
        <w:rPr>
          <w:rFonts w:ascii="Times New Roman" w:hAnsi="Times New Roman" w:cs="Times New Roman"/>
          <w:color w:val="77206D" w:themeColor="accent5" w:themeShade="BF"/>
        </w:rPr>
        <w:t xml:space="preserve">revised </w:t>
      </w:r>
      <w:r w:rsidR="0086661C" w:rsidRPr="00C2537B">
        <w:rPr>
          <w:rFonts w:ascii="Times New Roman" w:hAnsi="Times New Roman" w:cs="Times New Roman"/>
          <w:color w:val="77206D" w:themeColor="accent5" w:themeShade="BF"/>
        </w:rPr>
        <w:t xml:space="preserve">it </w:t>
      </w:r>
      <w:r w:rsidR="0010462E" w:rsidRPr="00C2537B">
        <w:rPr>
          <w:rFonts w:ascii="Times New Roman" w:hAnsi="Times New Roman" w:cs="Times New Roman"/>
          <w:color w:val="77206D" w:themeColor="accent5" w:themeShade="BF"/>
        </w:rPr>
        <w:t>as follows</w:t>
      </w:r>
      <w:r w:rsidR="007E2847" w:rsidRPr="00C2537B">
        <w:rPr>
          <w:rFonts w:ascii="Times New Roman" w:hAnsi="Times New Roman" w:cs="Times New Roman"/>
          <w:color w:val="77206D" w:themeColor="accent5" w:themeShade="BF"/>
        </w:rPr>
        <w:t xml:space="preserve">. </w:t>
      </w:r>
    </w:p>
    <w:p w14:paraId="071A793E" w14:textId="51569527" w:rsidR="0010462E" w:rsidRPr="00C2537B" w:rsidRDefault="004F7091" w:rsidP="00C939D1">
      <w:pPr>
        <w:pStyle w:val="ListParagraph"/>
        <w:numPr>
          <w:ilvl w:val="0"/>
          <w:numId w:val="6"/>
        </w:num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 xml:space="preserve">The author has revised the mathematical </w:t>
      </w:r>
      <w:r w:rsidR="00C45F1D" w:rsidRPr="00C2537B">
        <w:rPr>
          <w:rFonts w:ascii="Times New Roman" w:hAnsi="Times New Roman" w:cs="Times New Roman"/>
          <w:color w:val="77206D" w:themeColor="accent5" w:themeShade="BF"/>
        </w:rPr>
        <w:t xml:space="preserve">notation </w:t>
      </w:r>
      <w:r w:rsidRPr="00C2537B">
        <w:rPr>
          <w:rFonts w:ascii="Times New Roman" w:hAnsi="Times New Roman" w:cs="Times New Roman"/>
          <w:color w:val="77206D" w:themeColor="accent5" w:themeShade="BF"/>
        </w:rPr>
        <w:t xml:space="preserve">of the first term in the </w:t>
      </w:r>
      <w:sdt>
        <w:sdtPr>
          <w:rPr>
            <w:rFonts w:ascii="Times New Roman" w:hAnsi="Times New Roman" w:cs="Times New Roman"/>
            <w:color w:val="78206E"/>
          </w:rPr>
          <w:tag w:val="MENDELEY_CITATION_v3_eyJjaXRhdGlvbklEIjoiTUVOREVMRVlfQ0lUQVRJT05fNDQ1MGJhYTktYmRiMy00YmUxLTg3MjctZThhYmY4MjRiNmNi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1927769775"/>
          <w:placeholder>
            <w:docPart w:val="DefaultPlaceholder_-1854013440"/>
          </w:placeholder>
        </w:sdtPr>
        <w:sdtContent>
          <w:r w:rsidR="003C0A51" w:rsidRPr="003C0A51">
            <w:rPr>
              <w:rFonts w:ascii="Times New Roman" w:eastAsia="Times New Roman" w:hAnsi="Times New Roman" w:cs="Times New Roman"/>
              <w:color w:val="78206E"/>
            </w:rPr>
            <w:t>Melitz &amp; Polanec (2015)</w:t>
          </w:r>
        </w:sdtContent>
      </w:sdt>
      <w:r w:rsidR="00033A5C">
        <w:rPr>
          <w:rFonts w:ascii="Times New Roman" w:hAnsi="Times New Roman" w:cs="Times New Roman"/>
          <w:color w:val="78206E"/>
        </w:rPr>
        <w:t xml:space="preserve"> </w:t>
      </w:r>
      <w:r w:rsidR="00EC671F" w:rsidRPr="00C2537B">
        <w:rPr>
          <w:rFonts w:ascii="Times New Roman" w:hAnsi="Times New Roman" w:cs="Times New Roman"/>
          <w:color w:val="77206D" w:themeColor="accent5" w:themeShade="BF"/>
        </w:rPr>
        <w:t xml:space="preserve">decomposition in equation </w:t>
      </w:r>
      <w:r w:rsidR="007F65AA" w:rsidRPr="00C2537B">
        <w:rPr>
          <w:rFonts w:ascii="Times New Roman" w:hAnsi="Times New Roman" w:cs="Times New Roman"/>
          <w:color w:val="77206D" w:themeColor="accent5" w:themeShade="BF"/>
        </w:rPr>
        <w:t>(12)</w:t>
      </w:r>
      <w:r w:rsidR="00EC671F" w:rsidRPr="00C2537B">
        <w:rPr>
          <w:rFonts w:ascii="Times New Roman" w:hAnsi="Times New Roman" w:cs="Times New Roman"/>
          <w:color w:val="77206D" w:themeColor="accent5" w:themeShade="BF"/>
        </w:rPr>
        <w:t xml:space="preserve">. To clarify this first term, </w:t>
      </w:r>
      <w:r w:rsidR="00DA59B0" w:rsidRPr="00C2537B">
        <w:rPr>
          <w:rFonts w:ascii="Times New Roman" w:hAnsi="Times New Roman" w:cs="Times New Roman"/>
          <w:color w:val="77206D" w:themeColor="accent5" w:themeShade="BF"/>
        </w:rPr>
        <w:t>the author</w:t>
      </w:r>
      <w:r w:rsidR="00BF6E26" w:rsidRPr="00C2537B">
        <w:rPr>
          <w:rFonts w:ascii="Times New Roman" w:hAnsi="Times New Roman" w:cs="Times New Roman"/>
          <w:color w:val="77206D" w:themeColor="accent5" w:themeShade="BF"/>
        </w:rPr>
        <w:t xml:space="preserve"> also included footnote</w:t>
      </w:r>
      <w:r w:rsidR="00B35B69" w:rsidRPr="00C2537B">
        <w:rPr>
          <w:rFonts w:ascii="Times New Roman" w:hAnsi="Times New Roman" w:cs="Times New Roman"/>
          <w:color w:val="77206D" w:themeColor="accent5" w:themeShade="BF"/>
        </w:rPr>
        <w:t xml:space="preserve"> </w:t>
      </w:r>
      <w:r w:rsidR="00C160AD">
        <w:rPr>
          <w:rFonts w:ascii="Times New Roman" w:hAnsi="Times New Roman" w:cs="Times New Roman"/>
          <w:color w:val="77206D" w:themeColor="accent5" w:themeShade="BF"/>
        </w:rPr>
        <w:t>10</w:t>
      </w:r>
      <w:r w:rsidR="00BF6E26" w:rsidRPr="00C2537B">
        <w:rPr>
          <w:rFonts w:ascii="Times New Roman" w:hAnsi="Times New Roman" w:cs="Times New Roman"/>
          <w:color w:val="77206D" w:themeColor="accent5" w:themeShade="BF"/>
        </w:rPr>
        <w:t>.</w:t>
      </w:r>
    </w:p>
    <w:p w14:paraId="4A88B965" w14:textId="5EF2714F" w:rsidR="004A479C" w:rsidRPr="00C2537B" w:rsidRDefault="0078502D" w:rsidP="00C939D1">
      <w:pPr>
        <w:pStyle w:val="ListParagraph"/>
        <w:numPr>
          <w:ilvl w:val="0"/>
          <w:numId w:val="6"/>
        </w:num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Regarding the third and fourth</w:t>
      </w:r>
      <w:r w:rsidR="00204759" w:rsidRPr="00C2537B">
        <w:rPr>
          <w:rFonts w:ascii="Times New Roman" w:hAnsi="Times New Roman" w:cs="Times New Roman"/>
          <w:color w:val="77206D" w:themeColor="accent5" w:themeShade="BF"/>
        </w:rPr>
        <w:t xml:space="preserve"> terms</w:t>
      </w:r>
      <w:r w:rsidRPr="00C2537B">
        <w:rPr>
          <w:rFonts w:ascii="Times New Roman" w:hAnsi="Times New Roman" w:cs="Times New Roman"/>
          <w:color w:val="77206D" w:themeColor="accent5" w:themeShade="BF"/>
        </w:rPr>
        <w:t xml:space="preserve">, </w:t>
      </w:r>
      <w:r w:rsidR="00821F08" w:rsidRPr="00C2537B">
        <w:rPr>
          <w:rFonts w:ascii="Times New Roman" w:hAnsi="Times New Roman" w:cs="Times New Roman"/>
          <w:color w:val="77206D" w:themeColor="accent5" w:themeShade="BF"/>
        </w:rPr>
        <w:t xml:space="preserve">the author expressed the mathematical notation </w:t>
      </w:r>
      <w:r w:rsidRPr="00C2537B">
        <w:rPr>
          <w:rFonts w:ascii="Times New Roman" w:hAnsi="Times New Roman" w:cs="Times New Roman"/>
          <w:color w:val="77206D" w:themeColor="accent5" w:themeShade="BF"/>
        </w:rPr>
        <w:t xml:space="preserve">incorrectly, but the (programming) code was correct. The </w:t>
      </w:r>
      <w:r w:rsidR="00DD4F28" w:rsidRPr="00C2537B">
        <w:rPr>
          <w:rFonts w:ascii="Times New Roman" w:hAnsi="Times New Roman" w:cs="Times New Roman"/>
          <w:color w:val="77206D" w:themeColor="accent5" w:themeShade="BF"/>
        </w:rPr>
        <w:t xml:space="preserve">author agrees that the weights at the start of </w:t>
      </w:r>
      <w:r w:rsidR="00204759" w:rsidRPr="00C2537B">
        <w:rPr>
          <w:rFonts w:ascii="Times New Roman" w:hAnsi="Times New Roman" w:cs="Times New Roman"/>
          <w:color w:val="77206D" w:themeColor="accent5" w:themeShade="BF"/>
        </w:rPr>
        <w:t>the third and fourth</w:t>
      </w:r>
      <w:r w:rsidR="00DD4F28" w:rsidRPr="00C2537B">
        <w:rPr>
          <w:rFonts w:ascii="Times New Roman" w:hAnsi="Times New Roman" w:cs="Times New Roman"/>
          <w:color w:val="77206D" w:themeColor="accent5" w:themeShade="BF"/>
        </w:rPr>
        <w:t xml:space="preserve"> terms should express the normalised weights within </w:t>
      </w:r>
      <w:r w:rsidR="00131C02" w:rsidRPr="00C2537B">
        <w:rPr>
          <w:rFonts w:ascii="Times New Roman" w:hAnsi="Times New Roman" w:cs="Times New Roman"/>
          <w:color w:val="77206D" w:themeColor="accent5" w:themeShade="BF"/>
        </w:rPr>
        <w:t xml:space="preserve">entering and exiting firms. The revised </w:t>
      </w:r>
      <w:r w:rsidR="00C51DEC" w:rsidRPr="00C2537B">
        <w:rPr>
          <w:rFonts w:ascii="Times New Roman" w:hAnsi="Times New Roman" w:cs="Times New Roman"/>
          <w:color w:val="77206D" w:themeColor="accent5" w:themeShade="BF"/>
        </w:rPr>
        <w:t>expressions</w:t>
      </w:r>
      <w:r w:rsidR="00131C02" w:rsidRPr="00C2537B">
        <w:rPr>
          <w:rFonts w:ascii="Times New Roman" w:hAnsi="Times New Roman" w:cs="Times New Roman"/>
          <w:color w:val="77206D" w:themeColor="accent5" w:themeShade="BF"/>
        </w:rPr>
        <w:t xml:space="preserve"> </w:t>
      </w:r>
      <w:r w:rsidR="00320E69" w:rsidRPr="00C2537B">
        <w:rPr>
          <w:rFonts w:ascii="Times New Roman" w:hAnsi="Times New Roman" w:cs="Times New Roman"/>
          <w:color w:val="77206D" w:themeColor="accent5" w:themeShade="BF"/>
        </w:rPr>
        <w:t>follow</w:t>
      </w:r>
      <w:r w:rsidR="00131C02" w:rsidRPr="00C2537B">
        <w:rPr>
          <w:rFonts w:ascii="Times New Roman" w:hAnsi="Times New Roman" w:cs="Times New Roman"/>
          <w:color w:val="77206D" w:themeColor="accent5" w:themeShade="BF"/>
        </w:rPr>
        <w:t xml:space="preserve"> </w:t>
      </w:r>
      <w:r w:rsidR="00204759" w:rsidRPr="00C2537B">
        <w:rPr>
          <w:rFonts w:ascii="Times New Roman" w:hAnsi="Times New Roman" w:cs="Times New Roman"/>
          <w:color w:val="77206D" w:themeColor="accent5" w:themeShade="BF"/>
        </w:rPr>
        <w:t xml:space="preserve">the </w:t>
      </w:r>
      <w:sdt>
        <w:sdtPr>
          <w:rPr>
            <w:rFonts w:ascii="Times New Roman" w:hAnsi="Times New Roman" w:cs="Times New Roman"/>
            <w:color w:val="77206D" w:themeColor="accent5" w:themeShade="BF"/>
          </w:rPr>
          <w:tag w:val="MENDELEY_CITATION_v3_eyJjaXRhdGlvbklEIjoiTUVOREVMRVlfQ0lUQVRJT05fYzg3ZDA0ZWUtYzBlYi00ZTk4LTg0MzEtZTI1ZDk0YzFmNTk3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527102960"/>
          <w:placeholder>
            <w:docPart w:val="D38DE606D5664266B2212612C3E9AFE2"/>
          </w:placeholder>
        </w:sdtPr>
        <w:sdtContent>
          <w:r w:rsidR="003C0A51" w:rsidRPr="00306790">
            <w:rPr>
              <w:rFonts w:ascii="Times New Roman" w:hAnsi="Times New Roman" w:cs="Times New Roman"/>
              <w:color w:val="77206D" w:themeColor="accent5" w:themeShade="BF"/>
            </w:rPr>
            <w:t>Melitz &amp; Polanec (2015)</w:t>
          </w:r>
        </w:sdtContent>
      </w:sdt>
      <w:r w:rsidR="00204759" w:rsidRPr="00C2537B">
        <w:rPr>
          <w:rFonts w:ascii="Times New Roman" w:hAnsi="Times New Roman" w:cs="Times New Roman"/>
          <w:color w:val="77206D" w:themeColor="accent5" w:themeShade="BF"/>
        </w:rPr>
        <w:t xml:space="preserve"> decomposition in equation </w:t>
      </w:r>
      <w:r w:rsidR="00E84BA0" w:rsidRPr="00C2537B">
        <w:rPr>
          <w:rFonts w:ascii="Times New Roman" w:hAnsi="Times New Roman" w:cs="Times New Roman"/>
          <w:color w:val="77206D" w:themeColor="accent5" w:themeShade="BF"/>
        </w:rPr>
        <w:t xml:space="preserve">(12). </w:t>
      </w:r>
      <w:sdt>
        <w:sdtPr>
          <w:rPr>
            <w:rFonts w:ascii="Times New Roman" w:hAnsi="Times New Roman" w:cs="Times New Roman"/>
            <w:color w:val="77206D" w:themeColor="accent5" w:themeShade="BF"/>
          </w:rPr>
          <w:tag w:val="MENDELEY_CITATION_v3_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"/>
          <w:id w:val="585269392"/>
          <w:placeholder>
            <w:docPart w:val="DefaultPlaceholder_-1854013440"/>
          </w:placeholder>
        </w:sdtPr>
        <w:sdtContent>
          <w:r w:rsidR="003C0A51" w:rsidRPr="00306790">
            <w:rPr>
              <w:rFonts w:ascii="Times New Roman" w:hAnsi="Times New Roman" w:cs="Times New Roman"/>
              <w:color w:val="77206D" w:themeColor="accent5" w:themeShade="BF"/>
            </w:rPr>
            <w:t>Harris &amp; Moffat (2019)</w:t>
          </w:r>
        </w:sdtContent>
      </w:sdt>
      <w:r w:rsidR="00CD13E5" w:rsidRPr="00306790">
        <w:rPr>
          <w:rFonts w:ascii="Times New Roman" w:hAnsi="Times New Roman" w:cs="Times New Roman"/>
          <w:color w:val="77206D" w:themeColor="accent5" w:themeShade="BF"/>
        </w:rPr>
        <w:t xml:space="preserve"> </w:t>
      </w:r>
      <w:r w:rsidR="00E84BA0" w:rsidRPr="00C2537B">
        <w:rPr>
          <w:rFonts w:ascii="Times New Roman" w:hAnsi="Times New Roman" w:cs="Times New Roman"/>
          <w:color w:val="77206D" w:themeColor="accent5" w:themeShade="BF"/>
        </w:rPr>
        <w:t xml:space="preserve"> </w:t>
      </w:r>
      <w:r w:rsidR="00320E69" w:rsidRPr="00C2537B">
        <w:rPr>
          <w:rFonts w:ascii="Times New Roman" w:hAnsi="Times New Roman" w:cs="Times New Roman"/>
          <w:color w:val="77206D" w:themeColor="accent5" w:themeShade="BF"/>
        </w:rPr>
        <w:t>used</w:t>
      </w:r>
      <w:r w:rsidR="00E84BA0" w:rsidRPr="00C2537B">
        <w:rPr>
          <w:rFonts w:ascii="Times New Roman" w:hAnsi="Times New Roman" w:cs="Times New Roman"/>
          <w:color w:val="77206D" w:themeColor="accent5" w:themeShade="BF"/>
        </w:rPr>
        <w:t xml:space="preserve"> a similar mathematical notation</w:t>
      </w:r>
      <w:r w:rsidR="00C51DEC" w:rsidRPr="00C2537B">
        <w:rPr>
          <w:rFonts w:ascii="Times New Roman" w:hAnsi="Times New Roman" w:cs="Times New Roman"/>
          <w:color w:val="77206D" w:themeColor="accent5" w:themeShade="BF"/>
        </w:rPr>
        <w:t>. In addition, page</w:t>
      </w:r>
      <w:r w:rsidR="00815C0C" w:rsidRPr="00C2537B">
        <w:rPr>
          <w:rFonts w:ascii="Times New Roman" w:hAnsi="Times New Roman" w:cs="Times New Roman"/>
          <w:color w:val="77206D" w:themeColor="accent5" w:themeShade="BF"/>
        </w:rPr>
        <w:t xml:space="preserve"> 9 </w:t>
      </w:r>
      <w:r w:rsidR="00A1446D" w:rsidRPr="00C2537B">
        <w:rPr>
          <w:rFonts w:ascii="Times New Roman" w:hAnsi="Times New Roman" w:cs="Times New Roman"/>
          <w:color w:val="77206D" w:themeColor="accent5" w:themeShade="BF"/>
        </w:rPr>
        <w:t>explains the normalisation</w:t>
      </w:r>
      <w:r w:rsidR="00C66F1A" w:rsidRPr="00C2537B">
        <w:rPr>
          <w:rFonts w:ascii="Times New Roman" w:hAnsi="Times New Roman" w:cs="Times New Roman"/>
          <w:color w:val="77206D" w:themeColor="accent5" w:themeShade="BF"/>
        </w:rPr>
        <w:t xml:space="preserve"> of the weights expressed as follows</w:t>
      </w:r>
      <w:r w:rsidR="00A879A0" w:rsidRPr="00C2537B">
        <w:rPr>
          <w:rFonts w:ascii="Times New Roman" w:hAnsi="Times New Roman" w:cs="Times New Roman"/>
          <w:color w:val="77206D" w:themeColor="accent5" w:themeShade="BF"/>
        </w:rPr>
        <w:t>:</w:t>
      </w:r>
      <w:r w:rsidR="00461B76" w:rsidRPr="00C2537B">
        <w:rPr>
          <w:rFonts w:ascii="Times New Roman" w:hAnsi="Times New Roman" w:cs="Times New Roman"/>
          <w:color w:val="77206D" w:themeColor="accent5" w:themeShade="BF"/>
        </w:rPr>
        <w:t xml:space="preserve"> </w:t>
      </w:r>
      <m:oMath>
        <m:nary>
          <m:naryPr>
            <m:chr m:val="∑"/>
            <m:limLoc m:val="undOvr"/>
            <m:supHide m:val="1"/>
            <m:ctrlPr>
              <w:rPr>
                <w:rFonts w:ascii="Cambria Math" w:hAnsi="Cambria Math" w:cs="Times New Roman"/>
                <w:color w:val="77206D" w:themeColor="accent5" w:themeShade="BF"/>
              </w:rPr>
            </m:ctrlPr>
          </m:naryPr>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E</m:t>
            </m:r>
          </m:sub>
          <m:sup/>
          <m:e>
            <m:sSub>
              <m:sSubPr>
                <m:ctrlPr>
                  <w:rPr>
                    <w:rFonts w:ascii="Cambria Math" w:hAnsi="Cambria Math" w:cs="Times New Roman"/>
                    <w:color w:val="77206D" w:themeColor="accent5" w:themeShade="BF"/>
                  </w:rPr>
                </m:ctrlPr>
              </m:sSub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Sub>
          </m:e>
        </m:nary>
        <m:r>
          <m:rPr>
            <m:sty m:val="p"/>
          </m:rPr>
          <w:rPr>
            <w:rFonts w:ascii="Cambria Math" w:hAnsi="Cambria Math" w:cs="Times New Roman"/>
            <w:color w:val="77206D" w:themeColor="accent5" w:themeShade="BF"/>
          </w:rPr>
          <m:t>=</m:t>
        </m:r>
        <m:nary>
          <m:naryPr>
            <m:chr m:val="∑"/>
            <m:limLoc m:val="undOvr"/>
            <m:supHide m:val="1"/>
            <m:ctrlPr>
              <w:rPr>
                <w:rFonts w:ascii="Cambria Math" w:hAnsi="Cambria Math" w:cs="Times New Roman"/>
                <w:color w:val="77206D" w:themeColor="accent5" w:themeShade="BF"/>
              </w:rPr>
            </m:ctrlPr>
          </m:naryPr>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E</m:t>
            </m:r>
          </m:sub>
          <m:sup/>
          <m:e>
            <m:d>
              <m:dPr>
                <m:ctrlPr>
                  <w:rPr>
                    <w:rFonts w:ascii="Cambria Math" w:hAnsi="Cambria Math" w:cs="Times New Roman"/>
                    <w:color w:val="77206D" w:themeColor="accent5" w:themeShade="BF"/>
                  </w:rPr>
                </m:ctrlPr>
              </m:dPr>
              <m:e>
                <m:f>
                  <m:fPr>
                    <m:type m:val="lin"/>
                    <m:ctrlPr>
                      <w:rPr>
                        <w:rFonts w:ascii="Cambria Math" w:hAnsi="Cambria Math" w:cs="Times New Roman"/>
                        <w:color w:val="77206D" w:themeColor="accent5" w:themeShade="BF"/>
                      </w:rPr>
                    </m:ctrlPr>
                  </m:fPr>
                  <m:num>
                    <m:sSub>
                      <m:sSubPr>
                        <m:ctrlPr>
                          <w:rPr>
                            <w:rFonts w:ascii="Cambria Math" w:hAnsi="Cambria Math" w:cs="Times New Roman"/>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it</m:t>
                        </m:r>
                      </m:sub>
                    </m:sSub>
                  </m:num>
                  <m:den>
                    <m:nary>
                      <m:naryPr>
                        <m:chr m:val="∑"/>
                        <m:limLoc m:val="undOvr"/>
                        <m:supHide m:val="1"/>
                        <m:ctrlPr>
                          <w:rPr>
                            <w:rFonts w:ascii="Cambria Math" w:hAnsi="Cambria Math" w:cs="Times New Roman"/>
                            <w:color w:val="77206D" w:themeColor="accent5" w:themeShade="BF"/>
                          </w:rPr>
                        </m:ctrlPr>
                      </m:naryPr>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E</m:t>
                        </m:r>
                      </m:sub>
                      <m:sup/>
                      <m:e>
                        <m:sSub>
                          <m:sSubPr>
                            <m:ctrlPr>
                              <w:rPr>
                                <w:rFonts w:ascii="Cambria Math" w:hAnsi="Cambria Math" w:cs="Times New Roman"/>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it</m:t>
                            </m:r>
                          </m:sub>
                        </m:sSub>
                      </m:e>
                    </m:nary>
                  </m:den>
                </m:f>
              </m:e>
            </m:d>
          </m:e>
        </m:nary>
        <m:r>
          <m:rPr>
            <m:sty m:val="p"/>
          </m:rPr>
          <w:rPr>
            <w:rFonts w:ascii="Cambria Math" w:hAnsi="Cambria Math" w:cs="Times New Roman"/>
            <w:color w:val="77206D" w:themeColor="accent5" w:themeShade="BF"/>
          </w:rPr>
          <m:t>=1</m:t>
        </m:r>
      </m:oMath>
      <w:r w:rsidR="00F73CFA" w:rsidRPr="00C2537B">
        <w:rPr>
          <w:rFonts w:ascii="Times New Roman" w:hAnsi="Times New Roman" w:cs="Times New Roman"/>
          <w:color w:val="77206D" w:themeColor="accent5" w:themeShade="BF"/>
        </w:rPr>
        <w:t xml:space="preserve"> and </w:t>
      </w:r>
      <m:oMath>
        <m:nary>
          <m:naryPr>
            <m:chr m:val="∑"/>
            <m:limLoc m:val="undOvr"/>
            <m:supHide m:val="1"/>
            <m:ctrlPr>
              <w:rPr>
                <w:rFonts w:ascii="Cambria Math" w:hAnsi="Cambria Math" w:cs="Times New Roman"/>
                <w:color w:val="77206D" w:themeColor="accent5" w:themeShade="BF"/>
              </w:rPr>
            </m:ctrlPr>
          </m:naryPr>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X</m:t>
            </m:r>
          </m:sub>
          <m:sup/>
          <m:e>
            <m:sSub>
              <m:sSubPr>
                <m:ctrlPr>
                  <w:rPr>
                    <w:rFonts w:ascii="Cambria Math" w:hAnsi="Cambria Math" w:cs="Times New Roman"/>
                    <w:color w:val="77206D" w:themeColor="accent5" w:themeShade="BF"/>
                  </w:rPr>
                </m:ctrlPr>
              </m:sSub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t</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k</m:t>
                </m:r>
              </m:sub>
            </m:sSub>
          </m:e>
        </m:nary>
        <m:r>
          <m:rPr>
            <m:sty m:val="p"/>
          </m:rPr>
          <w:rPr>
            <w:rFonts w:ascii="Cambria Math" w:hAnsi="Cambria Math" w:cs="Times New Roman"/>
            <w:color w:val="77206D" w:themeColor="accent5" w:themeShade="BF"/>
          </w:rPr>
          <m:t>=</m:t>
        </m:r>
        <m:nary>
          <m:naryPr>
            <m:chr m:val="∑"/>
            <m:limLoc m:val="undOvr"/>
            <m:supHide m:val="1"/>
            <m:ctrlPr>
              <w:rPr>
                <w:rFonts w:ascii="Cambria Math" w:hAnsi="Cambria Math" w:cs="Times New Roman"/>
                <w:color w:val="77206D" w:themeColor="accent5" w:themeShade="BF"/>
              </w:rPr>
            </m:ctrlPr>
          </m:naryPr>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X</m:t>
            </m:r>
          </m:sub>
          <m:sup/>
          <m:e>
            <m:d>
              <m:dPr>
                <m:ctrlPr>
                  <w:rPr>
                    <w:rFonts w:ascii="Cambria Math" w:hAnsi="Cambria Math" w:cs="Times New Roman"/>
                    <w:color w:val="77206D" w:themeColor="accent5" w:themeShade="BF"/>
                  </w:rPr>
                </m:ctrlPr>
              </m:dPr>
              <m:e>
                <m:f>
                  <m:fPr>
                    <m:type m:val="lin"/>
                    <m:ctrlPr>
                      <w:rPr>
                        <w:rFonts w:ascii="Cambria Math" w:hAnsi="Cambria Math" w:cs="Times New Roman"/>
                        <w:color w:val="77206D" w:themeColor="accent5" w:themeShade="BF"/>
                      </w:rPr>
                    </m:ctrlPr>
                  </m:fPr>
                  <m:num>
                    <m:sSub>
                      <m:sSubPr>
                        <m:ctrlPr>
                          <w:rPr>
                            <w:rFonts w:ascii="Cambria Math" w:hAnsi="Cambria Math" w:cs="Times New Roman"/>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t</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k</m:t>
                        </m:r>
                      </m:sub>
                    </m:sSub>
                  </m:num>
                  <m:den>
                    <m:nary>
                      <m:naryPr>
                        <m:chr m:val="∑"/>
                        <m:limLoc m:val="undOvr"/>
                        <m:supHide m:val="1"/>
                        <m:ctrlPr>
                          <w:rPr>
                            <w:rFonts w:ascii="Cambria Math" w:hAnsi="Cambria Math" w:cs="Times New Roman"/>
                            <w:color w:val="77206D" w:themeColor="accent5" w:themeShade="BF"/>
                          </w:rPr>
                        </m:ctrlPr>
                      </m:naryPr>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X</m:t>
                        </m:r>
                      </m:sub>
                      <m:sup/>
                      <m:e>
                        <m:sSub>
                          <m:sSubPr>
                            <m:ctrlPr>
                              <w:rPr>
                                <w:rFonts w:ascii="Cambria Math" w:hAnsi="Cambria Math" w:cs="Times New Roman"/>
                                <w:color w:val="77206D" w:themeColor="accent5" w:themeShade="BF"/>
                              </w:rPr>
                            </m:ctrlPr>
                          </m:sSubPr>
                          <m:e>
                            <m:r>
                              <w:rPr>
                                <w:rFonts w:ascii="Cambria Math" w:hAnsi="Cambria Math" w:cs="Times New Roman"/>
                                <w:color w:val="77206D" w:themeColor="accent5" w:themeShade="BF"/>
                              </w:rPr>
                              <m:t>Y</m:t>
                            </m:r>
                          </m:e>
                          <m:sub>
                            <m:r>
                              <w:rPr>
                                <w:rFonts w:ascii="Cambria Math" w:hAnsi="Cambria Math" w:cs="Times New Roman"/>
                                <w:color w:val="77206D" w:themeColor="accent5" w:themeShade="BF"/>
                              </w:rPr>
                              <m:t>i</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t</m:t>
                            </m:r>
                            <m:r>
                              <m:rPr>
                                <m:sty m:val="p"/>
                              </m:rPr>
                              <w:rPr>
                                <w:rFonts w:ascii="Cambria Math" w:hAnsi="Cambria Math" w:cs="Times New Roman"/>
                                <w:color w:val="77206D" w:themeColor="accent5" w:themeShade="BF"/>
                              </w:rPr>
                              <m:t>-</m:t>
                            </m:r>
                            <m:r>
                              <w:rPr>
                                <w:rFonts w:ascii="Cambria Math" w:hAnsi="Cambria Math" w:cs="Times New Roman"/>
                                <w:color w:val="77206D" w:themeColor="accent5" w:themeShade="BF"/>
                              </w:rPr>
                              <m:t>k</m:t>
                            </m:r>
                          </m:sub>
                        </m:sSub>
                      </m:e>
                    </m:nary>
                  </m:den>
                </m:f>
              </m:e>
            </m:d>
          </m:e>
        </m:nary>
        <m:r>
          <m:rPr>
            <m:sty m:val="p"/>
          </m:rPr>
          <w:rPr>
            <w:rFonts w:ascii="Cambria Math" w:hAnsi="Cambria Math" w:cs="Times New Roman"/>
            <w:color w:val="77206D" w:themeColor="accent5" w:themeShade="BF"/>
          </w:rPr>
          <m:t>=1</m:t>
        </m:r>
      </m:oMath>
      <w:r w:rsidR="00F73CFA" w:rsidRPr="00C2537B">
        <w:rPr>
          <w:rFonts w:ascii="Times New Roman" w:hAnsi="Times New Roman" w:cs="Times New Roman"/>
          <w:color w:val="77206D" w:themeColor="accent5" w:themeShade="BF"/>
        </w:rPr>
        <w:t>.</w:t>
      </w:r>
    </w:p>
    <w:p w14:paraId="5953282C" w14:textId="185C3AE7" w:rsidR="00783B37" w:rsidRPr="00C2537B" w:rsidRDefault="00783B37" w:rsidP="00C939D1">
      <w:pPr>
        <w:pStyle w:val="ListParagraph"/>
        <w:numPr>
          <w:ilvl w:val="0"/>
          <w:numId w:val="6"/>
        </w:num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 xml:space="preserve">To give </w:t>
      </w:r>
      <w:r w:rsidR="003F3253" w:rsidRPr="00C2537B">
        <w:rPr>
          <w:rFonts w:ascii="Times New Roman" w:hAnsi="Times New Roman" w:cs="Times New Roman"/>
          <w:color w:val="77206D" w:themeColor="accent5" w:themeShade="BF"/>
        </w:rPr>
        <w:t>certainty</w:t>
      </w:r>
      <w:r w:rsidRPr="00C2537B">
        <w:rPr>
          <w:rFonts w:ascii="Times New Roman" w:hAnsi="Times New Roman" w:cs="Times New Roman"/>
          <w:color w:val="77206D" w:themeColor="accent5" w:themeShade="BF"/>
        </w:rPr>
        <w:t xml:space="preserve"> to the </w:t>
      </w:r>
      <w:r w:rsidR="00DF62E7" w:rsidRPr="00C2537B">
        <w:rPr>
          <w:rFonts w:ascii="Times New Roman" w:hAnsi="Times New Roman" w:cs="Times New Roman"/>
          <w:color w:val="77206D" w:themeColor="accent5" w:themeShade="BF"/>
        </w:rPr>
        <w:t>referee</w:t>
      </w:r>
      <w:r w:rsidRPr="00C2537B">
        <w:rPr>
          <w:rFonts w:ascii="Times New Roman" w:hAnsi="Times New Roman" w:cs="Times New Roman"/>
          <w:color w:val="77206D" w:themeColor="accent5" w:themeShade="BF"/>
        </w:rPr>
        <w:t xml:space="preserve"> that the </w:t>
      </w:r>
      <w:sdt>
        <w:sdtPr>
          <w:rPr>
            <w:rFonts w:ascii="Times New Roman" w:hAnsi="Times New Roman" w:cs="Times New Roman"/>
            <w:color w:val="78206E"/>
          </w:rPr>
          <w:tag w:val="MENDELEY_CITATION_v3_eyJjaXRhdGlvbklEIjoiTUVOREVMRVlfQ0lUQVRJT05fYzMyMjI1ZDEtZDEzMy00OTYxLTg5NjctNDQ5MDg3MTU1MWRl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352391534"/>
          <w:placeholder>
            <w:docPart w:val="C23BD42DA3164D4598A8EA2142EAB4F3"/>
          </w:placeholder>
        </w:sdtPr>
        <w:sdtContent>
          <w:r w:rsidR="003C0A51" w:rsidRPr="003C0A51">
            <w:rPr>
              <w:rFonts w:ascii="Times New Roman" w:eastAsia="Times New Roman" w:hAnsi="Times New Roman" w:cs="Times New Roman"/>
              <w:color w:val="78206E"/>
            </w:rPr>
            <w:t>Melitz &amp; Polanec (2015)</w:t>
          </w:r>
        </w:sdtContent>
      </w:sdt>
      <w:r w:rsidRPr="00C2537B">
        <w:rPr>
          <w:rFonts w:ascii="Times New Roman" w:hAnsi="Times New Roman" w:cs="Times New Roman"/>
          <w:color w:val="77206D" w:themeColor="accent5" w:themeShade="BF"/>
        </w:rPr>
        <w:t xml:space="preserve"> </w:t>
      </w:r>
      <w:r w:rsidR="00613D71" w:rsidRPr="00C2537B">
        <w:rPr>
          <w:rFonts w:ascii="Times New Roman" w:hAnsi="Times New Roman" w:cs="Times New Roman"/>
          <w:color w:val="77206D" w:themeColor="accent5" w:themeShade="BF"/>
        </w:rPr>
        <w:t xml:space="preserve">and </w:t>
      </w:r>
      <w:sdt>
        <w:sdtPr>
          <w:rPr>
            <w:rFonts w:ascii="Times New Roman" w:hAnsi="Times New Roman" w:cs="Times New Roman"/>
            <w:color w:val="77206D" w:themeColor="accent5" w:themeShade="BF"/>
          </w:rPr>
          <w:tag w:val="MENDELEY_CITATION_v3_eyJjaXRhdGlvbklEIjoiTUVOREVMRVlfQ0lUQVRJT05fZDk1ZDE0ODItOGFhYS00ZmJhLTk0OTQtMjMyZDI3NDQ0Y2Ri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
          <w:id w:val="763658959"/>
          <w:placeholder>
            <w:docPart w:val="DefaultPlaceholder_-1854013440"/>
          </w:placeholder>
        </w:sdtPr>
        <w:sdtContent>
          <w:r w:rsidR="003C0A51" w:rsidRPr="003C0A51">
            <w:rPr>
              <w:rFonts w:ascii="Times New Roman" w:hAnsi="Times New Roman" w:cs="Times New Roman"/>
              <w:color w:val="78206E"/>
            </w:rPr>
            <w:t>Haltiwanger (1997)</w:t>
          </w:r>
        </w:sdtContent>
      </w:sdt>
      <w:r w:rsidR="00D67100">
        <w:rPr>
          <w:rFonts w:ascii="Times New Roman" w:hAnsi="Times New Roman" w:cs="Times New Roman"/>
          <w:color w:val="77206D" w:themeColor="accent5" w:themeShade="BF"/>
        </w:rPr>
        <w:t xml:space="preserve"> </w:t>
      </w:r>
      <w:r w:rsidR="007E05F3" w:rsidRPr="00C2537B">
        <w:rPr>
          <w:rFonts w:ascii="Times New Roman" w:hAnsi="Times New Roman" w:cs="Times New Roman"/>
          <w:color w:val="77206D" w:themeColor="accent5" w:themeShade="BF"/>
        </w:rPr>
        <w:t>decompositions</w:t>
      </w:r>
      <w:r w:rsidR="00D82D5A" w:rsidRPr="00C2537B">
        <w:rPr>
          <w:rFonts w:ascii="Times New Roman" w:hAnsi="Times New Roman" w:cs="Times New Roman"/>
          <w:color w:val="77206D" w:themeColor="accent5" w:themeShade="BF"/>
        </w:rPr>
        <w:t xml:space="preserve"> of TFP growth</w:t>
      </w:r>
      <w:r w:rsidR="007E05F3" w:rsidRPr="00C2537B">
        <w:rPr>
          <w:rFonts w:ascii="Times New Roman" w:hAnsi="Times New Roman" w:cs="Times New Roman"/>
          <w:color w:val="77206D" w:themeColor="accent5" w:themeShade="BF"/>
        </w:rPr>
        <w:t xml:space="preserve"> are correctly applied, the author has included in the appendix</w:t>
      </w:r>
      <w:r w:rsidR="00C26D3A" w:rsidRPr="00C2537B">
        <w:rPr>
          <w:rFonts w:ascii="Times New Roman" w:hAnsi="Times New Roman" w:cs="Times New Roman"/>
          <w:color w:val="77206D" w:themeColor="accent5" w:themeShade="BF"/>
        </w:rPr>
        <w:t xml:space="preserve"> of this letter</w:t>
      </w:r>
      <w:r w:rsidR="007E05F3" w:rsidRPr="00C2537B">
        <w:rPr>
          <w:rFonts w:ascii="Times New Roman" w:hAnsi="Times New Roman" w:cs="Times New Roman"/>
          <w:color w:val="77206D" w:themeColor="accent5" w:themeShade="BF"/>
        </w:rPr>
        <w:t xml:space="preserve"> the comparison between the weighted TFP in first differences</w:t>
      </w:r>
      <w:r w:rsidR="006822AB" w:rsidRPr="00C2537B">
        <w:rPr>
          <w:rFonts w:ascii="Times New Roman" w:hAnsi="Times New Roman" w:cs="Times New Roman"/>
          <w:color w:val="77206D" w:themeColor="accent5" w:themeShade="BF"/>
        </w:rPr>
        <w:t xml:space="preserve"> that approximates TFP growth</w:t>
      </w:r>
      <w:r w:rsidR="0059543E" w:rsidRPr="00C2537B">
        <w:rPr>
          <w:rFonts w:ascii="Times New Roman" w:hAnsi="Times New Roman" w:cs="Times New Roman"/>
          <w:color w:val="77206D" w:themeColor="accent5" w:themeShade="BF"/>
        </w:rPr>
        <w:t xml:space="preserve"> </w:t>
      </w:r>
      <w:r w:rsidR="007E05F3" w:rsidRPr="00C2537B">
        <w:rPr>
          <w:rFonts w:ascii="Times New Roman" w:hAnsi="Times New Roman" w:cs="Times New Roman"/>
          <w:color w:val="77206D" w:themeColor="accent5" w:themeShade="BF"/>
        </w:rPr>
        <w:t>(</w:t>
      </w:r>
      <w:r w:rsidR="00320E69" w:rsidRPr="00C2537B">
        <w:rPr>
          <w:rFonts w:ascii="Times New Roman" w:hAnsi="Times New Roman" w:cs="Times New Roman"/>
          <w:color w:val="77206D" w:themeColor="accent5" w:themeShade="BF"/>
        </w:rPr>
        <w:t>c</w:t>
      </w:r>
      <w:r w:rsidR="007E05F3" w:rsidRPr="00C2537B">
        <w:rPr>
          <w:rFonts w:ascii="Times New Roman" w:hAnsi="Times New Roman" w:cs="Times New Roman"/>
          <w:color w:val="77206D" w:themeColor="accent5" w:themeShade="BF"/>
        </w:rPr>
        <w:t xml:space="preserve">olumn </w:t>
      </w:r>
      <w:r w:rsidR="00DE3A17" w:rsidRPr="00C2537B">
        <w:rPr>
          <w:rFonts w:ascii="Times New Roman" w:hAnsi="Times New Roman" w:cs="Times New Roman"/>
          <w:color w:val="77206D" w:themeColor="accent5" w:themeShade="BF"/>
        </w:rPr>
        <w:t>2</w:t>
      </w:r>
      <w:r w:rsidR="007E05F3" w:rsidRPr="00C2537B">
        <w:rPr>
          <w:rFonts w:ascii="Times New Roman" w:hAnsi="Times New Roman" w:cs="Times New Roman"/>
          <w:color w:val="77206D" w:themeColor="accent5" w:themeShade="BF"/>
        </w:rPr>
        <w:t xml:space="preserve">) </w:t>
      </w:r>
      <w:r w:rsidR="0059543E" w:rsidRPr="00C2537B">
        <w:rPr>
          <w:rFonts w:ascii="Times New Roman" w:hAnsi="Times New Roman" w:cs="Times New Roman"/>
          <w:color w:val="77206D" w:themeColor="accent5" w:themeShade="BF"/>
        </w:rPr>
        <w:t xml:space="preserve">and </w:t>
      </w:r>
      <w:r w:rsidR="008D5333" w:rsidRPr="00C2537B">
        <w:rPr>
          <w:rFonts w:ascii="Times New Roman" w:hAnsi="Times New Roman" w:cs="Times New Roman"/>
          <w:color w:val="77206D" w:themeColor="accent5" w:themeShade="BF"/>
        </w:rPr>
        <w:t>the sum of the terms of the decomposition</w:t>
      </w:r>
      <w:r w:rsidR="006822AB" w:rsidRPr="00C2537B">
        <w:rPr>
          <w:rFonts w:ascii="Times New Roman" w:hAnsi="Times New Roman" w:cs="Times New Roman"/>
          <w:color w:val="77206D" w:themeColor="accent5" w:themeShade="BF"/>
        </w:rPr>
        <w:t xml:space="preserve"> </w:t>
      </w:r>
      <w:r w:rsidR="00A64E70" w:rsidRPr="00C2537B">
        <w:rPr>
          <w:rFonts w:ascii="Times New Roman" w:hAnsi="Times New Roman" w:cs="Times New Roman"/>
          <w:color w:val="77206D" w:themeColor="accent5" w:themeShade="BF"/>
        </w:rPr>
        <w:t>of TFP growth</w:t>
      </w:r>
      <w:r w:rsidR="007E05F3" w:rsidRPr="00C2537B">
        <w:rPr>
          <w:rFonts w:ascii="Times New Roman" w:hAnsi="Times New Roman" w:cs="Times New Roman"/>
          <w:color w:val="77206D" w:themeColor="accent5" w:themeShade="BF"/>
        </w:rPr>
        <w:t xml:space="preserve"> (</w:t>
      </w:r>
      <w:r w:rsidR="00320E69" w:rsidRPr="00C2537B">
        <w:rPr>
          <w:rFonts w:ascii="Times New Roman" w:hAnsi="Times New Roman" w:cs="Times New Roman"/>
          <w:color w:val="77206D" w:themeColor="accent5" w:themeShade="BF"/>
        </w:rPr>
        <w:t>c</w:t>
      </w:r>
      <w:r w:rsidR="007E05F3" w:rsidRPr="00C2537B">
        <w:rPr>
          <w:rFonts w:ascii="Times New Roman" w:hAnsi="Times New Roman" w:cs="Times New Roman"/>
          <w:color w:val="77206D" w:themeColor="accent5" w:themeShade="BF"/>
        </w:rPr>
        <w:t xml:space="preserve">olumn </w:t>
      </w:r>
      <w:r w:rsidR="00DE3A17" w:rsidRPr="00C2537B">
        <w:rPr>
          <w:rFonts w:ascii="Times New Roman" w:hAnsi="Times New Roman" w:cs="Times New Roman"/>
          <w:color w:val="77206D" w:themeColor="accent5" w:themeShade="BF"/>
        </w:rPr>
        <w:t>3</w:t>
      </w:r>
      <w:r w:rsidR="007E05F3" w:rsidRPr="00C2537B">
        <w:rPr>
          <w:rFonts w:ascii="Times New Roman" w:hAnsi="Times New Roman" w:cs="Times New Roman"/>
          <w:color w:val="77206D" w:themeColor="accent5" w:themeShade="BF"/>
        </w:rPr>
        <w:t>)</w:t>
      </w:r>
      <w:r w:rsidR="00AF174D" w:rsidRPr="00C2537B">
        <w:rPr>
          <w:rFonts w:ascii="Times New Roman" w:hAnsi="Times New Roman" w:cs="Times New Roman"/>
          <w:color w:val="77206D" w:themeColor="accent5" w:themeShade="BF"/>
        </w:rPr>
        <w:t xml:space="preserve"> in Tables </w:t>
      </w:r>
      <w:r w:rsidR="00A64E70" w:rsidRPr="00C2537B">
        <w:rPr>
          <w:rFonts w:ascii="Times New Roman" w:hAnsi="Times New Roman" w:cs="Times New Roman"/>
          <w:color w:val="77206D" w:themeColor="accent5" w:themeShade="BF"/>
        </w:rPr>
        <w:t>A1</w:t>
      </w:r>
      <w:r w:rsidR="00AF174D" w:rsidRPr="00C2537B">
        <w:rPr>
          <w:rFonts w:ascii="Times New Roman" w:hAnsi="Times New Roman" w:cs="Times New Roman"/>
          <w:color w:val="77206D" w:themeColor="accent5" w:themeShade="BF"/>
        </w:rPr>
        <w:t xml:space="preserve"> and </w:t>
      </w:r>
      <w:r w:rsidR="00A64E70" w:rsidRPr="00C2537B">
        <w:rPr>
          <w:rFonts w:ascii="Times New Roman" w:hAnsi="Times New Roman" w:cs="Times New Roman"/>
          <w:color w:val="77206D" w:themeColor="accent5" w:themeShade="BF"/>
        </w:rPr>
        <w:t>A2.</w:t>
      </w:r>
      <w:r w:rsidR="00AF174D" w:rsidRPr="00C2537B">
        <w:rPr>
          <w:rFonts w:ascii="Times New Roman" w:hAnsi="Times New Roman" w:cs="Times New Roman"/>
          <w:color w:val="77206D" w:themeColor="accent5" w:themeShade="BF"/>
        </w:rPr>
        <w:t xml:space="preserve"> The comparison </w:t>
      </w:r>
      <w:r w:rsidR="00E85D3D" w:rsidRPr="00C2537B">
        <w:rPr>
          <w:rFonts w:ascii="Times New Roman" w:hAnsi="Times New Roman" w:cs="Times New Roman"/>
          <w:color w:val="77206D" w:themeColor="accent5" w:themeShade="BF"/>
        </w:rPr>
        <w:t xml:space="preserve">shows that the numbers in columns </w:t>
      </w:r>
      <w:r w:rsidR="00320E69" w:rsidRPr="00C2537B">
        <w:rPr>
          <w:rFonts w:ascii="Times New Roman" w:hAnsi="Times New Roman" w:cs="Times New Roman"/>
          <w:color w:val="77206D" w:themeColor="accent5" w:themeShade="BF"/>
        </w:rPr>
        <w:t>2</w:t>
      </w:r>
      <w:r w:rsidR="00E85D3D" w:rsidRPr="00C2537B">
        <w:rPr>
          <w:rFonts w:ascii="Times New Roman" w:hAnsi="Times New Roman" w:cs="Times New Roman"/>
          <w:color w:val="77206D" w:themeColor="accent5" w:themeShade="BF"/>
        </w:rPr>
        <w:t xml:space="preserve"> and </w:t>
      </w:r>
      <w:r w:rsidR="00320E69" w:rsidRPr="00C2537B">
        <w:rPr>
          <w:rFonts w:ascii="Times New Roman" w:hAnsi="Times New Roman" w:cs="Times New Roman"/>
          <w:color w:val="77206D" w:themeColor="accent5" w:themeShade="BF"/>
        </w:rPr>
        <w:t>3</w:t>
      </w:r>
      <w:r w:rsidR="00E85D3D" w:rsidRPr="00C2537B">
        <w:rPr>
          <w:rFonts w:ascii="Times New Roman" w:hAnsi="Times New Roman" w:cs="Times New Roman"/>
          <w:color w:val="77206D" w:themeColor="accent5" w:themeShade="BF"/>
        </w:rPr>
        <w:t xml:space="preserve"> </w:t>
      </w:r>
      <w:r w:rsidR="009F3B50" w:rsidRPr="00C2537B">
        <w:rPr>
          <w:rFonts w:ascii="Times New Roman" w:hAnsi="Times New Roman" w:cs="Times New Roman"/>
          <w:color w:val="77206D" w:themeColor="accent5" w:themeShade="BF"/>
        </w:rPr>
        <w:t>of Tables</w:t>
      </w:r>
      <w:r w:rsidR="00320E69" w:rsidRPr="00C2537B">
        <w:rPr>
          <w:rFonts w:ascii="Times New Roman" w:hAnsi="Times New Roman" w:cs="Times New Roman"/>
          <w:color w:val="77206D" w:themeColor="accent5" w:themeShade="BF"/>
        </w:rPr>
        <w:t xml:space="preserve"> A1 and A2 are </w:t>
      </w:r>
      <w:r w:rsidR="00E85D3D" w:rsidRPr="00C2537B">
        <w:rPr>
          <w:rFonts w:ascii="Times New Roman" w:hAnsi="Times New Roman" w:cs="Times New Roman"/>
          <w:color w:val="77206D" w:themeColor="accent5" w:themeShade="BF"/>
        </w:rPr>
        <w:t xml:space="preserve">equivalent, indicating that the </w:t>
      </w:r>
      <w:r w:rsidR="00BE0AC5" w:rsidRPr="00C2537B">
        <w:rPr>
          <w:rFonts w:ascii="Times New Roman" w:hAnsi="Times New Roman" w:cs="Times New Roman"/>
          <w:color w:val="77206D" w:themeColor="accent5" w:themeShade="BF"/>
        </w:rPr>
        <w:t xml:space="preserve">TFP growth decomposition methodologies </w:t>
      </w:r>
      <w:r w:rsidR="00E85D3D" w:rsidRPr="00C2537B">
        <w:rPr>
          <w:rFonts w:ascii="Times New Roman" w:hAnsi="Times New Roman" w:cs="Times New Roman"/>
          <w:color w:val="77206D" w:themeColor="accent5" w:themeShade="BF"/>
        </w:rPr>
        <w:t>were implemented correctly</w:t>
      </w:r>
      <w:r w:rsidR="003C5E1C" w:rsidRPr="00C2537B">
        <w:rPr>
          <w:rFonts w:ascii="Times New Roman" w:hAnsi="Times New Roman" w:cs="Times New Roman"/>
          <w:color w:val="77206D" w:themeColor="accent5" w:themeShade="BF"/>
        </w:rPr>
        <w:t>.</w:t>
      </w:r>
    </w:p>
    <w:p w14:paraId="31EE7465" w14:textId="4F4CA5FD" w:rsidR="003F4E57" w:rsidRPr="00AF7AE3" w:rsidRDefault="002B4048" w:rsidP="00DC0DEC">
      <w:pPr>
        <w:rPr>
          <w:rFonts w:ascii="Times New Roman" w:hAnsi="Times New Roman" w:cs="Times New Roman"/>
        </w:rPr>
      </w:pPr>
      <w:r w:rsidRPr="00AF7AE3">
        <w:rPr>
          <w:rFonts w:ascii="Times New Roman" w:hAnsi="Times New Roman" w:cs="Times New Roman"/>
        </w:rPr>
        <w:br/>
      </w:r>
      <w:r w:rsidRPr="00AF7AE3">
        <w:rPr>
          <w:rFonts w:ascii="Times New Roman" w:hAnsi="Times New Roman" w:cs="Times New Roman"/>
          <w:b/>
          <w:bCs/>
        </w:rPr>
        <w:t>3. Normalized Weights Consistency</w:t>
      </w:r>
      <w:r w:rsidRPr="00AF7AE3">
        <w:rPr>
          <w:rFonts w:ascii="Times New Roman" w:hAnsi="Times New Roman" w:cs="Times New Roman"/>
          <w:b/>
          <w:bCs/>
        </w:rPr>
        <w:br/>
      </w:r>
      <w:r w:rsidRPr="00AF7AE3">
        <w:rPr>
          <w:rFonts w:ascii="Times New Roman" w:hAnsi="Times New Roman" w:cs="Times New Roman"/>
        </w:rPr>
        <w:t xml:space="preserve">    </w:t>
      </w:r>
      <w:proofErr w:type="gramStart"/>
      <w:r w:rsidRPr="00AF7AE3">
        <w:rPr>
          <w:rFonts w:ascii="Times New Roman" w:hAnsi="Times New Roman" w:cs="Times New Roman"/>
        </w:rPr>
        <w:t>If  \</w:t>
      </w:r>
      <w:proofErr w:type="gramEnd"/>
      <w:r w:rsidRPr="00AF7AE3">
        <w:rPr>
          <w:rFonts w:ascii="Times New Roman" w:hAnsi="Times New Roman" w:cs="Times New Roman"/>
        </w:rPr>
        <w:t>theta_{it}^{E</w:t>
      </w:r>
      <w:proofErr w:type="gramStart"/>
      <w:r w:rsidRPr="00AF7AE3">
        <w:rPr>
          <w:rFonts w:ascii="Times New Roman" w:hAnsi="Times New Roman" w:cs="Times New Roman"/>
        </w:rPr>
        <w:t>},  \</w:t>
      </w:r>
      <w:proofErr w:type="gramEnd"/>
      <w:r w:rsidRPr="00AF7AE3">
        <w:rPr>
          <w:rFonts w:ascii="Times New Roman" w:hAnsi="Times New Roman" w:cs="Times New Roman"/>
        </w:rPr>
        <w:t xml:space="preserve">theta_{it}^{S}, </w:t>
      </w:r>
      <w:proofErr w:type="gramStart"/>
      <w:r w:rsidRPr="00AF7AE3">
        <w:rPr>
          <w:rFonts w:ascii="Times New Roman" w:hAnsi="Times New Roman" w:cs="Times New Roman"/>
        </w:rPr>
        <w:t>and  \</w:t>
      </w:r>
      <w:proofErr w:type="gramEnd"/>
      <w:r w:rsidRPr="00AF7AE3">
        <w:rPr>
          <w:rFonts w:ascii="Times New Roman" w:hAnsi="Times New Roman" w:cs="Times New Roman"/>
        </w:rPr>
        <w:t>theta_{it}^{X}​ are normalized weights (summing to 1 within groups), lines 36-37 (p.6) contradict this property. For example, sum</w:t>
      </w:r>
      <w:proofErr w:type="gramStart"/>
      <w:r w:rsidRPr="00AF7AE3">
        <w:rPr>
          <w:rFonts w:ascii="Times New Roman" w:hAnsi="Times New Roman" w:cs="Times New Roman"/>
        </w:rPr>
        <w:t>_{</w:t>
      </w:r>
      <w:proofErr w:type="spellStart"/>
      <w:proofErr w:type="gramEnd"/>
      <w:r w:rsidRPr="00AF7AE3">
        <w:rPr>
          <w:rFonts w:ascii="Times New Roman" w:hAnsi="Times New Roman" w:cs="Times New Roman"/>
        </w:rPr>
        <w:t>i</w:t>
      </w:r>
      <w:proofErr w:type="spellEnd"/>
      <w:r w:rsidRPr="00AF7AE3">
        <w:rPr>
          <w:rFonts w:ascii="Times New Roman" w:hAnsi="Times New Roman" w:cs="Times New Roman"/>
        </w:rPr>
        <w:t xml:space="preserve"> \in E} \theta_{it}^{E} already = 1 </w:t>
      </w:r>
    </w:p>
    <w:p w14:paraId="61F3C528" w14:textId="3B437394" w:rsidR="002C7067" w:rsidRPr="00AF7AE3" w:rsidRDefault="00213EA0" w:rsidP="00DC0DEC">
      <w:pPr>
        <w:rPr>
          <w:rFonts w:ascii="Times New Roman" w:hAnsi="Times New Roman" w:cs="Times New Roman"/>
        </w:rPr>
      </w:pPr>
      <w:r w:rsidRPr="00C2537B">
        <w:rPr>
          <w:rFonts w:ascii="Times New Roman" w:hAnsi="Times New Roman" w:cs="Times New Roman"/>
          <w:color w:val="77206D" w:themeColor="accent5" w:themeShade="BF"/>
        </w:rPr>
        <w:t xml:space="preserve">The </w:t>
      </w:r>
      <w:r w:rsidR="00DF62E7" w:rsidRPr="00C2537B">
        <w:rPr>
          <w:rFonts w:ascii="Times New Roman" w:hAnsi="Times New Roman" w:cs="Times New Roman"/>
          <w:color w:val="77206D" w:themeColor="accent5" w:themeShade="BF"/>
        </w:rPr>
        <w:t>referee</w:t>
      </w:r>
      <w:r w:rsidRPr="00C2537B">
        <w:rPr>
          <w:rFonts w:ascii="Times New Roman" w:hAnsi="Times New Roman" w:cs="Times New Roman"/>
          <w:color w:val="77206D" w:themeColor="accent5" w:themeShade="BF"/>
        </w:rPr>
        <w:t xml:space="preserve"> is right</w:t>
      </w:r>
      <w:r w:rsidR="00E21D8C" w:rsidRPr="00C2537B">
        <w:rPr>
          <w:rFonts w:ascii="Times New Roman" w:hAnsi="Times New Roman" w:cs="Times New Roman"/>
          <w:color w:val="77206D" w:themeColor="accent5" w:themeShade="BF"/>
        </w:rPr>
        <w:t>,</w:t>
      </w:r>
      <w:r w:rsidRPr="00C2537B">
        <w:rPr>
          <w:rFonts w:ascii="Times New Roman" w:hAnsi="Times New Roman" w:cs="Times New Roman"/>
          <w:color w:val="77206D" w:themeColor="accent5" w:themeShade="BF"/>
        </w:rPr>
        <w:t xml:space="preserve"> and the author has corrected </w:t>
      </w:r>
      <w:r w:rsidR="0083467E" w:rsidRPr="00C2537B">
        <w:rPr>
          <w:rFonts w:ascii="Times New Roman" w:hAnsi="Times New Roman" w:cs="Times New Roman"/>
          <w:color w:val="77206D" w:themeColor="accent5" w:themeShade="BF"/>
        </w:rPr>
        <w:t>the mathematical notation</w:t>
      </w:r>
      <w:r w:rsidR="00E21D8C" w:rsidRPr="00C2537B">
        <w:rPr>
          <w:rFonts w:ascii="Times New Roman" w:hAnsi="Times New Roman" w:cs="Times New Roman"/>
          <w:color w:val="77206D" w:themeColor="accent5" w:themeShade="BF"/>
        </w:rPr>
        <w:t xml:space="preserve"> </w:t>
      </w:r>
      <w:r w:rsidR="00EE3B8F" w:rsidRPr="00C2537B">
        <w:rPr>
          <w:rFonts w:ascii="Times New Roman" w:hAnsi="Times New Roman" w:cs="Times New Roman"/>
          <w:color w:val="77206D" w:themeColor="accent5" w:themeShade="BF"/>
        </w:rPr>
        <w:t>on</w:t>
      </w:r>
      <w:r w:rsidR="009429D3" w:rsidRPr="00C2537B">
        <w:rPr>
          <w:rFonts w:ascii="Times New Roman" w:hAnsi="Times New Roman" w:cs="Times New Roman"/>
          <w:color w:val="77206D" w:themeColor="accent5" w:themeShade="BF"/>
        </w:rPr>
        <w:t xml:space="preserve"> page </w:t>
      </w:r>
      <w:r w:rsidR="004D7982" w:rsidRPr="00C2537B">
        <w:rPr>
          <w:rFonts w:ascii="Times New Roman" w:hAnsi="Times New Roman" w:cs="Times New Roman"/>
          <w:color w:val="77206D" w:themeColor="accent5" w:themeShade="BF"/>
        </w:rPr>
        <w:t xml:space="preserve">9 </w:t>
      </w:r>
      <w:r w:rsidR="00E21D8C" w:rsidRPr="00C2537B">
        <w:rPr>
          <w:rFonts w:ascii="Times New Roman" w:hAnsi="Times New Roman" w:cs="Times New Roman"/>
          <w:color w:val="77206D" w:themeColor="accent5" w:themeShade="BF"/>
        </w:rPr>
        <w:t xml:space="preserve">to </w:t>
      </w:r>
      <w:r w:rsidR="009429D3" w:rsidRPr="00C2537B">
        <w:rPr>
          <w:rFonts w:ascii="Times New Roman" w:hAnsi="Times New Roman" w:cs="Times New Roman"/>
          <w:color w:val="77206D" w:themeColor="accent5" w:themeShade="BF"/>
        </w:rPr>
        <w:t>resolve</w:t>
      </w:r>
      <w:r w:rsidR="00E21D8C" w:rsidRPr="00C2537B">
        <w:rPr>
          <w:rFonts w:ascii="Times New Roman" w:hAnsi="Times New Roman" w:cs="Times New Roman"/>
          <w:color w:val="77206D" w:themeColor="accent5" w:themeShade="BF"/>
        </w:rPr>
        <w:t xml:space="preserve"> this inconsistency. The weights </w:t>
      </w:r>
      <w:r w:rsidR="00F558F9" w:rsidRPr="00C2537B">
        <w:rPr>
          <w:rFonts w:ascii="Times New Roman" w:hAnsi="Times New Roman" w:cs="Times New Roman"/>
          <w:color w:val="77206D" w:themeColor="accent5" w:themeShade="BF"/>
        </w:rPr>
        <w:t xml:space="preserve">are normalised within each year. The </w:t>
      </w:r>
      <w:r w:rsidR="00350A29" w:rsidRPr="00C2537B">
        <w:rPr>
          <w:rFonts w:ascii="Times New Roman" w:hAnsi="Times New Roman" w:cs="Times New Roman"/>
          <w:color w:val="77206D" w:themeColor="accent5" w:themeShade="BF"/>
        </w:rPr>
        <w:t xml:space="preserve">author explains that the sum of the weights across groups in each year equals one, and that </w:t>
      </w:r>
      <w:r w:rsidR="00996B64" w:rsidRPr="00C2537B">
        <w:rPr>
          <w:rFonts w:ascii="Times New Roman" w:hAnsi="Times New Roman" w:cs="Times New Roman"/>
          <w:color w:val="77206D" w:themeColor="accent5" w:themeShade="BF"/>
        </w:rPr>
        <w:t>they represent each group's contribution</w:t>
      </w:r>
      <w:r w:rsidR="009429D3" w:rsidRPr="00C2537B">
        <w:rPr>
          <w:rFonts w:ascii="Times New Roman" w:hAnsi="Times New Roman" w:cs="Times New Roman"/>
          <w:color w:val="77206D" w:themeColor="accent5" w:themeShade="BF"/>
        </w:rPr>
        <w:t xml:space="preserve"> to</w:t>
      </w:r>
      <w:r w:rsidR="00242FEF" w:rsidRPr="00C2537B">
        <w:rPr>
          <w:rFonts w:ascii="Times New Roman" w:hAnsi="Times New Roman" w:cs="Times New Roman"/>
          <w:color w:val="77206D" w:themeColor="accent5" w:themeShade="BF"/>
        </w:rPr>
        <w:t xml:space="preserve"> the tota</w:t>
      </w:r>
      <w:r w:rsidR="00242FEF" w:rsidRPr="00C0391A">
        <w:rPr>
          <w:rFonts w:ascii="Times New Roman" w:hAnsi="Times New Roman" w:cs="Times New Roman"/>
          <w:color w:val="77206D" w:themeColor="accent5" w:themeShade="BF"/>
        </w:rPr>
        <w:t xml:space="preserve">l output. </w:t>
      </w:r>
      <w:r w:rsidR="00350A29" w:rsidRPr="00C0391A">
        <w:rPr>
          <w:rFonts w:ascii="Times New Roman" w:hAnsi="Times New Roman" w:cs="Times New Roman"/>
          <w:color w:val="77206D" w:themeColor="accent5" w:themeShade="BF"/>
        </w:rPr>
        <w:t>T</w:t>
      </w:r>
      <w:r w:rsidR="00304C40" w:rsidRPr="00C0391A">
        <w:rPr>
          <w:rFonts w:ascii="Times New Roman" w:hAnsi="Times New Roman" w:cs="Times New Roman"/>
          <w:color w:val="77206D" w:themeColor="accent5" w:themeShade="BF"/>
        </w:rPr>
        <w:t xml:space="preserve">he revised </w:t>
      </w:r>
      <w:r w:rsidR="00996B64" w:rsidRPr="00C0391A">
        <w:rPr>
          <w:rFonts w:ascii="Times New Roman" w:hAnsi="Times New Roman" w:cs="Times New Roman"/>
          <w:color w:val="77206D" w:themeColor="accent5" w:themeShade="BF"/>
        </w:rPr>
        <w:t xml:space="preserve">mathematical </w:t>
      </w:r>
      <w:r w:rsidR="00304C40" w:rsidRPr="00C0391A">
        <w:rPr>
          <w:rFonts w:ascii="Times New Roman" w:hAnsi="Times New Roman" w:cs="Times New Roman"/>
          <w:color w:val="77206D" w:themeColor="accent5" w:themeShade="BF"/>
        </w:rPr>
        <w:t>expression</w:t>
      </w:r>
      <w:r w:rsidR="008402C4" w:rsidRPr="00C0391A">
        <w:rPr>
          <w:rFonts w:ascii="Times New Roman" w:hAnsi="Times New Roman" w:cs="Times New Roman"/>
          <w:color w:val="77206D" w:themeColor="accent5" w:themeShade="BF"/>
        </w:rPr>
        <w:t>s</w:t>
      </w:r>
      <w:r w:rsidR="00304C40" w:rsidRPr="00C0391A">
        <w:rPr>
          <w:rFonts w:ascii="Times New Roman" w:hAnsi="Times New Roman" w:cs="Times New Roman"/>
          <w:color w:val="77206D" w:themeColor="accent5" w:themeShade="BF"/>
        </w:rPr>
        <w:t xml:space="preserve"> </w:t>
      </w:r>
      <w:r w:rsidR="008402C4" w:rsidRPr="00C0391A">
        <w:rPr>
          <w:rFonts w:ascii="Times New Roman" w:hAnsi="Times New Roman" w:cs="Times New Roman"/>
          <w:color w:val="77206D" w:themeColor="accent5" w:themeShade="BF"/>
        </w:rPr>
        <w:t>are</w:t>
      </w:r>
      <w:r w:rsidR="00304C40" w:rsidRPr="00C0391A">
        <w:rPr>
          <w:rFonts w:ascii="Times New Roman" w:hAnsi="Times New Roman" w:cs="Times New Roman"/>
          <w:color w:val="77206D" w:themeColor="accent5" w:themeShade="BF"/>
        </w:rPr>
        <w:t xml:space="preserve"> </w:t>
      </w:r>
      <m:oMath>
        <m:nary>
          <m:naryPr>
            <m:chr m:val="∑"/>
            <m:limLoc m:val="undOvr"/>
            <m:supHide m:val="1"/>
            <m:ctrlPr>
              <w:rPr>
                <w:rFonts w:ascii="Cambria Math" w:hAnsi="Cambria Math" w:cs="Times New Roman"/>
                <w:i/>
                <w:iCs/>
                <w:color w:val="77206D" w:themeColor="accent5" w:themeShade="BF"/>
              </w:rPr>
            </m:ctrlPr>
          </m:naryPr>
          <m:sub>
            <m:r>
              <w:rPr>
                <w:rFonts w:ascii="Cambria Math" w:hAnsi="Cambria Math" w:cs="Times New Roman"/>
                <w:color w:val="77206D" w:themeColor="accent5" w:themeShade="BF"/>
              </w:rPr>
              <m:t>i</m:t>
            </m:r>
          </m:sub>
          <m:sup/>
          <m:e>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up>
                <m:r>
                  <w:rPr>
                    <w:rFonts w:ascii="Cambria Math" w:hAnsi="Cambria Math" w:cs="Times New Roman"/>
                    <w:color w:val="77206D" w:themeColor="accent5" w:themeShade="BF"/>
                  </w:rPr>
                  <m:t>E</m:t>
                </m:r>
              </m:sup>
            </m:sSubSup>
          </m:e>
        </m:nary>
        <m:r>
          <w:rPr>
            <w:rFonts w:ascii="Cambria Math" w:hAnsi="Cambria Math" w:cs="Times New Roman"/>
            <w:color w:val="77206D" w:themeColor="accent5" w:themeShade="BF"/>
          </w:rPr>
          <m:t>+</m:t>
        </m:r>
        <m:nary>
          <m:naryPr>
            <m:chr m:val="∑"/>
            <m:limLoc m:val="undOvr"/>
            <m:supHide m:val="1"/>
            <m:ctrlPr>
              <w:rPr>
                <w:rFonts w:ascii="Cambria Math" w:hAnsi="Cambria Math" w:cs="Times New Roman"/>
                <w:i/>
                <w:iCs/>
                <w:color w:val="77206D" w:themeColor="accent5" w:themeShade="BF"/>
              </w:rPr>
            </m:ctrlPr>
          </m:naryPr>
          <m:sub>
            <m:r>
              <w:rPr>
                <w:rFonts w:ascii="Cambria Math" w:hAnsi="Cambria Math" w:cs="Times New Roman"/>
                <w:color w:val="77206D" w:themeColor="accent5" w:themeShade="BF"/>
              </w:rPr>
              <m:t>i</m:t>
            </m:r>
          </m:sub>
          <m:sup/>
          <m:e>
            <m:sSubSup>
              <m:sSubSupPr>
                <m:ctrlPr>
                  <w:rPr>
                    <w:rFonts w:ascii="Cambria Math" w:hAnsi="Cambria Math" w:cs="Times New Roman"/>
                    <w:i/>
                    <w:iCs/>
                    <w:color w:val="77206D" w:themeColor="accent5" w:themeShade="BF"/>
                  </w:rPr>
                </m:ctrlPr>
              </m:sSubSup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up>
                <m:r>
                  <w:rPr>
                    <w:rFonts w:ascii="Cambria Math" w:hAnsi="Cambria Math" w:cs="Times New Roman"/>
                    <w:color w:val="77206D" w:themeColor="accent5" w:themeShade="BF"/>
                  </w:rPr>
                  <m:t>S</m:t>
                </m:r>
              </m:sup>
            </m:sSubSup>
          </m:e>
        </m:nary>
        <m:r>
          <w:rPr>
            <w:rFonts w:ascii="Cambria Math" w:hAnsi="Cambria Math" w:cs="Times New Roman"/>
            <w:color w:val="77206D" w:themeColor="accent5" w:themeShade="BF"/>
          </w:rPr>
          <m:t>=</m:t>
        </m:r>
        <m:nary>
          <m:naryPr>
            <m:chr m:val="∑"/>
            <m:limLoc m:val="subSup"/>
            <m:supHide m:val="1"/>
            <m:ctrlPr>
              <w:rPr>
                <w:rFonts w:ascii="Cambria Math" w:hAnsi="Cambria Math" w:cs="Times New Roman"/>
                <w:i/>
                <w:color w:val="77206D" w:themeColor="accent5" w:themeShade="BF"/>
              </w:rPr>
            </m:ctrlPr>
          </m:naryPr>
          <m:sub>
            <m:r>
              <w:rPr>
                <w:rFonts w:ascii="Cambria Math" w:hAnsi="Cambria Math" w:cs="Times New Roman"/>
                <w:color w:val="77206D" w:themeColor="accent5" w:themeShade="BF"/>
              </w:rPr>
              <m:t>i</m:t>
            </m:r>
          </m:sub>
          <m:sup/>
          <m:e>
            <m:sSub>
              <m:sSubPr>
                <m:ctrlPr>
                  <w:rPr>
                    <w:rFonts w:ascii="Cambria Math" w:hAnsi="Cambria Math" w:cs="Times New Roman"/>
                    <w:i/>
                    <w:color w:val="77206D" w:themeColor="accent5" w:themeShade="BF"/>
                  </w:rPr>
                </m:ctrlPr>
              </m:sSubPr>
              <m:e>
                <m:r>
                  <w:rPr>
                    <w:rFonts w:ascii="Cambria Math" w:hAnsi="Cambria Math" w:cs="Times New Roman"/>
                    <w:color w:val="77206D" w:themeColor="accent5" w:themeShade="BF"/>
                  </w:rPr>
                  <m:t>θ</m:t>
                </m:r>
              </m:e>
              <m:sub>
                <m:r>
                  <w:rPr>
                    <w:rFonts w:ascii="Cambria Math" w:hAnsi="Cambria Math" w:cs="Times New Roman"/>
                    <w:color w:val="77206D" w:themeColor="accent5" w:themeShade="BF"/>
                  </w:rPr>
                  <m:t>it</m:t>
                </m:r>
              </m:sub>
            </m:sSub>
            <m:r>
              <w:rPr>
                <w:rFonts w:ascii="Cambria Math" w:hAnsi="Cambria Math" w:cs="Times New Roman"/>
                <w:color w:val="77206D" w:themeColor="accent5" w:themeShade="BF"/>
              </w:rPr>
              <m:t>=</m:t>
            </m:r>
          </m:e>
        </m:nary>
        <m:r>
          <w:rPr>
            <w:rFonts w:ascii="Cambria Math" w:hAnsi="Cambria Math" w:cs="Times New Roman"/>
            <w:color w:val="77206D" w:themeColor="accent5" w:themeShade="BF"/>
          </w:rPr>
          <m:t>1</m:t>
        </m:r>
      </m:oMath>
      <w:r w:rsidR="008402C4" w:rsidRPr="00C0391A">
        <w:rPr>
          <w:rFonts w:ascii="Times New Roman" w:eastAsiaTheme="minorEastAsia" w:hAnsi="Times New Roman" w:cs="Times New Roman"/>
          <w:color w:val="77206D" w:themeColor="accent5" w:themeShade="BF"/>
        </w:rPr>
        <w:t xml:space="preserve"> and </w:t>
      </w:r>
      <m:oMath>
        <m:nary>
          <m:naryPr>
            <m:chr m:val="∑"/>
            <m:limLoc m:val="undOvr"/>
            <m:supHide m:val="1"/>
            <m:ctrlPr>
              <w:rPr>
                <w:rFonts w:ascii="Cambria Math" w:hAnsi="Cambria Math" w:cs="Times New Roman"/>
                <w:i/>
                <w:iCs/>
                <w:color w:val="77206D" w:themeColor="accent5" w:themeShade="BF"/>
                <w:sz w:val="20"/>
                <w:szCs w:val="20"/>
              </w:rPr>
            </m:ctrlPr>
          </m:naryPr>
          <m:sub>
            <m:r>
              <w:rPr>
                <w:rFonts w:ascii="Cambria Math" w:hAnsi="Cambria Math" w:cs="Times New Roman"/>
                <w:color w:val="77206D" w:themeColor="accent5" w:themeShade="BF"/>
                <w:sz w:val="20"/>
                <w:szCs w:val="20"/>
              </w:rPr>
              <m:t>i</m:t>
            </m:r>
          </m:sub>
          <m:sup/>
          <m:e>
            <m:sSubSup>
              <m:sSubSupPr>
                <m:ctrlPr>
                  <w:rPr>
                    <w:rFonts w:ascii="Cambria Math" w:hAnsi="Cambria Math" w:cs="Times New Roman"/>
                    <w:i/>
                    <w:iCs/>
                    <w:color w:val="77206D" w:themeColor="accent5" w:themeShade="BF"/>
                    <w:sz w:val="20"/>
                    <w:szCs w:val="20"/>
                  </w:rPr>
                </m:ctrlPr>
              </m:sSubSupPr>
              <m:e>
                <m:r>
                  <w:rPr>
                    <w:rFonts w:ascii="Cambria Math" w:hAnsi="Cambria Math" w:cs="Times New Roman"/>
                    <w:color w:val="77206D" w:themeColor="accent5" w:themeShade="BF"/>
                    <w:sz w:val="20"/>
                    <w:szCs w:val="20"/>
                  </w:rPr>
                  <m:t>θ</m:t>
                </m:r>
              </m:e>
              <m:sub>
                <m:r>
                  <w:rPr>
                    <w:rFonts w:ascii="Cambria Math" w:hAnsi="Cambria Math" w:cs="Times New Roman"/>
                    <w:color w:val="77206D" w:themeColor="accent5" w:themeShade="BF"/>
                    <w:sz w:val="20"/>
                    <w:szCs w:val="20"/>
                  </w:rPr>
                  <m:t>i,t-k</m:t>
                </m:r>
              </m:sub>
              <m:sup>
                <m:r>
                  <w:rPr>
                    <w:rFonts w:ascii="Cambria Math" w:hAnsi="Cambria Math" w:cs="Times New Roman"/>
                    <w:color w:val="77206D" w:themeColor="accent5" w:themeShade="BF"/>
                    <w:sz w:val="20"/>
                    <w:szCs w:val="20"/>
                  </w:rPr>
                  <m:t>X</m:t>
                </m:r>
              </m:sup>
            </m:sSubSup>
          </m:e>
        </m:nary>
        <m:r>
          <w:rPr>
            <w:rFonts w:ascii="Cambria Math" w:hAnsi="Cambria Math" w:cs="Times New Roman"/>
            <w:color w:val="77206D" w:themeColor="accent5" w:themeShade="BF"/>
            <w:sz w:val="20"/>
            <w:szCs w:val="20"/>
          </w:rPr>
          <m:t>+</m:t>
        </m:r>
        <m:nary>
          <m:naryPr>
            <m:chr m:val="∑"/>
            <m:limLoc m:val="undOvr"/>
            <m:supHide m:val="1"/>
            <m:ctrlPr>
              <w:rPr>
                <w:rFonts w:ascii="Cambria Math" w:hAnsi="Cambria Math" w:cs="Times New Roman"/>
                <w:i/>
                <w:iCs/>
                <w:color w:val="77206D" w:themeColor="accent5" w:themeShade="BF"/>
                <w:sz w:val="20"/>
                <w:szCs w:val="20"/>
              </w:rPr>
            </m:ctrlPr>
          </m:naryPr>
          <m:sub>
            <m:r>
              <w:rPr>
                <w:rFonts w:ascii="Cambria Math" w:hAnsi="Cambria Math" w:cs="Times New Roman"/>
                <w:color w:val="77206D" w:themeColor="accent5" w:themeShade="BF"/>
                <w:sz w:val="20"/>
                <w:szCs w:val="20"/>
              </w:rPr>
              <m:t>i</m:t>
            </m:r>
          </m:sub>
          <m:sup/>
          <m:e>
            <m:sSubSup>
              <m:sSubSupPr>
                <m:ctrlPr>
                  <w:rPr>
                    <w:rFonts w:ascii="Cambria Math" w:hAnsi="Cambria Math" w:cs="Times New Roman"/>
                    <w:i/>
                    <w:iCs/>
                    <w:color w:val="77206D" w:themeColor="accent5" w:themeShade="BF"/>
                    <w:sz w:val="20"/>
                    <w:szCs w:val="20"/>
                  </w:rPr>
                </m:ctrlPr>
              </m:sSubSupPr>
              <m:e>
                <m:r>
                  <w:rPr>
                    <w:rFonts w:ascii="Cambria Math" w:hAnsi="Cambria Math" w:cs="Times New Roman"/>
                    <w:color w:val="77206D" w:themeColor="accent5" w:themeShade="BF"/>
                    <w:sz w:val="20"/>
                    <w:szCs w:val="20"/>
                  </w:rPr>
                  <m:t>θ</m:t>
                </m:r>
              </m:e>
              <m:sub>
                <m:r>
                  <w:rPr>
                    <w:rFonts w:ascii="Cambria Math" w:hAnsi="Cambria Math" w:cs="Times New Roman"/>
                    <w:color w:val="77206D" w:themeColor="accent5" w:themeShade="BF"/>
                    <w:sz w:val="20"/>
                    <w:szCs w:val="20"/>
                  </w:rPr>
                  <m:t>i,t-k</m:t>
                </m:r>
              </m:sub>
              <m:sup>
                <m:r>
                  <w:rPr>
                    <w:rFonts w:ascii="Cambria Math" w:hAnsi="Cambria Math" w:cs="Times New Roman"/>
                    <w:color w:val="77206D" w:themeColor="accent5" w:themeShade="BF"/>
                    <w:sz w:val="20"/>
                    <w:szCs w:val="20"/>
                  </w:rPr>
                  <m:t>S</m:t>
                </m:r>
              </m:sup>
            </m:sSubSup>
          </m:e>
        </m:nary>
        <m:r>
          <w:rPr>
            <w:rFonts w:ascii="Cambria Math" w:hAnsi="Cambria Math" w:cs="Times New Roman"/>
            <w:color w:val="77206D" w:themeColor="accent5" w:themeShade="BF"/>
            <w:sz w:val="20"/>
            <w:szCs w:val="20"/>
          </w:rPr>
          <m:t>=</m:t>
        </m:r>
        <m:nary>
          <m:naryPr>
            <m:chr m:val="∑"/>
            <m:limLoc m:val="subSup"/>
            <m:supHide m:val="1"/>
            <m:ctrlPr>
              <w:rPr>
                <w:rFonts w:ascii="Cambria Math" w:hAnsi="Cambria Math" w:cs="Times New Roman"/>
                <w:i/>
                <w:color w:val="77206D" w:themeColor="accent5" w:themeShade="BF"/>
                <w:sz w:val="20"/>
                <w:szCs w:val="20"/>
              </w:rPr>
            </m:ctrlPr>
          </m:naryPr>
          <m:sub>
            <m:r>
              <w:rPr>
                <w:rFonts w:ascii="Cambria Math" w:hAnsi="Cambria Math" w:cs="Times New Roman"/>
                <w:color w:val="77206D" w:themeColor="accent5" w:themeShade="BF"/>
                <w:sz w:val="20"/>
                <w:szCs w:val="20"/>
              </w:rPr>
              <m:t>i</m:t>
            </m:r>
          </m:sub>
          <m:sup/>
          <m:e>
            <m:sSub>
              <m:sSubPr>
                <m:ctrlPr>
                  <w:rPr>
                    <w:rFonts w:ascii="Cambria Math" w:hAnsi="Cambria Math" w:cs="Times New Roman"/>
                    <w:i/>
                    <w:color w:val="77206D" w:themeColor="accent5" w:themeShade="BF"/>
                    <w:sz w:val="20"/>
                    <w:szCs w:val="20"/>
                  </w:rPr>
                </m:ctrlPr>
              </m:sSubPr>
              <m:e>
                <m:r>
                  <w:rPr>
                    <w:rFonts w:ascii="Cambria Math" w:hAnsi="Cambria Math" w:cs="Times New Roman"/>
                    <w:color w:val="77206D" w:themeColor="accent5" w:themeShade="BF"/>
                    <w:sz w:val="20"/>
                    <w:szCs w:val="20"/>
                  </w:rPr>
                  <m:t>θ</m:t>
                </m:r>
              </m:e>
              <m:sub>
                <m:r>
                  <w:rPr>
                    <w:rFonts w:ascii="Cambria Math" w:hAnsi="Cambria Math" w:cs="Times New Roman"/>
                    <w:color w:val="77206D" w:themeColor="accent5" w:themeShade="BF"/>
                    <w:sz w:val="20"/>
                    <w:szCs w:val="20"/>
                  </w:rPr>
                  <m:t>i,t-k</m:t>
                </m:r>
              </m:sub>
            </m:sSub>
            <m:r>
              <w:rPr>
                <w:rFonts w:ascii="Cambria Math" w:hAnsi="Cambria Math" w:cs="Times New Roman"/>
                <w:color w:val="77206D" w:themeColor="accent5" w:themeShade="BF"/>
                <w:sz w:val="20"/>
                <w:szCs w:val="20"/>
              </w:rPr>
              <m:t>=</m:t>
            </m:r>
          </m:e>
        </m:nary>
        <m:r>
          <w:rPr>
            <w:rFonts w:ascii="Cambria Math" w:hAnsi="Cambria Math" w:cs="Times New Roman"/>
            <w:color w:val="77206D" w:themeColor="accent5" w:themeShade="BF"/>
            <w:sz w:val="20"/>
            <w:szCs w:val="20"/>
          </w:rPr>
          <m:t>1</m:t>
        </m:r>
      </m:oMath>
      <w:r w:rsidR="002B4048" w:rsidRPr="00C2537B">
        <w:rPr>
          <w:rFonts w:ascii="Times New Roman" w:hAnsi="Times New Roman" w:cs="Times New Roman"/>
          <w:color w:val="77206D" w:themeColor="accent5" w:themeShade="BF"/>
        </w:rPr>
        <w:br/>
      </w:r>
      <w:r w:rsidR="002B4048" w:rsidRPr="00AF7AE3">
        <w:rPr>
          <w:rFonts w:ascii="Times New Roman" w:hAnsi="Times New Roman" w:cs="Times New Roman"/>
        </w:rPr>
        <w:lastRenderedPageBreak/>
        <w:t>   </w:t>
      </w:r>
      <w:r w:rsidR="002B4048" w:rsidRPr="00AF7AE3">
        <w:rPr>
          <w:rFonts w:ascii="Times New Roman" w:hAnsi="Times New Roman" w:cs="Times New Roman"/>
        </w:rPr>
        <w:br/>
      </w:r>
      <w:r w:rsidR="002B4048" w:rsidRPr="00AF7AE3">
        <w:rPr>
          <w:rFonts w:ascii="Times New Roman" w:hAnsi="Times New Roman" w:cs="Times New Roman"/>
          <w:b/>
          <w:bCs/>
        </w:rPr>
        <w:t>4. Spatial Analysis of Weights (Figures 2-3)</w:t>
      </w:r>
      <w:r w:rsidR="002B4048" w:rsidRPr="00AF7AE3">
        <w:rPr>
          <w:rFonts w:ascii="Times New Roman" w:hAnsi="Times New Roman" w:cs="Times New Roman"/>
          <w:b/>
          <w:bCs/>
        </w:rPr>
        <w:br/>
      </w:r>
      <w:r w:rsidR="002B4048" w:rsidRPr="00AF7AE3">
        <w:rPr>
          <w:rFonts w:ascii="Times New Roman" w:hAnsi="Times New Roman" w:cs="Times New Roman"/>
        </w:rPr>
        <w:t xml:space="preserve">    The incomparable scales between Figures 2 and 3 (p.9) likely stem from unaddressed heterogeneity in Y_{it} distributions. To clarify discrepancies between state- and municipality-level results, </w:t>
      </w:r>
      <w:r w:rsidR="002B4048" w:rsidRPr="00AF7AE3">
        <w:rPr>
          <w:rFonts w:ascii="Times New Roman" w:hAnsi="Times New Roman" w:cs="Times New Roman"/>
          <w:b/>
          <w:bCs/>
        </w:rPr>
        <w:t>report spatial distributions of weight quartiles at both levels</w:t>
      </w:r>
      <w:r w:rsidR="002B4048" w:rsidRPr="00AF7AE3">
        <w:rPr>
          <w:rFonts w:ascii="Times New Roman" w:hAnsi="Times New Roman" w:cs="Times New Roman"/>
        </w:rPr>
        <w:t xml:space="preserve">. It is possible that small municipalities (e.g., Tijuana, Mexicali and Ensenada) with high productivity cannot </w:t>
      </w:r>
      <w:proofErr w:type="gramStart"/>
      <w:r w:rsidR="002B4048" w:rsidRPr="00AF7AE3">
        <w:rPr>
          <w:rFonts w:ascii="Times New Roman" w:hAnsi="Times New Roman" w:cs="Times New Roman"/>
        </w:rPr>
        <w:t>lift up</w:t>
      </w:r>
      <w:proofErr w:type="gramEnd"/>
      <w:r w:rsidR="002B4048" w:rsidRPr="00AF7AE3">
        <w:rPr>
          <w:rFonts w:ascii="Times New Roman" w:hAnsi="Times New Roman" w:cs="Times New Roman"/>
        </w:rPr>
        <w:t xml:space="preserve"> the low productivity of the whole state, Baja California.</w:t>
      </w:r>
    </w:p>
    <w:p w14:paraId="296C2031" w14:textId="7B8EDAC8" w:rsidR="0058129F" w:rsidRPr="00C2537B" w:rsidRDefault="00C81A4B" w:rsidP="00C939D1">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 xml:space="preserve">Figures 2 and 3 analyse weighted-average TFP across states and municipalities, but the figures have incomparable scales. Rather than analysing </w:t>
      </w:r>
      <w:r w:rsidR="00315BB0">
        <w:rPr>
          <w:rFonts w:ascii="Times New Roman" w:hAnsi="Times New Roman" w:cs="Times New Roman"/>
          <w:color w:val="77206D" w:themeColor="accent5" w:themeShade="BF"/>
        </w:rPr>
        <w:t xml:space="preserve">production heterogeneity (Y_{it}) as the referee proposes, the author considers it more plausible to examine weighted-average TFP heterogeneity </w:t>
      </w:r>
      <w:r w:rsidRPr="00C2537B">
        <w:rPr>
          <w:rFonts w:ascii="Times New Roman" w:hAnsi="Times New Roman" w:cs="Times New Roman"/>
          <w:color w:val="77206D" w:themeColor="accent5" w:themeShade="BF"/>
        </w:rPr>
        <w:t xml:space="preserve">in depth. The </w:t>
      </w:r>
      <w:r w:rsidR="00DF62E7" w:rsidRPr="00C2537B">
        <w:rPr>
          <w:rFonts w:ascii="Times New Roman" w:hAnsi="Times New Roman" w:cs="Times New Roman"/>
          <w:color w:val="77206D" w:themeColor="accent5" w:themeShade="BF"/>
        </w:rPr>
        <w:t>referee</w:t>
      </w:r>
      <w:r w:rsidRPr="00C2537B">
        <w:rPr>
          <w:rFonts w:ascii="Times New Roman" w:hAnsi="Times New Roman" w:cs="Times New Roman"/>
          <w:color w:val="77206D" w:themeColor="accent5" w:themeShade="BF"/>
        </w:rPr>
        <w:t xml:space="preserve"> </w:t>
      </w:r>
      <w:r w:rsidR="00BE0D27" w:rsidRPr="00C2537B">
        <w:rPr>
          <w:rFonts w:ascii="Times New Roman" w:hAnsi="Times New Roman" w:cs="Times New Roman"/>
          <w:color w:val="77206D" w:themeColor="accent5" w:themeShade="BF"/>
        </w:rPr>
        <w:t>notes that Y_{it} is unaddressed, but the weights are only partly responsible for the pattern in</w:t>
      </w:r>
      <w:r w:rsidRPr="00C2537B">
        <w:rPr>
          <w:rFonts w:ascii="Times New Roman" w:hAnsi="Times New Roman" w:cs="Times New Roman"/>
          <w:color w:val="77206D" w:themeColor="accent5" w:themeShade="BF"/>
        </w:rPr>
        <w:t xml:space="preserve"> weighted-average TFP (the other factor is TFP). The author agrees with the </w:t>
      </w:r>
      <w:r w:rsidR="00DF62E7" w:rsidRPr="00C2537B">
        <w:rPr>
          <w:rFonts w:ascii="Times New Roman" w:hAnsi="Times New Roman" w:cs="Times New Roman"/>
          <w:color w:val="77206D" w:themeColor="accent5" w:themeShade="BF"/>
        </w:rPr>
        <w:t>referee</w:t>
      </w:r>
      <w:r w:rsidRPr="00C2537B">
        <w:rPr>
          <w:rFonts w:ascii="Times New Roman" w:hAnsi="Times New Roman" w:cs="Times New Roman"/>
          <w:color w:val="77206D" w:themeColor="accent5" w:themeShade="BF"/>
        </w:rPr>
        <w:t xml:space="preserve"> that it is necessary to explain why Figures 2 and 3 are incomparable. For that reason, the author included Table C1 in Appendix C to explain discrepancies in weighted-average TFP at the state and municipality levels using spatial distributions of </w:t>
      </w:r>
      <w:r w:rsidR="00666686" w:rsidRPr="00C2537B">
        <w:rPr>
          <w:rFonts w:ascii="Times New Roman" w:hAnsi="Times New Roman" w:cs="Times New Roman"/>
          <w:color w:val="77206D" w:themeColor="accent5" w:themeShade="BF"/>
        </w:rPr>
        <w:t>this metric</w:t>
      </w:r>
      <w:r w:rsidRPr="00C2537B">
        <w:rPr>
          <w:rFonts w:ascii="Times New Roman" w:hAnsi="Times New Roman" w:cs="Times New Roman"/>
          <w:color w:val="77206D" w:themeColor="accent5" w:themeShade="BF"/>
        </w:rPr>
        <w:t xml:space="preserve">. The results indicate that states with high TFP are those where </w:t>
      </w:r>
      <w:r w:rsidR="001B74FB">
        <w:rPr>
          <w:rFonts w:ascii="Times New Roman" w:hAnsi="Times New Roman" w:cs="Times New Roman"/>
          <w:color w:val="77206D" w:themeColor="accent5" w:themeShade="BF"/>
        </w:rPr>
        <w:t>high-TFP municipalities</w:t>
      </w:r>
      <w:r w:rsidRPr="00C2537B">
        <w:rPr>
          <w:rFonts w:ascii="Times New Roman" w:hAnsi="Times New Roman" w:cs="Times New Roman"/>
          <w:color w:val="77206D" w:themeColor="accent5" w:themeShade="BF"/>
        </w:rPr>
        <w:t xml:space="preserve"> lift the state's aggregate productivity.</w:t>
      </w:r>
    </w:p>
    <w:p w14:paraId="5B8D0CA0" w14:textId="24083D46" w:rsidR="002C7067" w:rsidRPr="00AF7AE3" w:rsidRDefault="002B4048" w:rsidP="00C2537B">
      <w:pPr>
        <w:rPr>
          <w:rFonts w:ascii="Times New Roman" w:hAnsi="Times New Roman" w:cs="Times New Roman"/>
        </w:rPr>
      </w:pPr>
      <w:r w:rsidRPr="00AF7AE3">
        <w:rPr>
          <w:rFonts w:ascii="Times New Roman" w:hAnsi="Times New Roman" w:cs="Times New Roman"/>
        </w:rPr>
        <w:t>   </w:t>
      </w:r>
      <w:r w:rsidRPr="00AF7AE3">
        <w:rPr>
          <w:rFonts w:ascii="Times New Roman" w:hAnsi="Times New Roman" w:cs="Times New Roman"/>
        </w:rPr>
        <w:br/>
      </w:r>
      <w:r w:rsidRPr="00AF7AE3">
        <w:rPr>
          <w:rFonts w:ascii="Times New Roman" w:hAnsi="Times New Roman" w:cs="Times New Roman"/>
          <w:b/>
          <w:bCs/>
        </w:rPr>
        <w:t>5. Temporal Evolution of Municipality Weights (Figure 4)</w:t>
      </w:r>
      <w:r w:rsidRPr="00AF7AE3">
        <w:rPr>
          <w:rFonts w:ascii="Times New Roman" w:hAnsi="Times New Roman" w:cs="Times New Roman"/>
          <w:b/>
          <w:bCs/>
        </w:rPr>
        <w:br/>
      </w:r>
      <w:r w:rsidRPr="00AF7AE3">
        <w:rPr>
          <w:rFonts w:ascii="Times New Roman" w:hAnsi="Times New Roman" w:cs="Times New Roman"/>
        </w:rPr>
        <w:t>   </w:t>
      </w:r>
      <w:r w:rsidR="00C07D41" w:rsidRPr="00AF7AE3">
        <w:rPr>
          <w:rFonts w:ascii="Times New Roman" w:hAnsi="Times New Roman" w:cs="Times New Roman"/>
        </w:rPr>
        <w:tab/>
      </w:r>
      <w:r w:rsidRPr="00AF7AE3">
        <w:rPr>
          <w:rFonts w:ascii="Times New Roman" w:hAnsi="Times New Roman" w:cs="Times New Roman"/>
        </w:rPr>
        <w:t xml:space="preserve"> To contextualize Figure 4, </w:t>
      </w:r>
      <w:r w:rsidRPr="00AF7AE3">
        <w:rPr>
          <w:rFonts w:ascii="Times New Roman" w:hAnsi="Times New Roman" w:cs="Times New Roman"/>
          <w:b/>
          <w:bCs/>
        </w:rPr>
        <w:t>include the evolution of municipality-to-national weights for all six municipalities.</w:t>
      </w:r>
      <w:r w:rsidRPr="00AF7AE3">
        <w:rPr>
          <w:rFonts w:ascii="Times New Roman" w:hAnsi="Times New Roman" w:cs="Times New Roman"/>
        </w:rPr>
        <w:t xml:space="preserve"> This would help explain why only one of the six largest municipalities aligns with national TFP trends.</w:t>
      </w:r>
    </w:p>
    <w:p w14:paraId="6A393D77" w14:textId="2BFEF03D" w:rsidR="002C7067" w:rsidRPr="00C2537B" w:rsidRDefault="00B03749" w:rsidP="00C939D1">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The author revised this comment and included Figures C4 and C5 in Appendix C. The results indicate that the evolution of the municipality-to-national share does not explain why only one (or the rest) of the six largest municipalities aligns with the national TFP trends. As the author noted earlier, weights (or other types of shares</w:t>
      </w:r>
      <w:r w:rsidR="00307905" w:rsidRPr="00C2537B">
        <w:rPr>
          <w:rFonts w:ascii="Times New Roman" w:hAnsi="Times New Roman" w:cs="Times New Roman"/>
          <w:color w:val="77206D" w:themeColor="accent5" w:themeShade="BF"/>
        </w:rPr>
        <w:t xml:space="preserve"> at different aggregations</w:t>
      </w:r>
      <w:r w:rsidRPr="00C2537B">
        <w:rPr>
          <w:rFonts w:ascii="Times New Roman" w:hAnsi="Times New Roman" w:cs="Times New Roman"/>
          <w:color w:val="77206D" w:themeColor="accent5" w:themeShade="BF"/>
        </w:rPr>
        <w:t>) are only partly responsible for patterns in weighted-average TFP</w:t>
      </w:r>
      <w:r w:rsidR="00307905" w:rsidRPr="00C2537B">
        <w:rPr>
          <w:rFonts w:ascii="Times New Roman" w:hAnsi="Times New Roman" w:cs="Times New Roman"/>
          <w:color w:val="77206D" w:themeColor="accent5" w:themeShade="BF"/>
        </w:rPr>
        <w:t xml:space="preserve"> trends</w:t>
      </w:r>
      <w:r w:rsidRPr="00C2537B">
        <w:rPr>
          <w:rFonts w:ascii="Times New Roman" w:hAnsi="Times New Roman" w:cs="Times New Roman"/>
          <w:color w:val="77206D" w:themeColor="accent5" w:themeShade="BF"/>
        </w:rPr>
        <w:t xml:space="preserve">. </w:t>
      </w:r>
    </w:p>
    <w:p w14:paraId="0601614B" w14:textId="7AB9227D" w:rsidR="00F75518" w:rsidRPr="00AF7AE3" w:rsidRDefault="002B4048" w:rsidP="00C2537B">
      <w:pPr>
        <w:rPr>
          <w:rFonts w:ascii="Times New Roman" w:hAnsi="Times New Roman" w:cs="Times New Roman"/>
        </w:rPr>
      </w:pPr>
      <w:r w:rsidRPr="00AF7AE3">
        <w:rPr>
          <w:rFonts w:ascii="Times New Roman" w:hAnsi="Times New Roman" w:cs="Times New Roman"/>
        </w:rPr>
        <w:br/>
      </w:r>
      <w:r w:rsidRPr="00AF7AE3">
        <w:rPr>
          <w:rFonts w:ascii="Times New Roman" w:hAnsi="Times New Roman" w:cs="Times New Roman"/>
          <w:b/>
          <w:bCs/>
        </w:rPr>
        <w:t>6. Sectoral TFP-Weight Relationship (Figure 5)</w:t>
      </w:r>
      <w:r w:rsidRPr="00AF7AE3">
        <w:rPr>
          <w:rFonts w:ascii="Times New Roman" w:hAnsi="Times New Roman" w:cs="Times New Roman"/>
          <w:b/>
          <w:bCs/>
        </w:rPr>
        <w:br/>
      </w:r>
      <w:r w:rsidRPr="00AF7AE3">
        <w:rPr>
          <w:rFonts w:ascii="Times New Roman" w:hAnsi="Times New Roman" w:cs="Times New Roman"/>
        </w:rPr>
        <w:t>    Add a panel to Figure 5 (e.g., a scatterplot of sectoral TFP vs. sectoral weights) to illustrate the real contribution of each sector (e.g., high-TFP Sector 21 does not necessarily contribute more if this sector is relatively small compared to whole economy), to national productivity.</w:t>
      </w:r>
      <w:r w:rsidRPr="00AF7AE3">
        <w:rPr>
          <w:rFonts w:ascii="Times New Roman" w:hAnsi="Times New Roman" w:cs="Times New Roman"/>
        </w:rPr>
        <w:br/>
        <w:t>   </w:t>
      </w:r>
    </w:p>
    <w:p w14:paraId="1013AF04" w14:textId="27B21D91" w:rsidR="00F75518" w:rsidRPr="00C2537B" w:rsidRDefault="009F33AF" w:rsidP="00C939D1">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The author</w:t>
      </w:r>
      <w:r w:rsidR="00F75518" w:rsidRPr="00C2537B">
        <w:rPr>
          <w:rFonts w:ascii="Times New Roman" w:hAnsi="Times New Roman" w:cs="Times New Roman"/>
          <w:color w:val="77206D" w:themeColor="accent5" w:themeShade="BF"/>
        </w:rPr>
        <w:t xml:space="preserve"> included </w:t>
      </w:r>
      <w:r w:rsidRPr="00C2537B">
        <w:rPr>
          <w:rFonts w:ascii="Times New Roman" w:hAnsi="Times New Roman" w:cs="Times New Roman"/>
          <w:color w:val="77206D" w:themeColor="accent5" w:themeShade="BF"/>
        </w:rPr>
        <w:t xml:space="preserve">Figure 5B </w:t>
      </w:r>
      <w:r w:rsidR="00F75518" w:rsidRPr="00C2537B">
        <w:rPr>
          <w:rFonts w:ascii="Times New Roman" w:hAnsi="Times New Roman" w:cs="Times New Roman"/>
          <w:color w:val="77206D" w:themeColor="accent5" w:themeShade="BF"/>
        </w:rPr>
        <w:t>as a panel</w:t>
      </w:r>
      <w:r w:rsidRPr="00C2537B">
        <w:rPr>
          <w:rFonts w:ascii="Times New Roman" w:hAnsi="Times New Roman" w:cs="Times New Roman"/>
          <w:color w:val="77206D" w:themeColor="accent5" w:themeShade="BF"/>
        </w:rPr>
        <w:t xml:space="preserve"> with a scatterplot </w:t>
      </w:r>
      <w:r w:rsidR="00FA034D" w:rsidRPr="00C2537B">
        <w:rPr>
          <w:rFonts w:ascii="Times New Roman" w:hAnsi="Times New Roman" w:cs="Times New Roman"/>
          <w:color w:val="77206D" w:themeColor="accent5" w:themeShade="BF"/>
        </w:rPr>
        <w:t xml:space="preserve">of sectoral TFP vs. sectoral weights. The results indicate that Sector 21 has a high TFP and a high </w:t>
      </w:r>
      <w:r w:rsidR="007B6C93" w:rsidRPr="00C2537B">
        <w:rPr>
          <w:rFonts w:ascii="Times New Roman" w:hAnsi="Times New Roman" w:cs="Times New Roman"/>
          <w:color w:val="77206D" w:themeColor="accent5" w:themeShade="BF"/>
        </w:rPr>
        <w:t>contribution to national output.</w:t>
      </w:r>
    </w:p>
    <w:p w14:paraId="29BAA2AE" w14:textId="0C4A0E4F" w:rsidR="00F75518" w:rsidRPr="00C2537B" w:rsidRDefault="002B4048" w:rsidP="00C2537B">
      <w:pPr>
        <w:rPr>
          <w:rFonts w:ascii="Times New Roman" w:hAnsi="Times New Roman" w:cs="Times New Roman"/>
          <w:color w:val="77206D" w:themeColor="accent5" w:themeShade="BF"/>
        </w:rPr>
      </w:pPr>
      <w:r w:rsidRPr="00AF7AE3">
        <w:rPr>
          <w:rFonts w:ascii="Times New Roman" w:hAnsi="Times New Roman" w:cs="Times New Roman"/>
        </w:rPr>
        <w:br/>
      </w:r>
      <w:r w:rsidRPr="00AF7AE3">
        <w:rPr>
          <w:rFonts w:ascii="Times New Roman" w:hAnsi="Times New Roman" w:cs="Times New Roman"/>
          <w:b/>
          <w:bCs/>
        </w:rPr>
        <w:t>7. Unsubstantiated Claims on Trade Industry Disparity</w:t>
      </w:r>
      <w:r w:rsidRPr="00AF7AE3">
        <w:rPr>
          <w:rFonts w:ascii="Times New Roman" w:hAnsi="Times New Roman" w:cs="Times New Roman"/>
          <w:b/>
          <w:bCs/>
        </w:rPr>
        <w:br/>
      </w:r>
      <w:r w:rsidRPr="00AF7AE3">
        <w:rPr>
          <w:rFonts w:ascii="Times New Roman" w:hAnsi="Times New Roman" w:cs="Times New Roman"/>
        </w:rPr>
        <w:t>    The assertion that "high TFP disparity in the trade industry is evident in populated states like Mexico City" (p.10, line 24) lacks empirical support. Provide direct evidence (e.g., disparity metrics, spatial maps with population, correlation coefficient) or remove speculative claims.</w:t>
      </w:r>
      <w:r w:rsidRPr="00AF7AE3">
        <w:rPr>
          <w:rFonts w:ascii="Times New Roman" w:hAnsi="Times New Roman" w:cs="Times New Roman"/>
        </w:rPr>
        <w:br/>
      </w:r>
    </w:p>
    <w:p w14:paraId="04E27901" w14:textId="6849B87C" w:rsidR="00F75518" w:rsidRPr="00C2537B" w:rsidRDefault="006A0E4D" w:rsidP="00C939D1">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 xml:space="preserve">The </w:t>
      </w:r>
      <w:r w:rsidR="009E7ECF" w:rsidRPr="00C2537B">
        <w:rPr>
          <w:rFonts w:ascii="Times New Roman" w:hAnsi="Times New Roman" w:cs="Times New Roman"/>
          <w:color w:val="77206D" w:themeColor="accent5" w:themeShade="BF"/>
        </w:rPr>
        <w:t xml:space="preserve">author </w:t>
      </w:r>
      <w:r w:rsidR="009712E4" w:rsidRPr="00C2537B">
        <w:rPr>
          <w:rFonts w:ascii="Times New Roman" w:hAnsi="Times New Roman" w:cs="Times New Roman"/>
          <w:color w:val="77206D" w:themeColor="accent5" w:themeShade="BF"/>
        </w:rPr>
        <w:t>provides empirical evidence by including Figure D1 and Table D2 to show a</w:t>
      </w:r>
      <w:r w:rsidR="009E7ECF" w:rsidRPr="00C2537B">
        <w:rPr>
          <w:rFonts w:ascii="Times New Roman" w:hAnsi="Times New Roman" w:cs="Times New Roman"/>
          <w:color w:val="77206D" w:themeColor="accent5" w:themeShade="BF"/>
        </w:rPr>
        <w:t xml:space="preserve"> correlation between population density and the 90:10 TFP ratio across states for the Wholesale (43) and Retail trade (46) sectors. </w:t>
      </w:r>
      <w:r w:rsidR="00971A1D" w:rsidRPr="00C2537B">
        <w:rPr>
          <w:rFonts w:ascii="Times New Roman" w:hAnsi="Times New Roman" w:cs="Times New Roman"/>
          <w:color w:val="77206D" w:themeColor="accent5" w:themeShade="BF"/>
        </w:rPr>
        <w:t xml:space="preserve">The results </w:t>
      </w:r>
      <w:r w:rsidR="004F397E" w:rsidRPr="00C2537B">
        <w:rPr>
          <w:rFonts w:ascii="Times New Roman" w:hAnsi="Times New Roman" w:cs="Times New Roman"/>
          <w:color w:val="77206D" w:themeColor="accent5" w:themeShade="BF"/>
        </w:rPr>
        <w:t>support the statement that "high TFP disparity in the trade industry is evident in populated states like Mexico City".</w:t>
      </w:r>
    </w:p>
    <w:p w14:paraId="69A04300" w14:textId="77777777" w:rsidR="00294DB3" w:rsidRPr="00AF7AE3" w:rsidRDefault="002B4048" w:rsidP="00C2537B">
      <w:pPr>
        <w:rPr>
          <w:rFonts w:ascii="Times New Roman" w:hAnsi="Times New Roman" w:cs="Times New Roman"/>
        </w:rPr>
      </w:pPr>
      <w:r w:rsidRPr="00C2537B">
        <w:rPr>
          <w:rFonts w:ascii="Times New Roman" w:hAnsi="Times New Roman" w:cs="Times New Roman"/>
          <w:color w:val="77206D" w:themeColor="accent5" w:themeShade="BF"/>
        </w:rPr>
        <w:br/>
      </w:r>
      <w:r w:rsidRPr="00AF7AE3">
        <w:rPr>
          <w:rFonts w:ascii="Times New Roman" w:hAnsi="Times New Roman" w:cs="Times New Roman"/>
          <w:b/>
          <w:bCs/>
        </w:rPr>
        <w:t>8. Contradictory Statements on Manufacturing TFP</w:t>
      </w:r>
      <w:r w:rsidRPr="00AF7AE3">
        <w:rPr>
          <w:rFonts w:ascii="Times New Roman" w:hAnsi="Times New Roman" w:cs="Times New Roman"/>
          <w:b/>
          <w:bCs/>
        </w:rPr>
        <w:br/>
      </w:r>
      <w:r w:rsidRPr="00AF7AE3">
        <w:rPr>
          <w:rFonts w:ascii="Times New Roman" w:hAnsi="Times New Roman" w:cs="Times New Roman"/>
        </w:rPr>
        <w:lastRenderedPageBreak/>
        <w:t>    The manuscript claims manufacturing TFP is in the "bottom quartile" (p.11) but simultaneously attributes high TFP of manufacturing in northern states to agglomeration (p.9). Resolve this inconsistency by clarifying whether regional TFP differs within the same sector.</w:t>
      </w:r>
    </w:p>
    <w:p w14:paraId="6E615DF7" w14:textId="648C3E3B" w:rsidR="00294DB3" w:rsidRPr="00C2537B" w:rsidRDefault="00390242" w:rsidP="00C939D1">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Ma</w:t>
      </w:r>
      <w:r w:rsidR="00294DB3" w:rsidRPr="00C2537B">
        <w:rPr>
          <w:rFonts w:ascii="Times New Roman" w:hAnsi="Times New Roman" w:cs="Times New Roman"/>
          <w:color w:val="77206D" w:themeColor="accent5" w:themeShade="BF"/>
        </w:rPr>
        <w:t xml:space="preserve">nufacturing has a higher weighted TFP </w:t>
      </w:r>
      <w:r w:rsidRPr="00C2537B">
        <w:rPr>
          <w:rFonts w:ascii="Times New Roman" w:hAnsi="Times New Roman" w:cs="Times New Roman"/>
          <w:color w:val="77206D" w:themeColor="accent5" w:themeShade="BF"/>
        </w:rPr>
        <w:t>in northern states</w:t>
      </w:r>
      <w:r w:rsidR="00082360" w:rsidRPr="00C2537B">
        <w:rPr>
          <w:rFonts w:ascii="Times New Roman" w:hAnsi="Times New Roman" w:cs="Times New Roman"/>
          <w:color w:val="77206D" w:themeColor="accent5" w:themeShade="BF"/>
        </w:rPr>
        <w:t xml:space="preserve"> (border)</w:t>
      </w:r>
      <w:r w:rsidR="004B62FD" w:rsidRPr="00C2537B">
        <w:rPr>
          <w:rFonts w:ascii="Times New Roman" w:hAnsi="Times New Roman" w:cs="Times New Roman"/>
          <w:color w:val="77206D" w:themeColor="accent5" w:themeShade="BF"/>
        </w:rPr>
        <w:t xml:space="preserve"> than the rest of the country</w:t>
      </w:r>
      <w:r w:rsidR="00082360" w:rsidRPr="00C2537B">
        <w:rPr>
          <w:rFonts w:ascii="Times New Roman" w:hAnsi="Times New Roman" w:cs="Times New Roman"/>
          <w:color w:val="77206D" w:themeColor="accent5" w:themeShade="BF"/>
        </w:rPr>
        <w:t xml:space="preserve"> (no border)</w:t>
      </w:r>
      <w:r w:rsidRPr="00C2537B">
        <w:rPr>
          <w:rFonts w:ascii="Times New Roman" w:hAnsi="Times New Roman" w:cs="Times New Roman"/>
          <w:color w:val="77206D" w:themeColor="accent5" w:themeShade="BF"/>
        </w:rPr>
        <w:t xml:space="preserve">.  However, this </w:t>
      </w:r>
      <w:r w:rsidR="004B62FD" w:rsidRPr="00C2537B">
        <w:rPr>
          <w:rFonts w:ascii="Times New Roman" w:hAnsi="Times New Roman" w:cs="Times New Roman"/>
          <w:color w:val="77206D" w:themeColor="accent5" w:themeShade="BF"/>
        </w:rPr>
        <w:t xml:space="preserve">difference is not </w:t>
      </w:r>
      <w:r w:rsidR="00284C10" w:rsidRPr="00C2537B">
        <w:rPr>
          <w:rFonts w:ascii="Times New Roman" w:hAnsi="Times New Roman" w:cs="Times New Roman"/>
          <w:color w:val="77206D" w:themeColor="accent5" w:themeShade="BF"/>
        </w:rPr>
        <w:t>statistically</w:t>
      </w:r>
      <w:r w:rsidR="004B62FD" w:rsidRPr="00C2537B">
        <w:rPr>
          <w:rFonts w:ascii="Times New Roman" w:hAnsi="Times New Roman" w:cs="Times New Roman"/>
          <w:color w:val="77206D" w:themeColor="accent5" w:themeShade="BF"/>
        </w:rPr>
        <w:t xml:space="preserve"> significant. See </w:t>
      </w:r>
      <w:r w:rsidR="00284C10" w:rsidRPr="00C2537B">
        <w:rPr>
          <w:rFonts w:ascii="Times New Roman" w:hAnsi="Times New Roman" w:cs="Times New Roman"/>
          <w:color w:val="77206D" w:themeColor="accent5" w:themeShade="BF"/>
        </w:rPr>
        <w:t xml:space="preserve">Table </w:t>
      </w:r>
      <w:r w:rsidR="008A15FA" w:rsidRPr="00C2537B">
        <w:rPr>
          <w:rFonts w:ascii="Times New Roman" w:hAnsi="Times New Roman" w:cs="Times New Roman"/>
          <w:color w:val="77206D" w:themeColor="accent5" w:themeShade="BF"/>
        </w:rPr>
        <w:t xml:space="preserve">A3 </w:t>
      </w:r>
      <w:r w:rsidR="00256805" w:rsidRPr="00C2537B">
        <w:rPr>
          <w:rFonts w:ascii="Times New Roman" w:hAnsi="Times New Roman" w:cs="Times New Roman"/>
          <w:color w:val="77206D" w:themeColor="accent5" w:themeShade="BF"/>
        </w:rPr>
        <w:t xml:space="preserve">in </w:t>
      </w:r>
      <w:r w:rsidR="004B62FD" w:rsidRPr="00C2537B">
        <w:rPr>
          <w:rFonts w:ascii="Times New Roman" w:hAnsi="Times New Roman" w:cs="Times New Roman"/>
          <w:color w:val="77206D" w:themeColor="accent5" w:themeShade="BF"/>
        </w:rPr>
        <w:t xml:space="preserve">the appendix of this letter. </w:t>
      </w:r>
      <w:r w:rsidR="00256805" w:rsidRPr="00C2537B">
        <w:rPr>
          <w:rFonts w:ascii="Times New Roman" w:hAnsi="Times New Roman" w:cs="Times New Roman"/>
          <w:color w:val="77206D" w:themeColor="accent5" w:themeShade="BF"/>
        </w:rPr>
        <w:t xml:space="preserve">The author removed </w:t>
      </w:r>
      <w:r w:rsidR="008438F3" w:rsidRPr="00C2537B">
        <w:rPr>
          <w:rFonts w:ascii="Times New Roman" w:hAnsi="Times New Roman" w:cs="Times New Roman"/>
          <w:color w:val="77206D" w:themeColor="accent5" w:themeShade="BF"/>
        </w:rPr>
        <w:t xml:space="preserve">the statement that TFP is higher </w:t>
      </w:r>
      <w:r w:rsidR="00256805" w:rsidRPr="00C2537B">
        <w:rPr>
          <w:rFonts w:ascii="Times New Roman" w:hAnsi="Times New Roman" w:cs="Times New Roman"/>
          <w:color w:val="77206D" w:themeColor="accent5" w:themeShade="BF"/>
        </w:rPr>
        <w:t>in the manufacturing sector in northern states</w:t>
      </w:r>
      <w:r w:rsidR="002229AD" w:rsidRPr="00C2537B">
        <w:rPr>
          <w:rFonts w:ascii="Times New Roman" w:hAnsi="Times New Roman" w:cs="Times New Roman"/>
          <w:color w:val="77206D" w:themeColor="accent5" w:themeShade="BF"/>
        </w:rPr>
        <w:t>.</w:t>
      </w:r>
      <w:r w:rsidR="0069149C" w:rsidRPr="00C2537B">
        <w:rPr>
          <w:rFonts w:ascii="Times New Roman" w:hAnsi="Times New Roman" w:cs="Times New Roman"/>
          <w:color w:val="77206D" w:themeColor="accent5" w:themeShade="BF"/>
        </w:rPr>
        <w:t xml:space="preserve"> </w:t>
      </w:r>
      <w:r w:rsidR="00A30D3E" w:rsidRPr="00C2537B">
        <w:rPr>
          <w:rFonts w:ascii="Times New Roman" w:hAnsi="Times New Roman" w:cs="Times New Roman"/>
          <w:color w:val="77206D" w:themeColor="accent5" w:themeShade="BF"/>
        </w:rPr>
        <w:t>The statement about low weighted TFP in the manufacturing industry (NAICS 31-33) remains</w:t>
      </w:r>
      <w:r w:rsidR="00256805" w:rsidRPr="00C2537B">
        <w:rPr>
          <w:rFonts w:ascii="Times New Roman" w:hAnsi="Times New Roman" w:cs="Times New Roman"/>
          <w:color w:val="77206D" w:themeColor="accent5" w:themeShade="BF"/>
        </w:rPr>
        <w:t>, and Figure 5 supports it.</w:t>
      </w:r>
    </w:p>
    <w:p w14:paraId="10E36EFA" w14:textId="015D2BAE" w:rsidR="00A2428E" w:rsidRPr="00AF7AE3" w:rsidRDefault="002B4048" w:rsidP="00C2537B">
      <w:pPr>
        <w:rPr>
          <w:rFonts w:ascii="Times New Roman" w:hAnsi="Times New Roman" w:cs="Times New Roman"/>
        </w:rPr>
      </w:pPr>
      <w:r w:rsidRPr="00AF7AE3">
        <w:rPr>
          <w:rFonts w:ascii="Times New Roman" w:hAnsi="Times New Roman" w:cs="Times New Roman"/>
        </w:rPr>
        <w:t>   </w:t>
      </w:r>
      <w:r w:rsidRPr="00AF7AE3">
        <w:rPr>
          <w:rFonts w:ascii="Times New Roman" w:hAnsi="Times New Roman" w:cs="Times New Roman"/>
        </w:rPr>
        <w:br/>
      </w:r>
      <w:r w:rsidRPr="00AF7AE3">
        <w:rPr>
          <w:rFonts w:ascii="Times New Roman" w:hAnsi="Times New Roman" w:cs="Times New Roman"/>
          <w:b/>
          <w:bCs/>
        </w:rPr>
        <w:t>9. Decomposition by State and Sector</w:t>
      </w:r>
      <w:r w:rsidRPr="00AF7AE3">
        <w:rPr>
          <w:rFonts w:ascii="Times New Roman" w:hAnsi="Times New Roman" w:cs="Times New Roman"/>
          <w:b/>
          <w:bCs/>
        </w:rPr>
        <w:br/>
      </w:r>
      <w:r w:rsidRPr="00AF7AE3">
        <w:rPr>
          <w:rFonts w:ascii="Times New Roman" w:hAnsi="Times New Roman" w:cs="Times New Roman"/>
        </w:rPr>
        <w:t>    Given observed spatial/sectoral heterogeneity, conduct TFP growth decompositions (within/between effects) at state and sector levels. For instance, the narrative on NAICS 211 (last paragraph p.11) could be enriched with decomposition results.</w:t>
      </w:r>
    </w:p>
    <w:p w14:paraId="3D0D1396" w14:textId="6A2B3B70" w:rsidR="00C2537B" w:rsidRDefault="00CC794E" w:rsidP="00DF685A">
      <w:pPr>
        <w:rPr>
          <w:rFonts w:ascii="Times New Roman" w:hAnsi="Times New Roman" w:cs="Times New Roman"/>
        </w:rPr>
      </w:pPr>
      <w:r w:rsidRPr="00C2537B">
        <w:rPr>
          <w:rFonts w:ascii="Times New Roman" w:hAnsi="Times New Roman" w:cs="Times New Roman"/>
          <w:color w:val="77206D" w:themeColor="accent5" w:themeShade="BF"/>
        </w:rPr>
        <w:t>Appendix E measures sector and state</w:t>
      </w:r>
      <w:r w:rsidR="00E62F9C" w:rsidRPr="00C2537B">
        <w:rPr>
          <w:rFonts w:ascii="Times New Roman" w:hAnsi="Times New Roman" w:cs="Times New Roman"/>
          <w:color w:val="77206D" w:themeColor="accent5" w:themeShade="BF"/>
        </w:rPr>
        <w:t xml:space="preserve"> </w:t>
      </w:r>
      <w:r w:rsidRPr="00C2537B">
        <w:rPr>
          <w:rFonts w:ascii="Times New Roman" w:hAnsi="Times New Roman" w:cs="Times New Roman"/>
          <w:color w:val="77206D" w:themeColor="accent5" w:themeShade="BF"/>
        </w:rPr>
        <w:t>contributions to TFP growth using the methodologies proposed by</w:t>
      </w:r>
      <w:r w:rsidR="003E6E57">
        <w:rPr>
          <w:rFonts w:ascii="Times New Roman" w:hAnsi="Times New Roman" w:cs="Times New Roman"/>
          <w:color w:val="77206D" w:themeColor="accent5" w:themeShade="BF"/>
        </w:rPr>
        <w:t xml:space="preserve"> </w:t>
      </w:r>
      <w:sdt>
        <w:sdtPr>
          <w:rPr>
            <w:rFonts w:ascii="Times New Roman" w:hAnsi="Times New Roman" w:cs="Times New Roman"/>
            <w:color w:val="77206D" w:themeColor="accent5" w:themeShade="BF"/>
          </w:rPr>
          <w:tag w:val="MENDELEY_CITATION_v3_eyJjaXRhdGlvbklEIjoiTUVOREVMRVlfQ0lUQVRJT05fYmJmZDBiNzUtYmYzYy00MTQ2LWFmZjktOTg4YTg1YzM4OWNj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
          <w:id w:val="452441761"/>
          <w:placeholder>
            <w:docPart w:val="C0D9E744EC8745E6850BEBE94AA86D0F"/>
          </w:placeholder>
        </w:sdtPr>
        <w:sdtContent>
          <w:r w:rsidR="003C0A51" w:rsidRPr="003C0A51">
            <w:rPr>
              <w:rFonts w:ascii="Times New Roman" w:hAnsi="Times New Roman" w:cs="Times New Roman"/>
              <w:color w:val="78206E"/>
            </w:rPr>
            <w:t>Haltiwanger (1997)</w:t>
          </w:r>
        </w:sdtContent>
      </w:sdt>
      <w:r w:rsidRPr="00C2537B">
        <w:rPr>
          <w:rFonts w:ascii="Times New Roman" w:hAnsi="Times New Roman" w:cs="Times New Roman"/>
          <w:color w:val="77206D" w:themeColor="accent5" w:themeShade="BF"/>
        </w:rPr>
        <w:t xml:space="preserve"> </w:t>
      </w:r>
      <w:r w:rsidR="00915E39">
        <w:rPr>
          <w:rFonts w:ascii="Times New Roman" w:hAnsi="Times New Roman" w:cs="Times New Roman"/>
          <w:color w:val="77206D" w:themeColor="accent5" w:themeShade="BF"/>
        </w:rPr>
        <w:t xml:space="preserve">and </w:t>
      </w:r>
      <w:sdt>
        <w:sdtPr>
          <w:rPr>
            <w:rFonts w:ascii="Times New Roman" w:hAnsi="Times New Roman" w:cs="Times New Roman"/>
            <w:color w:val="78206E"/>
          </w:rPr>
          <w:tag w:val="MENDELEY_CITATION_v3_eyJjaXRhdGlvbklEIjoiTUVOREVMRVlfQ0lUQVRJT05fNTdkNzJlODktNTI2YS00MDM2LTk4ZDAtYzhlZmU4OThlYTY5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1182661363"/>
          <w:placeholder>
            <w:docPart w:val="D72BDFE15048471D903DBF05FE371947"/>
          </w:placeholder>
        </w:sdtPr>
        <w:sdtContent>
          <w:r w:rsidR="003C0A51" w:rsidRPr="003C0A51">
            <w:rPr>
              <w:rFonts w:ascii="Times New Roman" w:eastAsia="Times New Roman" w:hAnsi="Times New Roman" w:cs="Times New Roman"/>
              <w:color w:val="78206E"/>
            </w:rPr>
            <w:t>Melitz &amp; Polanec (2015)</w:t>
          </w:r>
        </w:sdtContent>
      </w:sdt>
      <w:r w:rsidRPr="00C2537B">
        <w:rPr>
          <w:rFonts w:ascii="Times New Roman" w:hAnsi="Times New Roman" w:cs="Times New Roman"/>
          <w:color w:val="77206D" w:themeColor="accent5" w:themeShade="BF"/>
        </w:rPr>
        <w:t xml:space="preserve">. The results indicate that, under </w:t>
      </w:r>
      <w:r w:rsidR="008B290C" w:rsidRPr="00C2537B">
        <w:rPr>
          <w:rFonts w:ascii="Times New Roman" w:hAnsi="Times New Roman" w:cs="Times New Roman"/>
          <w:color w:val="77206D" w:themeColor="accent5" w:themeShade="BF"/>
        </w:rPr>
        <w:t>the Haltiwanger (1997) methodology</w:t>
      </w:r>
      <w:r w:rsidRPr="00C2537B">
        <w:rPr>
          <w:rFonts w:ascii="Times New Roman" w:hAnsi="Times New Roman" w:cs="Times New Roman"/>
          <w:color w:val="77206D" w:themeColor="accent5" w:themeShade="BF"/>
        </w:rPr>
        <w:t xml:space="preserve">, sector 21 contributes substantially to national (average) TFP growth between 1998 and 2023. However, the Melitz &amp; Polanec (2015) decomposition estimates a low contribution to TFP growth from sector 21. As mentioned in the manuscript, the difference arises because each methodology rebalances weights differently across sectors and states when decomposing TFP growth (see equations E1 and E2). The manuscript is cautious about overstating </w:t>
      </w:r>
      <w:r w:rsidR="00DF3C32" w:rsidRPr="00C2537B">
        <w:rPr>
          <w:rFonts w:ascii="Times New Roman" w:hAnsi="Times New Roman" w:cs="Times New Roman"/>
          <w:color w:val="77206D" w:themeColor="accent5" w:themeShade="BF"/>
        </w:rPr>
        <w:t xml:space="preserve">the contribution of </w:t>
      </w:r>
      <w:r w:rsidRPr="00C2537B">
        <w:rPr>
          <w:rFonts w:ascii="Times New Roman" w:hAnsi="Times New Roman" w:cs="Times New Roman"/>
          <w:color w:val="77206D" w:themeColor="accent5" w:themeShade="BF"/>
        </w:rPr>
        <w:t xml:space="preserve">sector 21 </w:t>
      </w:r>
      <w:r w:rsidR="00DF3C32" w:rsidRPr="00C2537B">
        <w:rPr>
          <w:rFonts w:ascii="Times New Roman" w:hAnsi="Times New Roman" w:cs="Times New Roman"/>
          <w:color w:val="77206D" w:themeColor="accent5" w:themeShade="BF"/>
        </w:rPr>
        <w:t xml:space="preserve">to </w:t>
      </w:r>
      <w:r w:rsidRPr="00C2537B">
        <w:rPr>
          <w:rFonts w:ascii="Times New Roman" w:hAnsi="Times New Roman" w:cs="Times New Roman"/>
          <w:color w:val="77206D" w:themeColor="accent5" w:themeShade="BF"/>
        </w:rPr>
        <w:t>TFP growth.</w:t>
      </w:r>
      <w:r w:rsidR="002B4048" w:rsidRPr="00C2537B">
        <w:rPr>
          <w:rFonts w:ascii="Times New Roman" w:hAnsi="Times New Roman" w:cs="Times New Roman"/>
          <w:color w:val="77206D" w:themeColor="accent5" w:themeShade="BF"/>
        </w:rPr>
        <w:br/>
      </w:r>
      <w:r w:rsidR="002B4048" w:rsidRPr="00AF7AE3">
        <w:rPr>
          <w:rFonts w:ascii="Times New Roman" w:hAnsi="Times New Roman" w:cs="Times New Roman"/>
        </w:rPr>
        <w:t>   </w:t>
      </w:r>
      <w:r w:rsidR="002B4048" w:rsidRPr="00AF7AE3">
        <w:rPr>
          <w:rFonts w:ascii="Times New Roman" w:hAnsi="Times New Roman" w:cs="Times New Roman"/>
        </w:rPr>
        <w:br/>
      </w:r>
      <w:r w:rsidR="002B4048" w:rsidRPr="00AF7AE3">
        <w:rPr>
          <w:rFonts w:ascii="Times New Roman" w:hAnsi="Times New Roman" w:cs="Times New Roman"/>
          <w:b/>
          <w:bCs/>
        </w:rPr>
        <w:t>10. Temporal Robustness of Results </w:t>
      </w:r>
      <w:r w:rsidR="002B4048" w:rsidRPr="00AF7AE3">
        <w:rPr>
          <w:rFonts w:ascii="Times New Roman" w:hAnsi="Times New Roman" w:cs="Times New Roman"/>
          <w:b/>
          <w:bCs/>
        </w:rPr>
        <w:br/>
      </w:r>
      <w:r w:rsidR="002B4048" w:rsidRPr="00AF7AE3">
        <w:rPr>
          <w:rFonts w:ascii="Times New Roman" w:hAnsi="Times New Roman" w:cs="Times New Roman"/>
        </w:rPr>
        <w:t>    Extend Figures 2, 3, and 5 to all available years. If results are consistent, mention this in a footnote or appendix to strengthen generalizability.</w:t>
      </w:r>
      <w:r w:rsidR="002B4048" w:rsidRPr="00AF7AE3">
        <w:rPr>
          <w:rFonts w:ascii="Times New Roman" w:hAnsi="Times New Roman" w:cs="Times New Roman"/>
        </w:rPr>
        <w:br/>
      </w:r>
    </w:p>
    <w:p w14:paraId="3F2CE796" w14:textId="15FBD1B0" w:rsidR="001C0FC3" w:rsidRPr="00C2537B" w:rsidRDefault="00C2537B" w:rsidP="00032698">
      <w:pPr>
        <w:jc w:val="both"/>
        <w:rPr>
          <w:rFonts w:ascii="Times New Roman" w:hAnsi="Times New Roman" w:cs="Times New Roman"/>
          <w:color w:val="77206D" w:themeColor="accent5" w:themeShade="BF"/>
        </w:rPr>
      </w:pPr>
      <w:r w:rsidRPr="00C2537B">
        <w:rPr>
          <w:rFonts w:ascii="Times New Roman" w:hAnsi="Times New Roman" w:cs="Times New Roman"/>
          <w:color w:val="77206D" w:themeColor="accent5" w:themeShade="BF"/>
        </w:rPr>
        <w:t>A</w:t>
      </w:r>
      <w:r w:rsidR="0036569C" w:rsidRPr="00C2537B">
        <w:rPr>
          <w:rFonts w:ascii="Times New Roman" w:hAnsi="Times New Roman" w:cs="Times New Roman"/>
          <w:color w:val="77206D" w:themeColor="accent5" w:themeShade="BF"/>
        </w:rPr>
        <w:t xml:space="preserve">s the </w:t>
      </w:r>
      <w:r w:rsidR="00DF62E7" w:rsidRPr="00C2537B">
        <w:rPr>
          <w:rFonts w:ascii="Times New Roman" w:hAnsi="Times New Roman" w:cs="Times New Roman"/>
          <w:color w:val="77206D" w:themeColor="accent5" w:themeShade="BF"/>
        </w:rPr>
        <w:t>referee</w:t>
      </w:r>
      <w:r w:rsidR="0036569C" w:rsidRPr="00C2537B">
        <w:rPr>
          <w:rFonts w:ascii="Times New Roman" w:hAnsi="Times New Roman" w:cs="Times New Roman"/>
          <w:color w:val="77206D" w:themeColor="accent5" w:themeShade="BF"/>
        </w:rPr>
        <w:t xml:space="preserve"> </w:t>
      </w:r>
      <w:r w:rsidR="00E57D82" w:rsidRPr="00C2537B">
        <w:rPr>
          <w:rFonts w:ascii="Times New Roman" w:hAnsi="Times New Roman" w:cs="Times New Roman"/>
          <w:color w:val="77206D" w:themeColor="accent5" w:themeShade="BF"/>
        </w:rPr>
        <w:t>suggest</w:t>
      </w:r>
      <w:r w:rsidR="00AF1DED" w:rsidRPr="00C2537B">
        <w:rPr>
          <w:rFonts w:ascii="Times New Roman" w:hAnsi="Times New Roman" w:cs="Times New Roman"/>
          <w:color w:val="77206D" w:themeColor="accent5" w:themeShade="BF"/>
        </w:rPr>
        <w:t>s</w:t>
      </w:r>
      <w:r w:rsidR="00E57D82" w:rsidRPr="00C2537B">
        <w:rPr>
          <w:rFonts w:ascii="Times New Roman" w:hAnsi="Times New Roman" w:cs="Times New Roman"/>
          <w:color w:val="77206D" w:themeColor="accent5" w:themeShade="BF"/>
        </w:rPr>
        <w:t xml:space="preserve">, the author </w:t>
      </w:r>
      <w:r w:rsidR="007C3585" w:rsidRPr="00C2537B">
        <w:rPr>
          <w:rFonts w:ascii="Times New Roman" w:hAnsi="Times New Roman" w:cs="Times New Roman"/>
          <w:color w:val="77206D" w:themeColor="accent5" w:themeShade="BF"/>
        </w:rPr>
        <w:t xml:space="preserve">extended </w:t>
      </w:r>
      <w:r w:rsidR="001660D0" w:rsidRPr="00C2537B">
        <w:rPr>
          <w:rFonts w:ascii="Times New Roman" w:hAnsi="Times New Roman" w:cs="Times New Roman"/>
          <w:color w:val="77206D" w:themeColor="accent5" w:themeShade="BF"/>
        </w:rPr>
        <w:t>Figures 2, 3, and 5 to all available years</w:t>
      </w:r>
      <w:r w:rsidR="00A71D83" w:rsidRPr="00C2537B">
        <w:rPr>
          <w:rFonts w:ascii="Times New Roman" w:hAnsi="Times New Roman" w:cs="Times New Roman"/>
          <w:color w:val="77206D" w:themeColor="accent5" w:themeShade="BF"/>
        </w:rPr>
        <w:t xml:space="preserve">. </w:t>
      </w:r>
      <w:r w:rsidR="00FE64D1" w:rsidRPr="00C2537B">
        <w:rPr>
          <w:rFonts w:ascii="Times New Roman" w:hAnsi="Times New Roman" w:cs="Times New Roman"/>
          <w:color w:val="77206D" w:themeColor="accent5" w:themeShade="BF"/>
        </w:rPr>
        <w:t>Figures 2 and 3 are extended in Figures C1, C2 and C3</w:t>
      </w:r>
      <w:r w:rsidR="0073229F" w:rsidRPr="00C2537B">
        <w:rPr>
          <w:rFonts w:ascii="Times New Roman" w:hAnsi="Times New Roman" w:cs="Times New Roman"/>
          <w:color w:val="77206D" w:themeColor="accent5" w:themeShade="BF"/>
        </w:rPr>
        <w:t xml:space="preserve"> in Appendix C</w:t>
      </w:r>
      <w:r w:rsidR="00F92B76" w:rsidRPr="00C2537B">
        <w:rPr>
          <w:rFonts w:ascii="Times New Roman" w:hAnsi="Times New Roman" w:cs="Times New Roman"/>
          <w:color w:val="77206D" w:themeColor="accent5" w:themeShade="BF"/>
        </w:rPr>
        <w:t xml:space="preserve">. The results indicate </w:t>
      </w:r>
      <w:r w:rsidR="00AB3C7A" w:rsidRPr="00C2537B">
        <w:rPr>
          <w:rFonts w:ascii="Times New Roman" w:hAnsi="Times New Roman" w:cs="Times New Roman"/>
          <w:color w:val="77206D" w:themeColor="accent5" w:themeShade="BF"/>
        </w:rPr>
        <w:t>a fluctuating spatial pattern (as</w:t>
      </w:r>
      <w:r w:rsidR="00FA75C7" w:rsidRPr="00C2537B">
        <w:rPr>
          <w:rFonts w:ascii="Times New Roman" w:hAnsi="Times New Roman" w:cs="Times New Roman"/>
          <w:color w:val="77206D" w:themeColor="accent5" w:themeShade="BF"/>
        </w:rPr>
        <w:t xml:space="preserve"> </w:t>
      </w:r>
      <w:r w:rsidR="00AB3C7A" w:rsidRPr="00C2537B">
        <w:rPr>
          <w:rFonts w:ascii="Times New Roman" w:hAnsi="Times New Roman" w:cs="Times New Roman"/>
          <w:color w:val="77206D" w:themeColor="accent5" w:themeShade="BF"/>
        </w:rPr>
        <w:t>reported</w:t>
      </w:r>
      <w:r w:rsidR="00FA75C7" w:rsidRPr="00C2537B">
        <w:rPr>
          <w:rFonts w:ascii="Times New Roman" w:hAnsi="Times New Roman" w:cs="Times New Roman"/>
          <w:color w:val="77206D" w:themeColor="accent5" w:themeShade="BF"/>
        </w:rPr>
        <w:t xml:space="preserve"> in the manuscript). </w:t>
      </w:r>
      <w:r w:rsidR="00D158F0" w:rsidRPr="00C2537B">
        <w:rPr>
          <w:rFonts w:ascii="Times New Roman" w:hAnsi="Times New Roman" w:cs="Times New Roman"/>
          <w:color w:val="77206D" w:themeColor="accent5" w:themeShade="BF"/>
        </w:rPr>
        <w:t xml:space="preserve">A few states also maintained a high TFP over time and have consistently been </w:t>
      </w:r>
      <w:r w:rsidR="00E33BA1" w:rsidRPr="00C2537B">
        <w:rPr>
          <w:rFonts w:ascii="Times New Roman" w:hAnsi="Times New Roman" w:cs="Times New Roman"/>
          <w:color w:val="77206D" w:themeColor="accent5" w:themeShade="BF"/>
        </w:rPr>
        <w:t xml:space="preserve">in the top quartiles (See Table </w:t>
      </w:r>
      <w:r w:rsidR="00996968" w:rsidRPr="00C2537B">
        <w:rPr>
          <w:rFonts w:ascii="Times New Roman" w:hAnsi="Times New Roman" w:cs="Times New Roman"/>
          <w:color w:val="77206D" w:themeColor="accent5" w:themeShade="BF"/>
        </w:rPr>
        <w:t xml:space="preserve">C2). </w:t>
      </w:r>
      <w:r w:rsidR="00317657" w:rsidRPr="00C2537B">
        <w:rPr>
          <w:rFonts w:ascii="Times New Roman" w:hAnsi="Times New Roman" w:cs="Times New Roman"/>
          <w:color w:val="77206D" w:themeColor="accent5" w:themeShade="BF"/>
        </w:rPr>
        <w:t xml:space="preserve">In addition, Figure 5 was extended in </w:t>
      </w:r>
      <w:r w:rsidR="00D158F0" w:rsidRPr="00C2537B">
        <w:rPr>
          <w:rFonts w:ascii="Times New Roman" w:hAnsi="Times New Roman" w:cs="Times New Roman"/>
          <w:color w:val="77206D" w:themeColor="accent5" w:themeShade="BF"/>
        </w:rPr>
        <w:t>Table</w:t>
      </w:r>
      <w:r w:rsidR="00317657" w:rsidRPr="00C2537B">
        <w:rPr>
          <w:rFonts w:ascii="Times New Roman" w:hAnsi="Times New Roman" w:cs="Times New Roman"/>
          <w:color w:val="77206D" w:themeColor="accent5" w:themeShade="BF"/>
        </w:rPr>
        <w:t xml:space="preserve"> </w:t>
      </w:r>
      <w:r w:rsidR="00432B0F" w:rsidRPr="00C2537B">
        <w:rPr>
          <w:rFonts w:ascii="Times New Roman" w:hAnsi="Times New Roman" w:cs="Times New Roman"/>
          <w:color w:val="77206D" w:themeColor="accent5" w:themeShade="BF"/>
        </w:rPr>
        <w:t xml:space="preserve">D1, and </w:t>
      </w:r>
      <w:r w:rsidR="00D66DC1" w:rsidRPr="00C2537B">
        <w:rPr>
          <w:rFonts w:ascii="Times New Roman" w:hAnsi="Times New Roman" w:cs="Times New Roman"/>
          <w:color w:val="77206D" w:themeColor="accent5" w:themeShade="BF"/>
        </w:rPr>
        <w:t xml:space="preserve">TFP </w:t>
      </w:r>
      <w:r w:rsidR="00D158F0" w:rsidRPr="00C2537B">
        <w:rPr>
          <w:rFonts w:ascii="Times New Roman" w:hAnsi="Times New Roman" w:cs="Times New Roman"/>
          <w:color w:val="77206D" w:themeColor="accent5" w:themeShade="BF"/>
        </w:rPr>
        <w:t>variability also exists</w:t>
      </w:r>
      <w:r w:rsidR="00432B0F" w:rsidRPr="00C2537B">
        <w:rPr>
          <w:rFonts w:ascii="Times New Roman" w:hAnsi="Times New Roman" w:cs="Times New Roman"/>
          <w:color w:val="77206D" w:themeColor="accent5" w:themeShade="BF"/>
        </w:rPr>
        <w:t xml:space="preserve"> across sectors. However, some sectors </w:t>
      </w:r>
      <w:r w:rsidR="00266FCB" w:rsidRPr="00C2537B">
        <w:rPr>
          <w:rFonts w:ascii="Times New Roman" w:hAnsi="Times New Roman" w:cs="Times New Roman"/>
          <w:color w:val="77206D" w:themeColor="accent5" w:themeShade="BF"/>
        </w:rPr>
        <w:t>have maintained high TFP</w:t>
      </w:r>
      <w:r w:rsidR="00D158F0" w:rsidRPr="00C2537B">
        <w:rPr>
          <w:rFonts w:ascii="Times New Roman" w:hAnsi="Times New Roman" w:cs="Times New Roman"/>
          <w:color w:val="77206D" w:themeColor="accent5" w:themeShade="BF"/>
        </w:rPr>
        <w:t>, such as wholesale and retail trade (43 and 46), as well as mining, quarrying, and oil and gas extraction (21).</w:t>
      </w:r>
      <w:r w:rsidR="00D66DC1" w:rsidRPr="00C2537B">
        <w:rPr>
          <w:rFonts w:ascii="Times New Roman" w:hAnsi="Times New Roman" w:cs="Times New Roman"/>
          <w:color w:val="77206D" w:themeColor="accent5" w:themeShade="BF"/>
        </w:rPr>
        <w:t xml:space="preserve"> </w:t>
      </w:r>
      <w:r w:rsidR="00AA378B" w:rsidRPr="00C2537B">
        <w:rPr>
          <w:rFonts w:ascii="Times New Roman" w:hAnsi="Times New Roman" w:cs="Times New Roman"/>
          <w:color w:val="77206D" w:themeColor="accent5" w:themeShade="BF"/>
        </w:rPr>
        <w:t>Overall, t</w:t>
      </w:r>
      <w:r w:rsidR="001C0FC3" w:rsidRPr="00C2537B">
        <w:rPr>
          <w:rFonts w:ascii="Times New Roman" w:hAnsi="Times New Roman" w:cs="Times New Roman"/>
          <w:color w:val="77206D" w:themeColor="accent5" w:themeShade="BF"/>
        </w:rPr>
        <w:t xml:space="preserve">he </w:t>
      </w:r>
      <w:r w:rsidR="00D66DC1" w:rsidRPr="00C2537B">
        <w:rPr>
          <w:rFonts w:ascii="Times New Roman" w:hAnsi="Times New Roman" w:cs="Times New Roman"/>
          <w:color w:val="77206D" w:themeColor="accent5" w:themeShade="BF"/>
        </w:rPr>
        <w:t>author cannot strengthen the generalisability</w:t>
      </w:r>
      <w:r w:rsidR="00B46788" w:rsidRPr="00C2537B">
        <w:rPr>
          <w:rFonts w:ascii="Times New Roman" w:hAnsi="Times New Roman" w:cs="Times New Roman"/>
          <w:color w:val="77206D" w:themeColor="accent5" w:themeShade="BF"/>
        </w:rPr>
        <w:t xml:space="preserve"> (or stability)</w:t>
      </w:r>
      <w:r w:rsidR="00D66DC1" w:rsidRPr="00C2537B">
        <w:rPr>
          <w:rFonts w:ascii="Times New Roman" w:hAnsi="Times New Roman" w:cs="Times New Roman"/>
          <w:color w:val="77206D" w:themeColor="accent5" w:themeShade="BF"/>
        </w:rPr>
        <w:t xml:space="preserve"> of the TFP </w:t>
      </w:r>
      <w:r w:rsidR="00B46788" w:rsidRPr="00C2537B">
        <w:rPr>
          <w:rFonts w:ascii="Times New Roman" w:hAnsi="Times New Roman" w:cs="Times New Roman"/>
          <w:color w:val="77206D" w:themeColor="accent5" w:themeShade="BF"/>
        </w:rPr>
        <w:t>patterns</w:t>
      </w:r>
      <w:r w:rsidR="00D66DC1" w:rsidRPr="00C2537B">
        <w:rPr>
          <w:rFonts w:ascii="Times New Roman" w:hAnsi="Times New Roman" w:cs="Times New Roman"/>
          <w:color w:val="77206D" w:themeColor="accent5" w:themeShade="BF"/>
        </w:rPr>
        <w:t xml:space="preserve"> in the manuscript</w:t>
      </w:r>
      <w:r w:rsidR="00746040" w:rsidRPr="00C2537B">
        <w:rPr>
          <w:rFonts w:ascii="Times New Roman" w:hAnsi="Times New Roman" w:cs="Times New Roman"/>
          <w:color w:val="77206D" w:themeColor="accent5" w:themeShade="BF"/>
        </w:rPr>
        <w:t>; instead,</w:t>
      </w:r>
      <w:r w:rsidR="00FB1E17" w:rsidRPr="00C2537B">
        <w:rPr>
          <w:rFonts w:ascii="Times New Roman" w:hAnsi="Times New Roman" w:cs="Times New Roman"/>
          <w:color w:val="77206D" w:themeColor="accent5" w:themeShade="BF"/>
        </w:rPr>
        <w:t xml:space="preserve"> </w:t>
      </w:r>
      <w:r w:rsidR="00746040" w:rsidRPr="00C2537B">
        <w:rPr>
          <w:rFonts w:ascii="Times New Roman" w:hAnsi="Times New Roman" w:cs="Times New Roman"/>
          <w:color w:val="77206D" w:themeColor="accent5" w:themeShade="BF"/>
        </w:rPr>
        <w:t xml:space="preserve">TFP patterns fluctuate in the </w:t>
      </w:r>
      <w:r w:rsidR="00A845E1">
        <w:rPr>
          <w:rFonts w:ascii="Times New Roman" w:hAnsi="Times New Roman" w:cs="Times New Roman"/>
          <w:color w:val="77206D" w:themeColor="accent5" w:themeShade="BF"/>
        </w:rPr>
        <w:t xml:space="preserve">three </w:t>
      </w:r>
      <w:r w:rsidR="00746040" w:rsidRPr="00C2537B">
        <w:rPr>
          <w:rFonts w:ascii="Times New Roman" w:hAnsi="Times New Roman" w:cs="Times New Roman"/>
          <w:color w:val="77206D" w:themeColor="accent5" w:themeShade="BF"/>
        </w:rPr>
        <w:t>productivity dimensions (temporal, spatial,</w:t>
      </w:r>
      <w:r w:rsidR="00FB1E17" w:rsidRPr="00C2537B">
        <w:rPr>
          <w:rFonts w:ascii="Times New Roman" w:hAnsi="Times New Roman" w:cs="Times New Roman"/>
          <w:color w:val="77206D" w:themeColor="accent5" w:themeShade="BF"/>
        </w:rPr>
        <w:t xml:space="preserve"> and sectoral)</w:t>
      </w:r>
      <w:r w:rsidR="001B1368" w:rsidRPr="00C2537B">
        <w:rPr>
          <w:rFonts w:ascii="Times New Roman" w:hAnsi="Times New Roman" w:cs="Times New Roman"/>
          <w:color w:val="77206D" w:themeColor="accent5" w:themeShade="BF"/>
        </w:rPr>
        <w:t>.</w:t>
      </w:r>
    </w:p>
    <w:p w14:paraId="5C67E58B" w14:textId="77777777" w:rsidR="00355169" w:rsidRPr="00AF7AE3" w:rsidRDefault="002B4048" w:rsidP="003E7A0D">
      <w:pPr>
        <w:rPr>
          <w:rFonts w:ascii="Times New Roman" w:hAnsi="Times New Roman" w:cs="Times New Roman"/>
        </w:rPr>
      </w:pPr>
      <w:r w:rsidRPr="00AF7AE3">
        <w:rPr>
          <w:rFonts w:ascii="Times New Roman" w:hAnsi="Times New Roman" w:cs="Times New Roman"/>
        </w:rPr>
        <w:br/>
      </w:r>
      <w:r w:rsidRPr="00AF7AE3">
        <w:rPr>
          <w:rFonts w:ascii="Times New Roman" w:hAnsi="Times New Roman" w:cs="Times New Roman"/>
          <w:b/>
          <w:bCs/>
        </w:rPr>
        <w:t>11. TFP Estimation Transparency</w:t>
      </w:r>
      <w:r w:rsidRPr="00AF7AE3">
        <w:rPr>
          <w:rFonts w:ascii="Times New Roman" w:hAnsi="Times New Roman" w:cs="Times New Roman"/>
          <w:b/>
          <w:bCs/>
        </w:rPr>
        <w:br/>
      </w:r>
      <w:r w:rsidRPr="00AF7AE3">
        <w:rPr>
          <w:rFonts w:ascii="Times New Roman" w:hAnsi="Times New Roman" w:cs="Times New Roman"/>
        </w:rPr>
        <w:t>    Provide details omitted in the TFP estimation:</w:t>
      </w:r>
      <w:r w:rsidRPr="00AF7AE3">
        <w:rPr>
          <w:rFonts w:ascii="Times New Roman" w:hAnsi="Times New Roman" w:cs="Times New Roman"/>
        </w:rPr>
        <w:br/>
        <w:t>    - Subgroup sample sizes (e.g., establishments per sector/year).   </w:t>
      </w:r>
      <w:r w:rsidRPr="00AF7AE3">
        <w:rPr>
          <w:rFonts w:ascii="Times New Roman" w:hAnsi="Times New Roman" w:cs="Times New Roman"/>
        </w:rPr>
        <w:br/>
        <w:t>    - Assumptions on production function homogeneity (e.g., industry- vs. nation-level parameters).</w:t>
      </w:r>
      <w:r w:rsidRPr="00AF7AE3">
        <w:rPr>
          <w:rFonts w:ascii="Times New Roman" w:hAnsi="Times New Roman" w:cs="Times New Roman"/>
        </w:rPr>
        <w:br/>
        <w:t>    - Distributions of TFP estimates for key sectors (e.g., trade, manufacturing).</w:t>
      </w:r>
      <w:r w:rsidRPr="00AF7AE3">
        <w:rPr>
          <w:rFonts w:ascii="Times New Roman" w:hAnsi="Times New Roman" w:cs="Times New Roman"/>
        </w:rPr>
        <w:br/>
      </w:r>
    </w:p>
    <w:p w14:paraId="57C97C38" w14:textId="6C53F24B" w:rsidR="00465511" w:rsidRPr="00CE0A5B" w:rsidRDefault="00465511" w:rsidP="003E7A0D">
      <w:pPr>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 xml:space="preserve">The author has provided transparency in the TFP estimates as </w:t>
      </w:r>
      <w:r w:rsidR="00195131" w:rsidRPr="00CE0A5B">
        <w:rPr>
          <w:rFonts w:ascii="Times New Roman" w:hAnsi="Times New Roman" w:cs="Times New Roman"/>
          <w:color w:val="77206D" w:themeColor="accent5" w:themeShade="BF"/>
        </w:rPr>
        <w:t>follows</w:t>
      </w:r>
      <w:r w:rsidRPr="00CE0A5B">
        <w:rPr>
          <w:rFonts w:ascii="Times New Roman" w:hAnsi="Times New Roman" w:cs="Times New Roman"/>
          <w:color w:val="77206D" w:themeColor="accent5" w:themeShade="BF"/>
        </w:rPr>
        <w:t>:</w:t>
      </w:r>
    </w:p>
    <w:p w14:paraId="3F7D06D6" w14:textId="2C732119" w:rsidR="004557AD" w:rsidRPr="00CE0A5B" w:rsidRDefault="00533869" w:rsidP="00C939D1">
      <w:pPr>
        <w:pStyle w:val="ListParagraph"/>
        <w:numPr>
          <w:ilvl w:val="0"/>
          <w:numId w:val="7"/>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 xml:space="preserve">The author </w:t>
      </w:r>
      <w:r w:rsidR="00CB63C4" w:rsidRPr="00CE0A5B">
        <w:rPr>
          <w:rFonts w:ascii="Times New Roman" w:hAnsi="Times New Roman" w:cs="Times New Roman"/>
          <w:color w:val="77206D" w:themeColor="accent5" w:themeShade="BF"/>
        </w:rPr>
        <w:t>provides details on the TFP estimation in the Data section and</w:t>
      </w:r>
      <w:r w:rsidR="00355169" w:rsidRPr="00CE0A5B">
        <w:rPr>
          <w:rFonts w:ascii="Times New Roman" w:hAnsi="Times New Roman" w:cs="Times New Roman"/>
          <w:color w:val="77206D" w:themeColor="accent5" w:themeShade="BF"/>
        </w:rPr>
        <w:t xml:space="preserve"> Appendix A</w:t>
      </w:r>
      <w:r w:rsidR="00F67D30" w:rsidRPr="00CE0A5B">
        <w:rPr>
          <w:rFonts w:ascii="Times New Roman" w:hAnsi="Times New Roman" w:cs="Times New Roman"/>
          <w:color w:val="77206D" w:themeColor="accent5" w:themeShade="BF"/>
        </w:rPr>
        <w:t>.</w:t>
      </w:r>
      <w:r w:rsidR="00CB63C4" w:rsidRPr="00CE0A5B">
        <w:rPr>
          <w:rFonts w:ascii="Times New Roman" w:hAnsi="Times New Roman" w:cs="Times New Roman"/>
          <w:color w:val="77206D" w:themeColor="accent5" w:themeShade="BF"/>
        </w:rPr>
        <w:t xml:space="preserve"> </w:t>
      </w:r>
    </w:p>
    <w:p w14:paraId="2280441D" w14:textId="292D0747" w:rsidR="00626638" w:rsidRPr="00CE0A5B" w:rsidRDefault="00CB63C4" w:rsidP="00C939D1">
      <w:pPr>
        <w:pStyle w:val="ListParagraph"/>
        <w:numPr>
          <w:ilvl w:val="0"/>
          <w:numId w:val="7"/>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Table 1</w:t>
      </w:r>
      <w:r w:rsidR="004557AD" w:rsidRPr="00CE0A5B">
        <w:rPr>
          <w:rFonts w:ascii="Times New Roman" w:hAnsi="Times New Roman" w:cs="Times New Roman"/>
          <w:color w:val="77206D" w:themeColor="accent5" w:themeShade="BF"/>
        </w:rPr>
        <w:t xml:space="preserve"> reports the subgroup sample sizes of establishments per sector/year.</w:t>
      </w:r>
    </w:p>
    <w:p w14:paraId="16A7AB8F" w14:textId="383AA4F0" w:rsidR="00355169" w:rsidRPr="00CE0A5B" w:rsidRDefault="00335EAF" w:rsidP="00C939D1">
      <w:pPr>
        <w:pStyle w:val="ListParagraph"/>
        <w:numPr>
          <w:ilvl w:val="0"/>
          <w:numId w:val="7"/>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lastRenderedPageBreak/>
        <w:t xml:space="preserve">The author estimated </w:t>
      </w:r>
      <w:r w:rsidR="00E42C95" w:rsidRPr="00CE0A5B">
        <w:rPr>
          <w:rFonts w:ascii="Times New Roman" w:hAnsi="Times New Roman" w:cs="Times New Roman"/>
          <w:color w:val="77206D" w:themeColor="accent5" w:themeShade="BF"/>
        </w:rPr>
        <w:t xml:space="preserve">production functions </w:t>
      </w:r>
      <w:r w:rsidR="00D462D1" w:rsidRPr="00CE0A5B">
        <w:rPr>
          <w:rFonts w:ascii="Times New Roman" w:hAnsi="Times New Roman" w:cs="Times New Roman"/>
          <w:color w:val="77206D" w:themeColor="accent5" w:themeShade="BF"/>
        </w:rPr>
        <w:t>by sector, assuming</w:t>
      </w:r>
      <w:r w:rsidR="00E42C95" w:rsidRPr="00CE0A5B">
        <w:rPr>
          <w:rFonts w:ascii="Times New Roman" w:hAnsi="Times New Roman" w:cs="Times New Roman"/>
          <w:color w:val="77206D" w:themeColor="accent5" w:themeShade="BF"/>
        </w:rPr>
        <w:t xml:space="preserve"> </w:t>
      </w:r>
      <w:r w:rsidR="000A2F68" w:rsidRPr="00CE0A5B">
        <w:rPr>
          <w:rFonts w:ascii="Times New Roman" w:hAnsi="Times New Roman" w:cs="Times New Roman"/>
          <w:color w:val="77206D" w:themeColor="accent5" w:themeShade="BF"/>
        </w:rPr>
        <w:t>industry-level homogeneity</w:t>
      </w:r>
      <w:r w:rsidR="00E42C95" w:rsidRPr="00CE0A5B">
        <w:rPr>
          <w:rFonts w:ascii="Times New Roman" w:hAnsi="Times New Roman" w:cs="Times New Roman"/>
          <w:color w:val="77206D" w:themeColor="accent5" w:themeShade="BF"/>
        </w:rPr>
        <w:t xml:space="preserve">. Subsequently, the elasticities were weighted and averaged, as </w:t>
      </w:r>
      <w:sdt>
        <w:sdtPr>
          <w:rPr>
            <w:rFonts w:ascii="Times New Roman" w:hAnsi="Times New Roman" w:cs="Times New Roman"/>
            <w:color w:val="77206D" w:themeColor="accent5" w:themeShade="BF"/>
          </w:rPr>
          <w:tag w:val="MENDELEY_CITATION_v3_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"/>
          <w:id w:val="-707105334"/>
          <w:placeholder>
            <w:docPart w:val="DefaultPlaceholder_-1854013440"/>
          </w:placeholder>
        </w:sdtPr>
        <w:sdtContent>
          <w:r w:rsidR="003C0A51" w:rsidRPr="003C0A51">
            <w:rPr>
              <w:rFonts w:ascii="Times New Roman" w:hAnsi="Times New Roman" w:cs="Times New Roman"/>
              <w:color w:val="78206E"/>
            </w:rPr>
            <w:t>Harris (2021)</w:t>
          </w:r>
        </w:sdtContent>
      </w:sdt>
      <w:r w:rsidR="007A26F7">
        <w:rPr>
          <w:rFonts w:ascii="Times New Roman" w:hAnsi="Times New Roman" w:cs="Times New Roman"/>
          <w:color w:val="77206D" w:themeColor="accent5" w:themeShade="BF"/>
        </w:rPr>
        <w:t xml:space="preserve"> </w:t>
      </w:r>
      <w:r w:rsidR="00E42C95" w:rsidRPr="00CE0A5B">
        <w:rPr>
          <w:rFonts w:ascii="Times New Roman" w:hAnsi="Times New Roman" w:cs="Times New Roman"/>
          <w:color w:val="77206D" w:themeColor="accent5" w:themeShade="BF"/>
        </w:rPr>
        <w:t xml:space="preserve"> </w:t>
      </w:r>
      <w:r w:rsidR="00E320F6" w:rsidRPr="00CE0A5B">
        <w:rPr>
          <w:rFonts w:ascii="Times New Roman" w:hAnsi="Times New Roman" w:cs="Times New Roman"/>
          <w:color w:val="77206D" w:themeColor="accent5" w:themeShade="BF"/>
        </w:rPr>
        <w:t>suggests,</w:t>
      </w:r>
      <w:r w:rsidR="00D462D1" w:rsidRPr="00CE0A5B">
        <w:rPr>
          <w:rFonts w:ascii="Times New Roman" w:hAnsi="Times New Roman" w:cs="Times New Roman"/>
          <w:color w:val="77206D" w:themeColor="accent5" w:themeShade="BF"/>
        </w:rPr>
        <w:t xml:space="preserve"> to obtain the elasticities of a single production function, which assumes </w:t>
      </w:r>
      <w:r w:rsidR="000A2F68" w:rsidRPr="00CE0A5B">
        <w:rPr>
          <w:rFonts w:ascii="Times New Roman" w:hAnsi="Times New Roman" w:cs="Times New Roman"/>
          <w:color w:val="77206D" w:themeColor="accent5" w:themeShade="BF"/>
        </w:rPr>
        <w:t>national-level homogeneity</w:t>
      </w:r>
      <w:r w:rsidR="00E320F6" w:rsidRPr="00CE0A5B">
        <w:rPr>
          <w:rFonts w:ascii="Times New Roman" w:hAnsi="Times New Roman" w:cs="Times New Roman"/>
          <w:color w:val="77206D" w:themeColor="accent5" w:themeShade="BF"/>
        </w:rPr>
        <w:t>.</w:t>
      </w:r>
      <w:r w:rsidR="00D462D1" w:rsidRPr="00CE0A5B">
        <w:rPr>
          <w:rFonts w:ascii="Times New Roman" w:hAnsi="Times New Roman" w:cs="Times New Roman"/>
          <w:color w:val="77206D" w:themeColor="accent5" w:themeShade="BF"/>
        </w:rPr>
        <w:t xml:space="preserve"> </w:t>
      </w:r>
      <w:r w:rsidR="00794BD7" w:rsidRPr="00CE0A5B">
        <w:rPr>
          <w:rFonts w:ascii="Times New Roman" w:hAnsi="Times New Roman" w:cs="Times New Roman"/>
          <w:color w:val="77206D" w:themeColor="accent5" w:themeShade="BF"/>
        </w:rPr>
        <w:t>The author applied the production function parameters under national homogeneity to obtain establishment-level TFP estimates</w:t>
      </w:r>
      <w:r w:rsidR="00554F30" w:rsidRPr="00CE0A5B">
        <w:rPr>
          <w:rFonts w:ascii="Times New Roman" w:hAnsi="Times New Roman" w:cs="Times New Roman"/>
          <w:color w:val="77206D" w:themeColor="accent5" w:themeShade="BF"/>
        </w:rPr>
        <w:t xml:space="preserve">, </w:t>
      </w:r>
      <w:r w:rsidR="00AC09C5" w:rsidRPr="00CE0A5B">
        <w:rPr>
          <w:rFonts w:ascii="Times New Roman" w:hAnsi="Times New Roman" w:cs="Times New Roman"/>
          <w:color w:val="77206D" w:themeColor="accent5" w:themeShade="BF"/>
        </w:rPr>
        <w:t>facilitating comparisons</w:t>
      </w:r>
      <w:r w:rsidR="00554F30" w:rsidRPr="00CE0A5B">
        <w:rPr>
          <w:rFonts w:ascii="Times New Roman" w:hAnsi="Times New Roman" w:cs="Times New Roman"/>
          <w:color w:val="77206D" w:themeColor="accent5" w:themeShade="BF"/>
        </w:rPr>
        <w:t xml:space="preserve"> across </w:t>
      </w:r>
      <w:r w:rsidR="00AC09C5" w:rsidRPr="00CE0A5B">
        <w:rPr>
          <w:rFonts w:ascii="Times New Roman" w:hAnsi="Times New Roman" w:cs="Times New Roman"/>
          <w:color w:val="77206D" w:themeColor="accent5" w:themeShade="BF"/>
        </w:rPr>
        <w:t>industries</w:t>
      </w:r>
      <w:r w:rsidR="00554F30" w:rsidRPr="00CE0A5B">
        <w:rPr>
          <w:rFonts w:ascii="Times New Roman" w:hAnsi="Times New Roman" w:cs="Times New Roman"/>
          <w:color w:val="77206D" w:themeColor="accent5" w:themeShade="BF"/>
        </w:rPr>
        <w:t xml:space="preserve"> </w:t>
      </w:r>
      <w:r w:rsidR="00AC09C5" w:rsidRPr="00CE0A5B">
        <w:rPr>
          <w:rFonts w:ascii="Times New Roman" w:hAnsi="Times New Roman" w:cs="Times New Roman"/>
          <w:color w:val="77206D" w:themeColor="accent5" w:themeShade="BF"/>
        </w:rPr>
        <w:t xml:space="preserve">and </w:t>
      </w:r>
      <w:r w:rsidR="00554F30" w:rsidRPr="00CE0A5B">
        <w:rPr>
          <w:rFonts w:ascii="Times New Roman" w:hAnsi="Times New Roman" w:cs="Times New Roman"/>
          <w:color w:val="77206D" w:themeColor="accent5" w:themeShade="BF"/>
        </w:rPr>
        <w:t>geographical locations</w:t>
      </w:r>
      <w:r w:rsidR="00195131" w:rsidRPr="00CE0A5B">
        <w:rPr>
          <w:rFonts w:ascii="Times New Roman" w:hAnsi="Times New Roman" w:cs="Times New Roman"/>
          <w:color w:val="77206D" w:themeColor="accent5" w:themeShade="BF"/>
        </w:rPr>
        <w:t>.</w:t>
      </w:r>
    </w:p>
    <w:p w14:paraId="5DE63B36" w14:textId="41F8FAE4" w:rsidR="00BB0ACD" w:rsidRPr="00CE0A5B" w:rsidRDefault="00BB0ACD" w:rsidP="00C939D1">
      <w:pPr>
        <w:pStyle w:val="ListParagraph"/>
        <w:numPr>
          <w:ilvl w:val="0"/>
          <w:numId w:val="7"/>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The distributions of the TFP estimates are reported in Table 3</w:t>
      </w:r>
      <w:r w:rsidR="001A2A85" w:rsidRPr="00CE0A5B">
        <w:rPr>
          <w:rFonts w:ascii="Times New Roman" w:hAnsi="Times New Roman" w:cs="Times New Roman"/>
          <w:color w:val="77206D" w:themeColor="accent5" w:themeShade="BF"/>
        </w:rPr>
        <w:t xml:space="preserve">, as well as the distributions of the dimensions of TFP (temporal, spatial and sectoral) in Tables </w:t>
      </w:r>
      <w:r w:rsidR="00E43972" w:rsidRPr="00CE0A5B">
        <w:rPr>
          <w:rFonts w:ascii="Times New Roman" w:hAnsi="Times New Roman" w:cs="Times New Roman"/>
          <w:color w:val="77206D" w:themeColor="accent5" w:themeShade="BF"/>
        </w:rPr>
        <w:t>A4, A5, and A6.</w:t>
      </w:r>
    </w:p>
    <w:p w14:paraId="7C19898D" w14:textId="77777777" w:rsidR="003934C5" w:rsidRPr="00AF7AE3" w:rsidRDefault="002B4048" w:rsidP="00CE0A5B">
      <w:pPr>
        <w:rPr>
          <w:rFonts w:ascii="Times New Roman" w:hAnsi="Times New Roman" w:cs="Times New Roman"/>
        </w:rPr>
      </w:pPr>
      <w:r w:rsidRPr="00CE0A5B">
        <w:rPr>
          <w:rFonts w:ascii="Times New Roman" w:hAnsi="Times New Roman" w:cs="Times New Roman"/>
          <w:color w:val="77206D" w:themeColor="accent5" w:themeShade="BF"/>
        </w:rPr>
        <w:t>       </w:t>
      </w:r>
      <w:r w:rsidRPr="00CE0A5B">
        <w:rPr>
          <w:rFonts w:ascii="Times New Roman" w:hAnsi="Times New Roman" w:cs="Times New Roman"/>
          <w:color w:val="77206D" w:themeColor="accent5" w:themeShade="BF"/>
        </w:rPr>
        <w:br/>
      </w:r>
      <w:r w:rsidRPr="00AF7AE3">
        <w:rPr>
          <w:rFonts w:ascii="Times New Roman" w:hAnsi="Times New Roman" w:cs="Times New Roman"/>
          <w:b/>
          <w:bCs/>
        </w:rPr>
        <w:t>12. Overstated interpretation and conclusions</w:t>
      </w:r>
      <w:r w:rsidRPr="00AF7AE3">
        <w:rPr>
          <w:rFonts w:ascii="Times New Roman" w:hAnsi="Times New Roman" w:cs="Times New Roman"/>
          <w:b/>
          <w:bCs/>
        </w:rPr>
        <w:br/>
      </w:r>
      <w:r w:rsidRPr="00AF7AE3">
        <w:rPr>
          <w:rFonts w:ascii="Times New Roman" w:hAnsi="Times New Roman" w:cs="Times New Roman"/>
        </w:rPr>
        <w:t>    The conclusion overreaches given the evidence:</w:t>
      </w:r>
      <w:r w:rsidRPr="00AF7AE3">
        <w:rPr>
          <w:rFonts w:ascii="Times New Roman" w:hAnsi="Times New Roman" w:cs="Times New Roman"/>
        </w:rPr>
        <w:br/>
        <w:t>    - Claims about U.S. spillovers benefiting northern manufacturing (p.13, line 36) lack direct tests (e.g., comparing border vs. non-border regions).</w:t>
      </w:r>
      <w:r w:rsidRPr="00AF7AE3">
        <w:rPr>
          <w:rFonts w:ascii="Times New Roman" w:hAnsi="Times New Roman" w:cs="Times New Roman"/>
        </w:rPr>
        <w:br/>
        <w:t>    - The link between TFP disparity and population density (p.13) requires quantitative support (e.g., correlation coefficients).</w:t>
      </w:r>
      <w:r w:rsidRPr="00AF7AE3">
        <w:rPr>
          <w:rFonts w:ascii="Times New Roman" w:hAnsi="Times New Roman" w:cs="Times New Roman"/>
        </w:rPr>
        <w:br/>
        <w:t>    Similar overstatement can also be found in the interpretation of some results, figures.</w:t>
      </w:r>
      <w:r w:rsidRPr="00AF7AE3">
        <w:rPr>
          <w:rFonts w:ascii="Times New Roman" w:hAnsi="Times New Roman" w:cs="Times New Roman"/>
        </w:rPr>
        <w:br/>
      </w:r>
    </w:p>
    <w:p w14:paraId="183BA210" w14:textId="7A8A2BF4" w:rsidR="00130B84" w:rsidRPr="00CE0A5B" w:rsidRDefault="00130B84" w:rsidP="00C939D1">
      <w:p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The author has amended the conclusions of the manuscript</w:t>
      </w:r>
      <w:r w:rsidR="00F762C5" w:rsidRPr="00CE0A5B">
        <w:rPr>
          <w:rFonts w:ascii="Times New Roman" w:hAnsi="Times New Roman" w:cs="Times New Roman"/>
          <w:color w:val="77206D" w:themeColor="accent5" w:themeShade="BF"/>
        </w:rPr>
        <w:t>,</w:t>
      </w:r>
      <w:r w:rsidRPr="00CE0A5B">
        <w:rPr>
          <w:rFonts w:ascii="Times New Roman" w:hAnsi="Times New Roman" w:cs="Times New Roman"/>
          <w:color w:val="77206D" w:themeColor="accent5" w:themeShade="BF"/>
        </w:rPr>
        <w:t xml:space="preserve"> </w:t>
      </w:r>
      <w:r w:rsidR="00232194" w:rsidRPr="00CE0A5B">
        <w:rPr>
          <w:rFonts w:ascii="Times New Roman" w:hAnsi="Times New Roman" w:cs="Times New Roman"/>
          <w:color w:val="77206D" w:themeColor="accent5" w:themeShade="BF"/>
        </w:rPr>
        <w:t>including</w:t>
      </w:r>
      <w:r w:rsidR="00FB0EF2" w:rsidRPr="00CE0A5B">
        <w:rPr>
          <w:rFonts w:ascii="Times New Roman" w:hAnsi="Times New Roman" w:cs="Times New Roman"/>
          <w:color w:val="77206D" w:themeColor="accent5" w:themeShade="BF"/>
        </w:rPr>
        <w:t xml:space="preserve"> the following </w:t>
      </w:r>
      <w:r w:rsidR="00BA6312" w:rsidRPr="00CE0A5B">
        <w:rPr>
          <w:rFonts w:ascii="Times New Roman" w:hAnsi="Times New Roman" w:cs="Times New Roman"/>
          <w:color w:val="77206D" w:themeColor="accent5" w:themeShade="BF"/>
        </w:rPr>
        <w:t>changes</w:t>
      </w:r>
      <w:r w:rsidRPr="00CE0A5B">
        <w:rPr>
          <w:rFonts w:ascii="Times New Roman" w:hAnsi="Times New Roman" w:cs="Times New Roman"/>
          <w:color w:val="77206D" w:themeColor="accent5" w:themeShade="BF"/>
        </w:rPr>
        <w:t>:</w:t>
      </w:r>
    </w:p>
    <w:p w14:paraId="4C447D9F" w14:textId="32A436BD" w:rsidR="00130B84" w:rsidRPr="00CE0A5B" w:rsidRDefault="006F2DBC" w:rsidP="00C939D1">
      <w:pPr>
        <w:pStyle w:val="ListParagraph"/>
        <w:numPr>
          <w:ilvl w:val="0"/>
          <w:numId w:val="8"/>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 xml:space="preserve">As </w:t>
      </w:r>
      <w:r w:rsidR="003A289A" w:rsidRPr="00CE0A5B">
        <w:rPr>
          <w:rFonts w:ascii="Times New Roman" w:hAnsi="Times New Roman" w:cs="Times New Roman"/>
          <w:color w:val="77206D" w:themeColor="accent5" w:themeShade="BF"/>
        </w:rPr>
        <w:t>Table A3 in the appendix of this letter shows, there is no statistically significant difference</w:t>
      </w:r>
      <w:r w:rsidRPr="00CE0A5B">
        <w:rPr>
          <w:rFonts w:ascii="Times New Roman" w:hAnsi="Times New Roman" w:cs="Times New Roman"/>
          <w:color w:val="77206D" w:themeColor="accent5" w:themeShade="BF"/>
        </w:rPr>
        <w:t xml:space="preserve"> </w:t>
      </w:r>
      <w:r w:rsidRPr="004B0491">
        <w:rPr>
          <w:rFonts w:ascii="Times New Roman" w:hAnsi="Times New Roman" w:cs="Times New Roman"/>
          <w:color w:val="77206D" w:themeColor="accent5" w:themeShade="BF"/>
        </w:rPr>
        <w:t xml:space="preserve">between the weighted TFP of the </w:t>
      </w:r>
      <w:r w:rsidR="003A289A" w:rsidRPr="004B0491">
        <w:rPr>
          <w:rFonts w:ascii="Times New Roman" w:hAnsi="Times New Roman" w:cs="Times New Roman"/>
          <w:color w:val="77206D" w:themeColor="accent5" w:themeShade="BF"/>
        </w:rPr>
        <w:t>border vs the non-border states. As a result, th</w:t>
      </w:r>
      <w:r w:rsidR="004B0491" w:rsidRPr="004B0491">
        <w:rPr>
          <w:rFonts w:ascii="Times New Roman" w:hAnsi="Times New Roman" w:cs="Times New Roman"/>
          <w:color w:val="77206D" w:themeColor="accent5" w:themeShade="BF"/>
        </w:rPr>
        <w:t>e</w:t>
      </w:r>
      <w:r w:rsidR="003A289A" w:rsidRPr="004B0491">
        <w:rPr>
          <w:rFonts w:ascii="Times New Roman" w:hAnsi="Times New Roman" w:cs="Times New Roman"/>
          <w:color w:val="77206D" w:themeColor="accent5" w:themeShade="BF"/>
        </w:rPr>
        <w:t xml:space="preserve"> statement </w:t>
      </w:r>
      <w:r w:rsidR="004B0491" w:rsidRPr="004B0491">
        <w:rPr>
          <w:rFonts w:ascii="Times New Roman" w:hAnsi="Times New Roman" w:cs="Times New Roman"/>
          <w:color w:val="77206D" w:themeColor="accent5" w:themeShade="BF"/>
        </w:rPr>
        <w:t xml:space="preserve">about “U.S. spillovers benefiting northern manufacturing” </w:t>
      </w:r>
      <w:r w:rsidR="003A289A" w:rsidRPr="004B0491">
        <w:rPr>
          <w:rFonts w:ascii="Times New Roman" w:hAnsi="Times New Roman" w:cs="Times New Roman"/>
          <w:color w:val="77206D" w:themeColor="accent5" w:themeShade="BF"/>
        </w:rPr>
        <w:t xml:space="preserve">was </w:t>
      </w:r>
      <w:r w:rsidR="00BA6312" w:rsidRPr="004B0491">
        <w:rPr>
          <w:rFonts w:ascii="Times New Roman" w:hAnsi="Times New Roman" w:cs="Times New Roman"/>
          <w:color w:val="77206D" w:themeColor="accent5" w:themeShade="BF"/>
        </w:rPr>
        <w:t>el</w:t>
      </w:r>
      <w:r w:rsidR="00BA6312" w:rsidRPr="00CE0A5B">
        <w:rPr>
          <w:rFonts w:ascii="Times New Roman" w:hAnsi="Times New Roman" w:cs="Times New Roman"/>
          <w:color w:val="77206D" w:themeColor="accent5" w:themeShade="BF"/>
        </w:rPr>
        <w:t>iminated from the manuscript</w:t>
      </w:r>
      <w:r w:rsidR="003A289A" w:rsidRPr="00CE0A5B">
        <w:rPr>
          <w:rFonts w:ascii="Times New Roman" w:hAnsi="Times New Roman" w:cs="Times New Roman"/>
          <w:color w:val="77206D" w:themeColor="accent5" w:themeShade="BF"/>
        </w:rPr>
        <w:t>.</w:t>
      </w:r>
    </w:p>
    <w:p w14:paraId="0886962E" w14:textId="788340C1" w:rsidR="003934C5" w:rsidRPr="00CE0A5B" w:rsidRDefault="00FF55D9" w:rsidP="00C939D1">
      <w:pPr>
        <w:pStyle w:val="ListParagraph"/>
        <w:numPr>
          <w:ilvl w:val="0"/>
          <w:numId w:val="8"/>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The author included evidence supporting the TFP disparity in the trade sector, so</w:t>
      </w:r>
      <w:r w:rsidR="00232194" w:rsidRPr="00CE0A5B">
        <w:rPr>
          <w:rFonts w:ascii="Times New Roman" w:hAnsi="Times New Roman" w:cs="Times New Roman"/>
          <w:color w:val="77206D" w:themeColor="accent5" w:themeShade="BF"/>
        </w:rPr>
        <w:t xml:space="preserve"> the statement remains (See </w:t>
      </w:r>
      <w:r w:rsidRPr="00CE0A5B">
        <w:rPr>
          <w:rFonts w:ascii="Times New Roman" w:hAnsi="Times New Roman" w:cs="Times New Roman"/>
          <w:color w:val="77206D" w:themeColor="accent5" w:themeShade="BF"/>
        </w:rPr>
        <w:t xml:space="preserve">Figure D1 and </w:t>
      </w:r>
      <w:r w:rsidR="00232194" w:rsidRPr="00CE0A5B">
        <w:rPr>
          <w:rFonts w:ascii="Times New Roman" w:hAnsi="Times New Roman" w:cs="Times New Roman"/>
          <w:color w:val="77206D" w:themeColor="accent5" w:themeShade="BF"/>
        </w:rPr>
        <w:t>Table</w:t>
      </w:r>
      <w:r w:rsidRPr="00CE0A5B">
        <w:rPr>
          <w:rFonts w:ascii="Times New Roman" w:hAnsi="Times New Roman" w:cs="Times New Roman"/>
          <w:color w:val="77206D" w:themeColor="accent5" w:themeShade="BF"/>
        </w:rPr>
        <w:t xml:space="preserve"> D2).</w:t>
      </w:r>
      <w:r w:rsidR="00232194" w:rsidRPr="00CE0A5B">
        <w:rPr>
          <w:rFonts w:ascii="Times New Roman" w:hAnsi="Times New Roman" w:cs="Times New Roman"/>
          <w:color w:val="77206D" w:themeColor="accent5" w:themeShade="BF"/>
        </w:rPr>
        <w:t xml:space="preserve"> </w:t>
      </w:r>
    </w:p>
    <w:p w14:paraId="745F9742" w14:textId="38AEA6E9" w:rsidR="00F762C5" w:rsidRDefault="00F762C5" w:rsidP="00C939D1">
      <w:pPr>
        <w:pStyle w:val="ListParagraph"/>
        <w:numPr>
          <w:ilvl w:val="0"/>
          <w:numId w:val="8"/>
        </w:numPr>
        <w:jc w:val="both"/>
        <w:rPr>
          <w:rFonts w:ascii="Times New Roman" w:hAnsi="Times New Roman" w:cs="Times New Roman"/>
          <w:color w:val="77206D" w:themeColor="accent5" w:themeShade="BF"/>
        </w:rPr>
      </w:pPr>
      <w:r w:rsidRPr="00CE0A5B">
        <w:rPr>
          <w:rFonts w:ascii="Times New Roman" w:hAnsi="Times New Roman" w:cs="Times New Roman"/>
          <w:color w:val="77206D" w:themeColor="accent5" w:themeShade="BF"/>
        </w:rPr>
        <w:t>The interpretation of Figures 2, 3</w:t>
      </w:r>
      <w:r w:rsidR="00182511" w:rsidRPr="00CE0A5B">
        <w:rPr>
          <w:rFonts w:ascii="Times New Roman" w:hAnsi="Times New Roman" w:cs="Times New Roman"/>
          <w:color w:val="77206D" w:themeColor="accent5" w:themeShade="BF"/>
        </w:rPr>
        <w:t>, 4, 5 and 6 was supported by the evidence in the Appendix of the manuscript.</w:t>
      </w:r>
    </w:p>
    <w:p w14:paraId="3A217BBE" w14:textId="77777777" w:rsidR="00CC72B9" w:rsidRPr="00CE0A5B" w:rsidRDefault="00CC72B9" w:rsidP="00CC72B9">
      <w:pPr>
        <w:pStyle w:val="ListParagraph"/>
        <w:jc w:val="both"/>
        <w:rPr>
          <w:rFonts w:ascii="Times New Roman" w:hAnsi="Times New Roman" w:cs="Times New Roman"/>
          <w:color w:val="77206D" w:themeColor="accent5" w:themeShade="BF"/>
        </w:rPr>
      </w:pPr>
    </w:p>
    <w:p w14:paraId="10D0852A" w14:textId="145E444F" w:rsidR="00672BEF" w:rsidRPr="006F7003" w:rsidRDefault="006F7003" w:rsidP="004E7A53">
      <w:pPr>
        <w:pStyle w:val="Heading2"/>
        <w:rPr>
          <w:rFonts w:ascii="Times New Roman" w:hAnsi="Times New Roman" w:cs="Times New Roman"/>
          <w:b/>
          <w:bCs/>
          <w:color w:val="FF0000"/>
        </w:rPr>
      </w:pPr>
      <w:r w:rsidRPr="004E7A53">
        <w:rPr>
          <w:rFonts w:ascii="Times New Roman" w:hAnsi="Times New Roman" w:cs="Times New Roman"/>
          <w:b/>
          <w:bCs/>
          <w:color w:val="77206D" w:themeColor="accent5" w:themeShade="BF"/>
          <w:sz w:val="22"/>
          <w:szCs w:val="22"/>
        </w:rPr>
        <w:t xml:space="preserve">Response to referee </w:t>
      </w:r>
      <w:r w:rsidR="007454EC" w:rsidRPr="004E7A53">
        <w:rPr>
          <w:rFonts w:ascii="Times New Roman" w:hAnsi="Times New Roman" w:cs="Times New Roman"/>
          <w:b/>
          <w:bCs/>
          <w:color w:val="77206D" w:themeColor="accent5" w:themeShade="BF"/>
          <w:sz w:val="22"/>
          <w:szCs w:val="22"/>
        </w:rPr>
        <w:t>2</w:t>
      </w:r>
    </w:p>
    <w:p w14:paraId="2A91623E" w14:textId="77777777" w:rsidR="00672BEF" w:rsidRPr="00AF7AE3" w:rsidRDefault="00672BEF" w:rsidP="00C939D1">
      <w:pPr>
        <w:spacing w:after="192"/>
        <w:jc w:val="both"/>
        <w:rPr>
          <w:rFonts w:ascii="Times New Roman" w:hAnsi="Times New Roman" w:cs="Times New Roman"/>
        </w:rPr>
      </w:pPr>
      <w:r w:rsidRPr="00AF7AE3">
        <w:rPr>
          <w:rFonts w:ascii="Times New Roman" w:hAnsi="Times New Roman" w:cs="Times New Roman"/>
        </w:rPr>
        <w:t xml:space="preserve">March 18, 2025 </w:t>
      </w:r>
    </w:p>
    <w:p w14:paraId="2672B107" w14:textId="77777777" w:rsidR="00672BEF" w:rsidRPr="00AF7AE3" w:rsidRDefault="00672BEF" w:rsidP="00C939D1">
      <w:pPr>
        <w:spacing w:after="201"/>
        <w:jc w:val="both"/>
        <w:rPr>
          <w:rFonts w:ascii="Times New Roman" w:hAnsi="Times New Roman" w:cs="Times New Roman"/>
        </w:rPr>
      </w:pPr>
      <w:r w:rsidRPr="00AF7AE3">
        <w:rPr>
          <w:rFonts w:ascii="Times New Roman" w:hAnsi="Times New Roman" w:cs="Times New Roman"/>
          <w:u w:val="single" w:color="000000"/>
        </w:rPr>
        <w:t>Editors of Journal of Industrial and Business Economics</w:t>
      </w:r>
      <w:r w:rsidRPr="00AF7AE3">
        <w:rPr>
          <w:rFonts w:ascii="Times New Roman" w:hAnsi="Times New Roman" w:cs="Times New Roman"/>
        </w:rPr>
        <w:t xml:space="preserve"> </w:t>
      </w:r>
    </w:p>
    <w:p w14:paraId="18FE1E7B" w14:textId="77777777" w:rsidR="00672BEF" w:rsidRPr="00AF7AE3" w:rsidRDefault="00672BEF" w:rsidP="00C939D1">
      <w:pPr>
        <w:spacing w:after="195"/>
        <w:jc w:val="both"/>
        <w:rPr>
          <w:rFonts w:ascii="Times New Roman" w:hAnsi="Times New Roman" w:cs="Times New Roman"/>
        </w:rPr>
      </w:pPr>
      <w:r w:rsidRPr="00AF7AE3">
        <w:rPr>
          <w:rFonts w:ascii="Times New Roman" w:hAnsi="Times New Roman" w:cs="Times New Roman"/>
        </w:rPr>
        <w:t xml:space="preserve">Referee report on “Total Factor Productivity (TFP) decomposition, from micro to macro” </w:t>
      </w:r>
    </w:p>
    <w:p w14:paraId="67E40C5A" w14:textId="77777777" w:rsidR="00672BEF" w:rsidRPr="00AF7AE3" w:rsidRDefault="00672BEF" w:rsidP="00C939D1">
      <w:pPr>
        <w:jc w:val="both"/>
        <w:rPr>
          <w:rFonts w:ascii="Times New Roman" w:hAnsi="Times New Roman" w:cs="Times New Roman"/>
        </w:rPr>
      </w:pPr>
      <w:r w:rsidRPr="00AF7AE3">
        <w:rPr>
          <w:rFonts w:ascii="Times New Roman" w:hAnsi="Times New Roman" w:cs="Times New Roman"/>
        </w:rPr>
        <w:t xml:space="preserve">Recommendation </w:t>
      </w:r>
    </w:p>
    <w:p w14:paraId="32BAD753" w14:textId="77777777" w:rsidR="00672BEF" w:rsidRPr="001B098D" w:rsidRDefault="00672BEF" w:rsidP="00C939D1">
      <w:pPr>
        <w:spacing w:after="148"/>
        <w:jc w:val="both"/>
        <w:rPr>
          <w:rFonts w:ascii="Times New Roman" w:hAnsi="Times New Roman" w:cs="Times New Roman"/>
        </w:rPr>
      </w:pPr>
      <w:r w:rsidRPr="001B098D">
        <w:rPr>
          <w:rFonts w:ascii="Times New Roman" w:hAnsi="Times New Roman" w:cs="Times New Roman"/>
        </w:rPr>
        <w:t xml:space="preserve">Thank you for the opportunity to review this paper. The author looks at an important question, but the analysis has caveats. Below are my detailed remarks, which led me to recommend rejection. If you decide to give the author a chance to revise and resubmit then he might benefit from thinking about these remarks. I want to highlight that bringing the draft up to standard would require a radical revision and rewrite. On the other hand, if you decide to reject the paper, please do not share the comments. </w:t>
      </w:r>
    </w:p>
    <w:p w14:paraId="44E363F1" w14:textId="77777777" w:rsidR="00672BEF" w:rsidRPr="001B098D" w:rsidRDefault="00672BEF" w:rsidP="00C939D1">
      <w:pPr>
        <w:spacing w:after="187"/>
        <w:ind w:right="88"/>
        <w:jc w:val="both"/>
        <w:rPr>
          <w:rFonts w:ascii="Times New Roman" w:hAnsi="Times New Roman" w:cs="Times New Roman"/>
        </w:rPr>
      </w:pPr>
      <w:r w:rsidRPr="001B098D">
        <w:rPr>
          <w:rFonts w:ascii="Times New Roman" w:hAnsi="Times New Roman" w:cs="Times New Roman"/>
        </w:rPr>
        <w:t xml:space="preserve">The comments are listed in the order that reflects the discussion in the paper. The following list could be used as a preference ordering: 10, 11, 14, 13, 5, 18-21 are crucial for measurement and interpretation; the remaining comments may seem ‘editorial’, but each </w:t>
      </w:r>
      <w:proofErr w:type="gramStart"/>
      <w:r w:rsidRPr="001B098D">
        <w:rPr>
          <w:rFonts w:ascii="Times New Roman" w:hAnsi="Times New Roman" w:cs="Times New Roman"/>
        </w:rPr>
        <w:t>highlights</w:t>
      </w:r>
      <w:proofErr w:type="gramEnd"/>
      <w:r w:rsidRPr="001B098D">
        <w:rPr>
          <w:rFonts w:ascii="Times New Roman" w:hAnsi="Times New Roman" w:cs="Times New Roman"/>
        </w:rPr>
        <w:t xml:space="preserve"> either a conceptual issue or a major inaccuracy in the discussion. </w:t>
      </w:r>
    </w:p>
    <w:p w14:paraId="627DF7C1" w14:textId="77777777" w:rsidR="00672BEF" w:rsidRPr="004C778D" w:rsidRDefault="00672BEF" w:rsidP="00C939D1">
      <w:pPr>
        <w:spacing w:after="187"/>
        <w:ind w:right="88"/>
        <w:jc w:val="both"/>
        <w:rPr>
          <w:rFonts w:ascii="Times New Roman" w:hAnsi="Times New Roman" w:cs="Times New Roman"/>
          <w:bCs/>
        </w:rPr>
      </w:pPr>
      <w:r w:rsidRPr="004C778D">
        <w:rPr>
          <w:rFonts w:ascii="Times New Roman" w:eastAsia="Times New Roman" w:hAnsi="Times New Roman" w:cs="Times New Roman"/>
          <w:bCs/>
        </w:rPr>
        <w:t xml:space="preserve">Detailed comments </w:t>
      </w:r>
    </w:p>
    <w:p w14:paraId="35F5E841" w14:textId="1268F5C7" w:rsidR="00D521C8"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First paragraph of introduction. The fact that productivity growth is sluggish is not a cause but a symptom in the sense that sluggishness is not the reason understanding productivity dynamics </w:t>
      </w:r>
      <w:r w:rsidRPr="004C778D">
        <w:rPr>
          <w:rFonts w:ascii="Times New Roman" w:hAnsi="Times New Roman" w:cs="Times New Roman"/>
          <w:bCs/>
        </w:rPr>
        <w:lastRenderedPageBreak/>
        <w:t xml:space="preserve">is important. Exploring and understanding productivity dynamics is important for several reasons: in its own right (performance measure, driver of growth, relationship to welfare, or because we want to implement policies, etc.). We should get our frame of reference right if we want the reader to understand our main point. </w:t>
      </w:r>
    </w:p>
    <w:p w14:paraId="1406E979" w14:textId="77777777" w:rsidR="00D521C8" w:rsidRPr="004C778D" w:rsidRDefault="00D521C8" w:rsidP="00C939D1">
      <w:pPr>
        <w:spacing w:after="33" w:line="266" w:lineRule="auto"/>
        <w:jc w:val="both"/>
        <w:rPr>
          <w:rFonts w:ascii="Times New Roman" w:hAnsi="Times New Roman" w:cs="Times New Roman"/>
          <w:bCs/>
        </w:rPr>
      </w:pPr>
    </w:p>
    <w:p w14:paraId="6A31358D" w14:textId="0AB3440F" w:rsidR="00F07F32" w:rsidRPr="00844B56" w:rsidRDefault="00263C2B"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The f</w:t>
      </w:r>
      <w:r w:rsidR="00B139DB" w:rsidRPr="00844B56">
        <w:rPr>
          <w:rFonts w:ascii="Times New Roman" w:hAnsi="Times New Roman" w:cs="Times New Roman"/>
          <w:bCs/>
          <w:color w:val="77206D" w:themeColor="accent5" w:themeShade="BF"/>
        </w:rPr>
        <w:t>irst paragraph has been rewritten</w:t>
      </w:r>
      <w:r w:rsidRPr="00844B56">
        <w:rPr>
          <w:rFonts w:ascii="Times New Roman" w:hAnsi="Times New Roman" w:cs="Times New Roman"/>
          <w:bCs/>
          <w:color w:val="77206D" w:themeColor="accent5" w:themeShade="BF"/>
        </w:rPr>
        <w:t xml:space="preserve"> </w:t>
      </w:r>
      <w:r w:rsidR="00834A23" w:rsidRPr="00844B56">
        <w:rPr>
          <w:rFonts w:ascii="Times New Roman" w:hAnsi="Times New Roman" w:cs="Times New Roman"/>
          <w:bCs/>
          <w:color w:val="77206D" w:themeColor="accent5" w:themeShade="BF"/>
        </w:rPr>
        <w:t>to state</w:t>
      </w:r>
      <w:r w:rsidRPr="00844B56">
        <w:rPr>
          <w:rFonts w:ascii="Times New Roman" w:hAnsi="Times New Roman" w:cs="Times New Roman"/>
          <w:bCs/>
          <w:color w:val="77206D" w:themeColor="accent5" w:themeShade="BF"/>
        </w:rPr>
        <w:t xml:space="preserve"> that the </w:t>
      </w:r>
      <w:r w:rsidR="00834A23" w:rsidRPr="00844B56">
        <w:rPr>
          <w:rFonts w:ascii="Times New Roman" w:hAnsi="Times New Roman" w:cs="Times New Roman"/>
          <w:bCs/>
          <w:color w:val="77206D" w:themeColor="accent5" w:themeShade="BF"/>
        </w:rPr>
        <w:t xml:space="preserve">sluggish </w:t>
      </w:r>
      <w:r w:rsidRPr="00844B56">
        <w:rPr>
          <w:rFonts w:ascii="Times New Roman" w:hAnsi="Times New Roman" w:cs="Times New Roman"/>
          <w:bCs/>
          <w:color w:val="77206D" w:themeColor="accent5" w:themeShade="BF"/>
        </w:rPr>
        <w:t xml:space="preserve">productivity growth </w:t>
      </w:r>
      <w:r w:rsidR="00213099" w:rsidRPr="00844B56">
        <w:rPr>
          <w:rFonts w:ascii="Times New Roman" w:hAnsi="Times New Roman" w:cs="Times New Roman"/>
          <w:bCs/>
          <w:color w:val="77206D" w:themeColor="accent5" w:themeShade="BF"/>
        </w:rPr>
        <w:t>reflects structural problems</w:t>
      </w:r>
      <w:r w:rsidR="007266E2" w:rsidRPr="00844B56">
        <w:rPr>
          <w:rFonts w:ascii="Times New Roman" w:hAnsi="Times New Roman" w:cs="Times New Roman"/>
          <w:bCs/>
          <w:color w:val="77206D" w:themeColor="accent5" w:themeShade="BF"/>
        </w:rPr>
        <w:t xml:space="preserve"> </w:t>
      </w:r>
      <w:r w:rsidR="00B02885" w:rsidRPr="00844B56">
        <w:rPr>
          <w:rFonts w:ascii="Times New Roman" w:hAnsi="Times New Roman" w:cs="Times New Roman"/>
          <w:bCs/>
          <w:color w:val="77206D" w:themeColor="accent5" w:themeShade="BF"/>
        </w:rPr>
        <w:t xml:space="preserve">that </w:t>
      </w:r>
      <w:r w:rsidR="006431B0" w:rsidRPr="00844B56">
        <w:rPr>
          <w:rFonts w:ascii="Times New Roman" w:hAnsi="Times New Roman" w:cs="Times New Roman"/>
          <w:bCs/>
          <w:color w:val="77206D" w:themeColor="accent5" w:themeShade="BF"/>
        </w:rPr>
        <w:t>limit</w:t>
      </w:r>
      <w:r w:rsidR="00B02885" w:rsidRPr="00844B56">
        <w:rPr>
          <w:rFonts w:ascii="Times New Roman" w:hAnsi="Times New Roman" w:cs="Times New Roman"/>
          <w:bCs/>
          <w:color w:val="77206D" w:themeColor="accent5" w:themeShade="BF"/>
        </w:rPr>
        <w:t xml:space="preserve"> </w:t>
      </w:r>
      <w:r w:rsidR="006431B0" w:rsidRPr="00844B56">
        <w:rPr>
          <w:rFonts w:ascii="Times New Roman" w:hAnsi="Times New Roman" w:cs="Times New Roman"/>
          <w:bCs/>
          <w:color w:val="77206D" w:themeColor="accent5" w:themeShade="BF"/>
        </w:rPr>
        <w:t>the</w:t>
      </w:r>
      <w:r w:rsidR="00B02885" w:rsidRPr="00844B56">
        <w:rPr>
          <w:rFonts w:ascii="Times New Roman" w:hAnsi="Times New Roman" w:cs="Times New Roman"/>
          <w:bCs/>
          <w:color w:val="77206D" w:themeColor="accent5" w:themeShade="BF"/>
        </w:rPr>
        <w:t xml:space="preserve"> growth</w:t>
      </w:r>
      <w:r w:rsidR="006431B0" w:rsidRPr="00844B56">
        <w:rPr>
          <w:rFonts w:ascii="Times New Roman" w:hAnsi="Times New Roman" w:cs="Times New Roman"/>
          <w:bCs/>
          <w:color w:val="77206D" w:themeColor="accent5" w:themeShade="BF"/>
        </w:rPr>
        <w:t xml:space="preserve"> of the Mexican economy</w:t>
      </w:r>
      <w:r w:rsidR="00B139DB" w:rsidRPr="00844B56">
        <w:rPr>
          <w:rFonts w:ascii="Times New Roman" w:hAnsi="Times New Roman" w:cs="Times New Roman"/>
          <w:bCs/>
          <w:color w:val="77206D" w:themeColor="accent5" w:themeShade="BF"/>
        </w:rPr>
        <w:t>.</w:t>
      </w:r>
      <w:r w:rsidR="00213099" w:rsidRPr="00844B56">
        <w:rPr>
          <w:rFonts w:ascii="Times New Roman" w:hAnsi="Times New Roman" w:cs="Times New Roman"/>
          <w:bCs/>
          <w:color w:val="77206D" w:themeColor="accent5" w:themeShade="BF"/>
        </w:rPr>
        <w:t xml:space="preserve"> </w:t>
      </w:r>
      <w:r w:rsidR="00B02885" w:rsidRPr="00844B56">
        <w:rPr>
          <w:rFonts w:ascii="Times New Roman" w:hAnsi="Times New Roman" w:cs="Times New Roman"/>
          <w:bCs/>
          <w:color w:val="77206D" w:themeColor="accent5" w:themeShade="BF"/>
        </w:rPr>
        <w:t>For that reason, t</w:t>
      </w:r>
      <w:r w:rsidR="00392247" w:rsidRPr="00844B56">
        <w:rPr>
          <w:rFonts w:ascii="Times New Roman" w:hAnsi="Times New Roman" w:cs="Times New Roman"/>
          <w:bCs/>
          <w:color w:val="77206D" w:themeColor="accent5" w:themeShade="BF"/>
        </w:rPr>
        <w:t xml:space="preserve">he </w:t>
      </w:r>
      <w:r w:rsidR="00693BDF" w:rsidRPr="00844B56">
        <w:rPr>
          <w:rFonts w:ascii="Times New Roman" w:hAnsi="Times New Roman" w:cs="Times New Roman"/>
          <w:bCs/>
          <w:color w:val="77206D" w:themeColor="accent5" w:themeShade="BF"/>
        </w:rPr>
        <w:t xml:space="preserve">author considers </w:t>
      </w:r>
      <w:r w:rsidR="00886689" w:rsidRPr="00844B56">
        <w:rPr>
          <w:rFonts w:ascii="Times New Roman" w:hAnsi="Times New Roman" w:cs="Times New Roman"/>
          <w:bCs/>
          <w:color w:val="77206D" w:themeColor="accent5" w:themeShade="BF"/>
        </w:rPr>
        <w:t xml:space="preserve">it relevant to </w:t>
      </w:r>
      <w:r w:rsidR="00237112">
        <w:rPr>
          <w:rFonts w:ascii="Times New Roman" w:hAnsi="Times New Roman" w:cs="Times New Roman"/>
          <w:bCs/>
          <w:color w:val="77206D" w:themeColor="accent5" w:themeShade="BF"/>
        </w:rPr>
        <w:t>sustain</w:t>
      </w:r>
      <w:r w:rsidR="00886689" w:rsidRPr="00844B56">
        <w:rPr>
          <w:rFonts w:ascii="Times New Roman" w:hAnsi="Times New Roman" w:cs="Times New Roman"/>
          <w:bCs/>
          <w:color w:val="77206D" w:themeColor="accent5" w:themeShade="BF"/>
        </w:rPr>
        <w:t xml:space="preserve"> (in the first paragraph) that empirical evidence </w:t>
      </w:r>
      <w:r w:rsidR="00AC354C" w:rsidRPr="00844B56">
        <w:rPr>
          <w:rFonts w:ascii="Times New Roman" w:hAnsi="Times New Roman" w:cs="Times New Roman"/>
          <w:bCs/>
          <w:color w:val="77206D" w:themeColor="accent5" w:themeShade="BF"/>
        </w:rPr>
        <w:t>on aggregate TFP at different levels aims to inform policymakers about productivity trends</w:t>
      </w:r>
      <w:r w:rsidR="00FC05FD" w:rsidRPr="00844B56">
        <w:rPr>
          <w:rFonts w:ascii="Times New Roman" w:hAnsi="Times New Roman" w:cs="Times New Roman"/>
          <w:bCs/>
          <w:color w:val="77206D" w:themeColor="accent5" w:themeShade="BF"/>
        </w:rPr>
        <w:t xml:space="preserve"> over time, across geographical locations and sectors</w:t>
      </w:r>
      <w:r w:rsidR="00B02885" w:rsidRPr="00844B56">
        <w:rPr>
          <w:rFonts w:ascii="Times New Roman" w:hAnsi="Times New Roman" w:cs="Times New Roman"/>
          <w:bCs/>
          <w:color w:val="77206D" w:themeColor="accent5" w:themeShade="BF"/>
        </w:rPr>
        <w:t xml:space="preserve">. This evidence can </w:t>
      </w:r>
      <w:r w:rsidR="009D4790" w:rsidRPr="00844B56">
        <w:rPr>
          <w:rFonts w:ascii="Times New Roman" w:hAnsi="Times New Roman" w:cs="Times New Roman"/>
          <w:bCs/>
          <w:color w:val="77206D" w:themeColor="accent5" w:themeShade="BF"/>
        </w:rPr>
        <w:t xml:space="preserve">inform </w:t>
      </w:r>
      <w:r w:rsidR="00942877" w:rsidRPr="00844B56">
        <w:rPr>
          <w:rFonts w:ascii="Times New Roman" w:hAnsi="Times New Roman" w:cs="Times New Roman"/>
          <w:bCs/>
          <w:color w:val="77206D" w:themeColor="accent5" w:themeShade="BF"/>
        </w:rPr>
        <w:t>recommendations to</w:t>
      </w:r>
      <w:r w:rsidR="001C5FFE" w:rsidRPr="00844B56">
        <w:rPr>
          <w:rFonts w:ascii="Times New Roman" w:hAnsi="Times New Roman" w:cs="Times New Roman"/>
          <w:bCs/>
          <w:color w:val="77206D" w:themeColor="accent5" w:themeShade="BF"/>
        </w:rPr>
        <w:t xml:space="preserve"> improve</w:t>
      </w:r>
      <w:r w:rsidR="00AC354C" w:rsidRPr="00844B56">
        <w:rPr>
          <w:rFonts w:ascii="Times New Roman" w:hAnsi="Times New Roman" w:cs="Times New Roman"/>
          <w:bCs/>
          <w:color w:val="77206D" w:themeColor="accent5" w:themeShade="BF"/>
        </w:rPr>
        <w:t xml:space="preserve"> productivity </w:t>
      </w:r>
      <w:r w:rsidR="001C5FFE" w:rsidRPr="00844B56">
        <w:rPr>
          <w:rFonts w:ascii="Times New Roman" w:hAnsi="Times New Roman" w:cs="Times New Roman"/>
          <w:bCs/>
          <w:color w:val="77206D" w:themeColor="accent5" w:themeShade="BF"/>
        </w:rPr>
        <w:t>performance</w:t>
      </w:r>
      <w:r w:rsidR="00187B19" w:rsidRPr="00844B56">
        <w:rPr>
          <w:rFonts w:ascii="Times New Roman" w:hAnsi="Times New Roman" w:cs="Times New Roman"/>
          <w:bCs/>
          <w:color w:val="77206D" w:themeColor="accent5" w:themeShade="BF"/>
        </w:rPr>
        <w:t>, which can be included in the</w:t>
      </w:r>
      <w:r w:rsidR="009D4790" w:rsidRPr="00844B56">
        <w:rPr>
          <w:rFonts w:ascii="Times New Roman" w:hAnsi="Times New Roman" w:cs="Times New Roman"/>
          <w:bCs/>
          <w:color w:val="77206D" w:themeColor="accent5" w:themeShade="BF"/>
        </w:rPr>
        <w:t xml:space="preserve"> design and implement</w:t>
      </w:r>
      <w:r w:rsidR="00187B19" w:rsidRPr="00844B56">
        <w:rPr>
          <w:rFonts w:ascii="Times New Roman" w:hAnsi="Times New Roman" w:cs="Times New Roman"/>
          <w:bCs/>
          <w:color w:val="77206D" w:themeColor="accent5" w:themeShade="BF"/>
        </w:rPr>
        <w:t xml:space="preserve">ation of </w:t>
      </w:r>
      <w:r w:rsidR="000F2668" w:rsidRPr="00844B56">
        <w:rPr>
          <w:rFonts w:ascii="Times New Roman" w:hAnsi="Times New Roman" w:cs="Times New Roman"/>
          <w:bCs/>
          <w:color w:val="77206D" w:themeColor="accent5" w:themeShade="BF"/>
        </w:rPr>
        <w:t>public policy</w:t>
      </w:r>
      <w:r w:rsidR="00B02885" w:rsidRPr="00844B56">
        <w:rPr>
          <w:rFonts w:ascii="Times New Roman" w:hAnsi="Times New Roman" w:cs="Times New Roman"/>
          <w:bCs/>
          <w:color w:val="77206D" w:themeColor="accent5" w:themeShade="BF"/>
        </w:rPr>
        <w:t xml:space="preserve"> in Mexico</w:t>
      </w:r>
      <w:r w:rsidR="002B4DA5" w:rsidRPr="00844B56">
        <w:rPr>
          <w:rFonts w:ascii="Times New Roman" w:hAnsi="Times New Roman" w:cs="Times New Roman"/>
          <w:bCs/>
          <w:color w:val="77206D" w:themeColor="accent5" w:themeShade="BF"/>
        </w:rPr>
        <w:t>.</w:t>
      </w:r>
      <w:r w:rsidR="00852963" w:rsidRPr="00844B56">
        <w:rPr>
          <w:rFonts w:ascii="Times New Roman" w:hAnsi="Times New Roman" w:cs="Times New Roman"/>
          <w:bCs/>
          <w:color w:val="77206D" w:themeColor="accent5" w:themeShade="BF"/>
        </w:rPr>
        <w:t xml:space="preserve"> Th</w:t>
      </w:r>
      <w:r w:rsidR="00942877" w:rsidRPr="00844B56">
        <w:rPr>
          <w:rFonts w:ascii="Times New Roman" w:hAnsi="Times New Roman" w:cs="Times New Roman"/>
          <w:bCs/>
          <w:color w:val="77206D" w:themeColor="accent5" w:themeShade="BF"/>
        </w:rPr>
        <w:t>e author expects that</w:t>
      </w:r>
      <w:r w:rsidR="00852963" w:rsidRPr="00844B56">
        <w:rPr>
          <w:rFonts w:ascii="Times New Roman" w:hAnsi="Times New Roman" w:cs="Times New Roman"/>
          <w:bCs/>
          <w:color w:val="77206D" w:themeColor="accent5" w:themeShade="BF"/>
        </w:rPr>
        <w:t xml:space="preserve"> the main point</w:t>
      </w:r>
      <w:r w:rsidR="00942877" w:rsidRPr="00844B56">
        <w:rPr>
          <w:rFonts w:ascii="Times New Roman" w:hAnsi="Times New Roman" w:cs="Times New Roman"/>
          <w:bCs/>
          <w:color w:val="77206D" w:themeColor="accent5" w:themeShade="BF"/>
        </w:rPr>
        <w:t xml:space="preserve"> of the first paragraph is now clear, following the </w:t>
      </w:r>
      <w:r w:rsidR="00CD19A0" w:rsidRPr="00844B56">
        <w:rPr>
          <w:rFonts w:ascii="Times New Roman" w:hAnsi="Times New Roman" w:cs="Times New Roman"/>
          <w:bCs/>
          <w:color w:val="77206D" w:themeColor="accent5" w:themeShade="BF"/>
        </w:rPr>
        <w:t>referee</w:t>
      </w:r>
      <w:r w:rsidR="00942877" w:rsidRPr="00844B56">
        <w:rPr>
          <w:rFonts w:ascii="Times New Roman" w:hAnsi="Times New Roman" w:cs="Times New Roman"/>
          <w:bCs/>
          <w:color w:val="77206D" w:themeColor="accent5" w:themeShade="BF"/>
        </w:rPr>
        <w:t>’s suggestion</w:t>
      </w:r>
      <w:r w:rsidR="00852963" w:rsidRPr="00844B56">
        <w:rPr>
          <w:rFonts w:ascii="Times New Roman" w:hAnsi="Times New Roman" w:cs="Times New Roman"/>
          <w:bCs/>
          <w:color w:val="77206D" w:themeColor="accent5" w:themeShade="BF"/>
        </w:rPr>
        <w:t>.</w:t>
      </w:r>
    </w:p>
    <w:p w14:paraId="1223537F" w14:textId="77777777" w:rsidR="00F07F32" w:rsidRPr="004C778D" w:rsidRDefault="00F07F32" w:rsidP="00C939D1">
      <w:pPr>
        <w:spacing w:after="33" w:line="266" w:lineRule="auto"/>
        <w:jc w:val="both"/>
        <w:rPr>
          <w:rFonts w:ascii="Times New Roman" w:hAnsi="Times New Roman" w:cs="Times New Roman"/>
          <w:bCs/>
        </w:rPr>
      </w:pPr>
    </w:p>
    <w:p w14:paraId="4CB241B9" w14:textId="555CD47F"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Second paragraph of introduction, last sentence. Not only the writing is clumsy (</w:t>
      </w:r>
      <w:proofErr w:type="spellStart"/>
      <w:r w:rsidRPr="004C778D">
        <w:rPr>
          <w:rFonts w:ascii="Times New Roman" w:hAnsi="Times New Roman" w:cs="Times New Roman"/>
          <w:bCs/>
        </w:rPr>
        <w:t>tfp</w:t>
      </w:r>
      <w:proofErr w:type="spellEnd"/>
      <w:r w:rsidRPr="004C778D">
        <w:rPr>
          <w:rFonts w:ascii="Times New Roman" w:hAnsi="Times New Roman" w:cs="Times New Roman"/>
          <w:bCs/>
        </w:rPr>
        <w:t xml:space="preserve">-driven growth reflects only </w:t>
      </w:r>
      <w:proofErr w:type="spellStart"/>
      <w:r w:rsidRPr="004C778D">
        <w:rPr>
          <w:rFonts w:ascii="Times New Roman" w:hAnsi="Times New Roman" w:cs="Times New Roman"/>
          <w:bCs/>
        </w:rPr>
        <w:t>tfp</w:t>
      </w:r>
      <w:proofErr w:type="spellEnd"/>
      <w:r w:rsidRPr="004C778D">
        <w:rPr>
          <w:rFonts w:ascii="Times New Roman" w:hAnsi="Times New Roman" w:cs="Times New Roman"/>
          <w:bCs/>
        </w:rPr>
        <w:t xml:space="preserve">-driven growth, it does not reflect “the capacity of an economy to increase its technological capacity and allocate resources efficiently”), but the sentence has it backwards. Studying the dynamics of TFP distributions helps us understand the properties of productivity growth. Another question is how TFP is related to input growth which then may translate into output growth, etc. This writing leaves the referee wondering whether the author knows what he wants to write about and who he wants to convince. The questions in the paper indicate one candidate group is policy makers. If this is the </w:t>
      </w:r>
      <w:proofErr w:type="gramStart"/>
      <w:r w:rsidRPr="004C778D">
        <w:rPr>
          <w:rFonts w:ascii="Times New Roman" w:hAnsi="Times New Roman" w:cs="Times New Roman"/>
          <w:bCs/>
        </w:rPr>
        <w:t>case</w:t>
      </w:r>
      <w:proofErr w:type="gramEnd"/>
      <w:r w:rsidRPr="004C778D">
        <w:rPr>
          <w:rFonts w:ascii="Times New Roman" w:hAnsi="Times New Roman" w:cs="Times New Roman"/>
          <w:bCs/>
        </w:rPr>
        <w:t xml:space="preserve"> then we </w:t>
      </w:r>
      <w:proofErr w:type="gramStart"/>
      <w:r w:rsidRPr="004C778D">
        <w:rPr>
          <w:rFonts w:ascii="Times New Roman" w:hAnsi="Times New Roman" w:cs="Times New Roman"/>
          <w:bCs/>
        </w:rPr>
        <w:t>have to</w:t>
      </w:r>
      <w:proofErr w:type="gramEnd"/>
      <w:r w:rsidRPr="004C778D">
        <w:rPr>
          <w:rFonts w:ascii="Times New Roman" w:hAnsi="Times New Roman" w:cs="Times New Roman"/>
          <w:bCs/>
        </w:rPr>
        <w:t xml:space="preserve"> ask ourselves whether we want to convince policy makers about the importance of growth. Should they know this already? My point is that basic claims are in order when we set the state for the analysis, but such succinct claims should not be borderline nonsensical. </w:t>
      </w:r>
    </w:p>
    <w:p w14:paraId="6F4AEEAF" w14:textId="77777777" w:rsidR="00B139DB" w:rsidRPr="004C778D" w:rsidRDefault="00B139DB" w:rsidP="00C939D1">
      <w:pPr>
        <w:spacing w:after="33" w:line="266" w:lineRule="auto"/>
        <w:jc w:val="both"/>
        <w:rPr>
          <w:rFonts w:ascii="Times New Roman" w:hAnsi="Times New Roman" w:cs="Times New Roman"/>
          <w:bCs/>
        </w:rPr>
      </w:pPr>
    </w:p>
    <w:p w14:paraId="0D26BC9A" w14:textId="334E8B14" w:rsidR="00B139DB" w:rsidRPr="00844B56" w:rsidRDefault="00CD19A0"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second paragraph has been entirely rewritten to address this comment: </w:t>
      </w:r>
      <w:r w:rsidR="008C68FB" w:rsidRPr="00844B56">
        <w:rPr>
          <w:rFonts w:ascii="Times New Roman" w:hAnsi="Times New Roman" w:cs="Times New Roman"/>
          <w:bCs/>
          <w:color w:val="77206D" w:themeColor="accent5" w:themeShade="BF"/>
        </w:rPr>
        <w:t xml:space="preserve">“This writing leaves the referee wondering whether the author knows what he wants to write about and who he wants to convince.” </w:t>
      </w:r>
      <w:r w:rsidR="001209E8" w:rsidRPr="00844B56">
        <w:rPr>
          <w:rFonts w:ascii="Times New Roman" w:hAnsi="Times New Roman" w:cs="Times New Roman"/>
          <w:bCs/>
          <w:color w:val="77206D" w:themeColor="accent5" w:themeShade="BF"/>
        </w:rPr>
        <w:t xml:space="preserve"> </w:t>
      </w:r>
      <w:r w:rsidR="00AC55A5" w:rsidRPr="00844B56">
        <w:rPr>
          <w:rFonts w:ascii="Times New Roman" w:hAnsi="Times New Roman" w:cs="Times New Roman"/>
          <w:bCs/>
          <w:color w:val="77206D" w:themeColor="accent5" w:themeShade="BF"/>
        </w:rPr>
        <w:t>The</w:t>
      </w:r>
      <w:r w:rsidR="00B93774" w:rsidRPr="00844B56">
        <w:rPr>
          <w:rFonts w:ascii="Times New Roman" w:hAnsi="Times New Roman" w:cs="Times New Roman"/>
          <w:bCs/>
          <w:color w:val="77206D" w:themeColor="accent5" w:themeShade="BF"/>
        </w:rPr>
        <w:t xml:space="preserve"> author </w:t>
      </w:r>
      <w:r w:rsidR="00323406" w:rsidRPr="00844B56">
        <w:rPr>
          <w:rFonts w:ascii="Times New Roman" w:hAnsi="Times New Roman" w:cs="Times New Roman"/>
          <w:bCs/>
          <w:color w:val="77206D" w:themeColor="accent5" w:themeShade="BF"/>
        </w:rPr>
        <w:t xml:space="preserve">wants to </w:t>
      </w:r>
      <w:r w:rsidR="00DE77A9" w:rsidRPr="00844B56">
        <w:rPr>
          <w:rFonts w:ascii="Times New Roman" w:hAnsi="Times New Roman" w:cs="Times New Roman"/>
          <w:bCs/>
          <w:color w:val="77206D" w:themeColor="accent5" w:themeShade="BF"/>
        </w:rPr>
        <w:t xml:space="preserve">convince policymakers and </w:t>
      </w:r>
      <w:r w:rsidR="00941893" w:rsidRPr="00844B56">
        <w:rPr>
          <w:rFonts w:ascii="Times New Roman" w:hAnsi="Times New Roman" w:cs="Times New Roman"/>
          <w:bCs/>
          <w:color w:val="77206D" w:themeColor="accent5" w:themeShade="BF"/>
        </w:rPr>
        <w:t xml:space="preserve">readers </w:t>
      </w:r>
      <w:r w:rsidR="00DE77A9" w:rsidRPr="00844B56">
        <w:rPr>
          <w:rFonts w:ascii="Times New Roman" w:hAnsi="Times New Roman" w:cs="Times New Roman"/>
          <w:bCs/>
          <w:color w:val="77206D" w:themeColor="accent5" w:themeShade="BF"/>
        </w:rPr>
        <w:t xml:space="preserve">interested in productivity </w:t>
      </w:r>
      <w:r w:rsidR="00647DD1" w:rsidRPr="00844B56">
        <w:rPr>
          <w:rFonts w:ascii="Times New Roman" w:hAnsi="Times New Roman" w:cs="Times New Roman"/>
          <w:bCs/>
          <w:color w:val="77206D" w:themeColor="accent5" w:themeShade="BF"/>
        </w:rPr>
        <w:t xml:space="preserve">about the relevance </w:t>
      </w:r>
      <w:r w:rsidR="00256015" w:rsidRPr="00844B56">
        <w:rPr>
          <w:rFonts w:ascii="Times New Roman" w:hAnsi="Times New Roman" w:cs="Times New Roman"/>
          <w:bCs/>
          <w:color w:val="77206D" w:themeColor="accent5" w:themeShade="BF"/>
        </w:rPr>
        <w:t xml:space="preserve">of aggregate </w:t>
      </w:r>
      <w:r w:rsidR="003A2B23" w:rsidRPr="00844B56">
        <w:rPr>
          <w:rFonts w:ascii="Times New Roman" w:hAnsi="Times New Roman" w:cs="Times New Roman"/>
          <w:bCs/>
          <w:color w:val="77206D" w:themeColor="accent5" w:themeShade="BF"/>
        </w:rPr>
        <w:t>productivity using TFP in levels and TFP growth.</w:t>
      </w:r>
      <w:r w:rsidR="00256015" w:rsidRPr="00844B56">
        <w:rPr>
          <w:rFonts w:ascii="Times New Roman" w:hAnsi="Times New Roman" w:cs="Times New Roman"/>
          <w:bCs/>
          <w:color w:val="77206D" w:themeColor="accent5" w:themeShade="BF"/>
        </w:rPr>
        <w:t xml:space="preserve"> </w:t>
      </w:r>
      <w:r w:rsidR="00FB4EF8" w:rsidRPr="00844B56">
        <w:rPr>
          <w:rFonts w:ascii="Times New Roman" w:hAnsi="Times New Roman" w:cs="Times New Roman"/>
          <w:bCs/>
          <w:color w:val="77206D" w:themeColor="accent5" w:themeShade="BF"/>
        </w:rPr>
        <w:t>These aggregates</w:t>
      </w:r>
      <w:r w:rsidR="00256015" w:rsidRPr="00844B56">
        <w:rPr>
          <w:rFonts w:ascii="Times New Roman" w:hAnsi="Times New Roman" w:cs="Times New Roman"/>
          <w:bCs/>
          <w:color w:val="77206D" w:themeColor="accent5" w:themeShade="BF"/>
        </w:rPr>
        <w:t xml:space="preserve"> provide</w:t>
      </w:r>
      <w:r w:rsidR="00AD6E69" w:rsidRPr="00844B56">
        <w:rPr>
          <w:rFonts w:ascii="Times New Roman" w:hAnsi="Times New Roman" w:cs="Times New Roman"/>
          <w:bCs/>
          <w:color w:val="77206D" w:themeColor="accent5" w:themeShade="BF"/>
        </w:rPr>
        <w:t xml:space="preserve"> evidence </w:t>
      </w:r>
      <w:r w:rsidR="00D51A19" w:rsidRPr="00844B56">
        <w:rPr>
          <w:rFonts w:ascii="Times New Roman" w:hAnsi="Times New Roman" w:cs="Times New Roman"/>
          <w:bCs/>
          <w:color w:val="77206D" w:themeColor="accent5" w:themeShade="BF"/>
        </w:rPr>
        <w:t>across different</w:t>
      </w:r>
      <w:r w:rsidR="00FB4EF8" w:rsidRPr="00844B56">
        <w:rPr>
          <w:rFonts w:ascii="Times New Roman" w:hAnsi="Times New Roman" w:cs="Times New Roman"/>
          <w:bCs/>
          <w:color w:val="77206D" w:themeColor="accent5" w:themeShade="BF"/>
        </w:rPr>
        <w:t xml:space="preserve"> productivity</w:t>
      </w:r>
      <w:r w:rsidR="001C57E2" w:rsidRPr="00844B56">
        <w:rPr>
          <w:rFonts w:ascii="Times New Roman" w:hAnsi="Times New Roman" w:cs="Times New Roman"/>
          <w:bCs/>
          <w:color w:val="77206D" w:themeColor="accent5" w:themeShade="BF"/>
        </w:rPr>
        <w:t xml:space="preserve"> </w:t>
      </w:r>
      <w:r w:rsidR="00A9266F" w:rsidRPr="00844B56">
        <w:rPr>
          <w:rFonts w:ascii="Times New Roman" w:hAnsi="Times New Roman" w:cs="Times New Roman"/>
          <w:bCs/>
          <w:color w:val="77206D" w:themeColor="accent5" w:themeShade="BF"/>
        </w:rPr>
        <w:t xml:space="preserve">dimensions: temporal, </w:t>
      </w:r>
      <w:r w:rsidR="0083604D" w:rsidRPr="00844B56">
        <w:rPr>
          <w:rFonts w:ascii="Times New Roman" w:hAnsi="Times New Roman" w:cs="Times New Roman"/>
          <w:bCs/>
          <w:color w:val="77206D" w:themeColor="accent5" w:themeShade="BF"/>
        </w:rPr>
        <w:t>geographical and sectoral.</w:t>
      </w:r>
      <w:r w:rsidR="00D51A19" w:rsidRPr="00844B56">
        <w:rPr>
          <w:rFonts w:ascii="Times New Roman" w:hAnsi="Times New Roman" w:cs="Times New Roman"/>
          <w:bCs/>
          <w:color w:val="77206D" w:themeColor="accent5" w:themeShade="BF"/>
        </w:rPr>
        <w:t xml:space="preserve"> </w:t>
      </w:r>
      <w:r w:rsidR="00F102D5" w:rsidRPr="00844B56">
        <w:rPr>
          <w:rFonts w:ascii="Times New Roman" w:hAnsi="Times New Roman" w:cs="Times New Roman"/>
          <w:bCs/>
          <w:color w:val="77206D" w:themeColor="accent5" w:themeShade="BF"/>
        </w:rPr>
        <w:t xml:space="preserve">For example, this evidence can </w:t>
      </w:r>
      <w:r w:rsidR="00A45479" w:rsidRPr="00844B56">
        <w:rPr>
          <w:rFonts w:ascii="Times New Roman" w:hAnsi="Times New Roman" w:cs="Times New Roman"/>
          <w:bCs/>
          <w:color w:val="77206D" w:themeColor="accent5" w:themeShade="BF"/>
        </w:rPr>
        <w:t>highlight</w:t>
      </w:r>
      <w:r w:rsidR="00D51A19" w:rsidRPr="00844B56">
        <w:rPr>
          <w:rFonts w:ascii="Times New Roman" w:hAnsi="Times New Roman" w:cs="Times New Roman"/>
          <w:bCs/>
          <w:color w:val="77206D" w:themeColor="accent5" w:themeShade="BF"/>
        </w:rPr>
        <w:t xml:space="preserve"> </w:t>
      </w:r>
      <w:r w:rsidR="00AB2CD7" w:rsidRPr="00844B56">
        <w:rPr>
          <w:rFonts w:ascii="Times New Roman" w:hAnsi="Times New Roman" w:cs="Times New Roman"/>
          <w:bCs/>
          <w:color w:val="77206D" w:themeColor="accent5" w:themeShade="BF"/>
        </w:rPr>
        <w:t>productivity disparities across regions,</w:t>
      </w:r>
      <w:r w:rsidR="008F5F66" w:rsidRPr="00844B56">
        <w:rPr>
          <w:rFonts w:ascii="Times New Roman" w:hAnsi="Times New Roman" w:cs="Times New Roman"/>
          <w:bCs/>
          <w:color w:val="77206D" w:themeColor="accent5" w:themeShade="BF"/>
        </w:rPr>
        <w:t xml:space="preserve"> </w:t>
      </w:r>
      <w:r w:rsidR="0090050D" w:rsidRPr="00844B56">
        <w:rPr>
          <w:rFonts w:ascii="Times New Roman" w:hAnsi="Times New Roman" w:cs="Times New Roman"/>
          <w:bCs/>
          <w:color w:val="77206D" w:themeColor="accent5" w:themeShade="BF"/>
        </w:rPr>
        <w:t>identify</w:t>
      </w:r>
      <w:r w:rsidR="00AB2CD7" w:rsidRPr="00844B56">
        <w:rPr>
          <w:rFonts w:ascii="Times New Roman" w:hAnsi="Times New Roman" w:cs="Times New Roman"/>
          <w:bCs/>
          <w:color w:val="77206D" w:themeColor="accent5" w:themeShade="BF"/>
        </w:rPr>
        <w:t xml:space="preserve"> </w:t>
      </w:r>
      <w:r w:rsidR="00601B57" w:rsidRPr="00844B56">
        <w:rPr>
          <w:rFonts w:ascii="Times New Roman" w:hAnsi="Times New Roman" w:cs="Times New Roman"/>
          <w:bCs/>
          <w:color w:val="77206D" w:themeColor="accent5" w:themeShade="BF"/>
        </w:rPr>
        <w:t xml:space="preserve">key productive sectors, and </w:t>
      </w:r>
      <w:r w:rsidR="00A45479" w:rsidRPr="00844B56">
        <w:rPr>
          <w:rFonts w:ascii="Times New Roman" w:hAnsi="Times New Roman" w:cs="Times New Roman"/>
          <w:bCs/>
          <w:color w:val="77206D" w:themeColor="accent5" w:themeShade="BF"/>
        </w:rPr>
        <w:t xml:space="preserve">quantify </w:t>
      </w:r>
      <w:r w:rsidR="00601B57" w:rsidRPr="00844B56">
        <w:rPr>
          <w:rFonts w:ascii="Times New Roman" w:hAnsi="Times New Roman" w:cs="Times New Roman"/>
          <w:bCs/>
          <w:color w:val="77206D" w:themeColor="accent5" w:themeShade="BF"/>
        </w:rPr>
        <w:t xml:space="preserve">the </w:t>
      </w:r>
      <w:r w:rsidR="008F5F66" w:rsidRPr="00844B56">
        <w:rPr>
          <w:rFonts w:ascii="Times New Roman" w:hAnsi="Times New Roman" w:cs="Times New Roman"/>
          <w:bCs/>
          <w:color w:val="77206D" w:themeColor="accent5" w:themeShade="BF"/>
        </w:rPr>
        <w:t>contribution to TFP growth from</w:t>
      </w:r>
      <w:r w:rsidR="00601B57" w:rsidRPr="00844B56">
        <w:rPr>
          <w:rFonts w:ascii="Times New Roman" w:hAnsi="Times New Roman" w:cs="Times New Roman"/>
          <w:bCs/>
          <w:color w:val="77206D" w:themeColor="accent5" w:themeShade="BF"/>
        </w:rPr>
        <w:t xml:space="preserve"> </w:t>
      </w:r>
      <w:r w:rsidR="008F5F66" w:rsidRPr="00844B56">
        <w:rPr>
          <w:rFonts w:ascii="Times New Roman" w:hAnsi="Times New Roman" w:cs="Times New Roman"/>
          <w:bCs/>
          <w:color w:val="77206D" w:themeColor="accent5" w:themeShade="BF"/>
        </w:rPr>
        <w:t>firms</w:t>
      </w:r>
      <w:r w:rsidR="00601B57" w:rsidRPr="00844B56">
        <w:rPr>
          <w:rFonts w:ascii="Times New Roman" w:hAnsi="Times New Roman" w:cs="Times New Roman"/>
          <w:bCs/>
          <w:color w:val="77206D" w:themeColor="accent5" w:themeShade="BF"/>
        </w:rPr>
        <w:t xml:space="preserve"> </w:t>
      </w:r>
      <w:r w:rsidR="008F5F66" w:rsidRPr="00844B56">
        <w:rPr>
          <w:rFonts w:ascii="Times New Roman" w:hAnsi="Times New Roman" w:cs="Times New Roman"/>
          <w:bCs/>
          <w:color w:val="77206D" w:themeColor="accent5" w:themeShade="BF"/>
        </w:rPr>
        <w:t>entering, surviving, and exiting the market</w:t>
      </w:r>
      <w:r w:rsidR="001965C0" w:rsidRPr="00844B56">
        <w:rPr>
          <w:rFonts w:ascii="Times New Roman" w:hAnsi="Times New Roman" w:cs="Times New Roman"/>
          <w:bCs/>
          <w:color w:val="77206D" w:themeColor="accent5" w:themeShade="BF"/>
        </w:rPr>
        <w:t xml:space="preserve">. </w:t>
      </w:r>
      <w:r w:rsidR="001F0E75" w:rsidRPr="00844B56">
        <w:rPr>
          <w:rFonts w:ascii="Times New Roman" w:hAnsi="Times New Roman" w:cs="Times New Roman"/>
          <w:bCs/>
          <w:color w:val="77206D" w:themeColor="accent5" w:themeShade="BF"/>
        </w:rPr>
        <w:t xml:space="preserve">This </w:t>
      </w:r>
      <w:r w:rsidR="00B54EC8" w:rsidRPr="00844B56">
        <w:rPr>
          <w:rFonts w:ascii="Times New Roman" w:hAnsi="Times New Roman" w:cs="Times New Roman"/>
          <w:bCs/>
          <w:color w:val="77206D" w:themeColor="accent5" w:themeShade="BF"/>
        </w:rPr>
        <w:t>analysis</w:t>
      </w:r>
      <w:r w:rsidR="001F0E75" w:rsidRPr="00844B56">
        <w:rPr>
          <w:rFonts w:ascii="Times New Roman" w:hAnsi="Times New Roman" w:cs="Times New Roman"/>
          <w:bCs/>
          <w:color w:val="77206D" w:themeColor="accent5" w:themeShade="BF"/>
        </w:rPr>
        <w:t xml:space="preserve"> aims </w:t>
      </w:r>
      <w:r w:rsidR="00C068B4" w:rsidRPr="00844B56">
        <w:rPr>
          <w:rFonts w:ascii="Times New Roman" w:hAnsi="Times New Roman" w:cs="Times New Roman"/>
          <w:bCs/>
          <w:color w:val="77206D" w:themeColor="accent5" w:themeShade="BF"/>
        </w:rPr>
        <w:t>to support the design and implementation of industrial strategies oriented towards improving productivity in Mexico</w:t>
      </w:r>
    </w:p>
    <w:p w14:paraId="71D871EB" w14:textId="77777777" w:rsidR="004809A8" w:rsidRPr="004C778D" w:rsidRDefault="004809A8" w:rsidP="00C939D1">
      <w:pPr>
        <w:spacing w:after="33" w:line="266" w:lineRule="auto"/>
        <w:jc w:val="both"/>
        <w:rPr>
          <w:rFonts w:ascii="Times New Roman" w:hAnsi="Times New Roman" w:cs="Times New Roman"/>
          <w:bCs/>
        </w:rPr>
      </w:pPr>
    </w:p>
    <w:p w14:paraId="4BE8EAF7" w14:textId="0F2AF651" w:rsidR="00300A79"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The phrase “TFP from micro to macro” does not make sense. I think I know what the author means but this is poor writing. We can measure TFP at various levels of aggregation. </w:t>
      </w:r>
      <w:proofErr w:type="spellStart"/>
      <w:r w:rsidRPr="004C778D">
        <w:rPr>
          <w:rFonts w:ascii="Times New Roman" w:hAnsi="Times New Roman" w:cs="Times New Roman"/>
          <w:bCs/>
        </w:rPr>
        <w:t>Microdatasets</w:t>
      </w:r>
      <w:proofErr w:type="spellEnd"/>
      <w:r w:rsidRPr="004C778D">
        <w:rPr>
          <w:rFonts w:ascii="Times New Roman" w:hAnsi="Times New Roman" w:cs="Times New Roman"/>
          <w:bCs/>
        </w:rPr>
        <w:t xml:space="preserve"> are useful because they are consistent with our economic models, and because the data can be used in decompositions or models to determine aggregate TFP.  </w:t>
      </w:r>
    </w:p>
    <w:p w14:paraId="4E9FC496" w14:textId="77777777" w:rsidR="00300A79" w:rsidRPr="004C778D" w:rsidRDefault="00300A79" w:rsidP="00C939D1">
      <w:pPr>
        <w:spacing w:after="33" w:line="266" w:lineRule="auto"/>
        <w:jc w:val="both"/>
        <w:rPr>
          <w:rFonts w:ascii="Times New Roman" w:hAnsi="Times New Roman" w:cs="Times New Roman"/>
          <w:bCs/>
        </w:rPr>
      </w:pPr>
    </w:p>
    <w:p w14:paraId="09B7335E" w14:textId="61C479EC" w:rsidR="00A653DA" w:rsidRPr="00844B56" w:rsidRDefault="00FA4E1B"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has addressed </w:t>
      </w:r>
      <w:r w:rsidR="00511A3B" w:rsidRPr="00844B56">
        <w:rPr>
          <w:rFonts w:ascii="Times New Roman" w:hAnsi="Times New Roman" w:cs="Times New Roman"/>
          <w:bCs/>
          <w:color w:val="77206D" w:themeColor="accent5" w:themeShade="BF"/>
        </w:rPr>
        <w:t xml:space="preserve">the following comment </w:t>
      </w:r>
      <w:proofErr w:type="gramStart"/>
      <w:r w:rsidR="00BC1906" w:rsidRPr="00844B56">
        <w:rPr>
          <w:rFonts w:ascii="Times New Roman" w:hAnsi="Times New Roman" w:cs="Times New Roman"/>
          <w:bCs/>
          <w:color w:val="77206D" w:themeColor="accent5" w:themeShade="BF"/>
        </w:rPr>
        <w:t>“”TFP</w:t>
      </w:r>
      <w:proofErr w:type="gramEnd"/>
      <w:r w:rsidR="00BC1906" w:rsidRPr="00844B56">
        <w:rPr>
          <w:rFonts w:ascii="Times New Roman" w:hAnsi="Times New Roman" w:cs="Times New Roman"/>
          <w:bCs/>
          <w:color w:val="77206D" w:themeColor="accent5" w:themeShade="BF"/>
        </w:rPr>
        <w:t xml:space="preserve"> from micro to macro” does not make sense. I think I know what the author means but this is poor writing. We can measure TFP at various levels of aggregation.</w:t>
      </w:r>
      <w:r w:rsidR="00A653DA" w:rsidRPr="00844B56">
        <w:rPr>
          <w:rFonts w:ascii="Times New Roman" w:hAnsi="Times New Roman" w:cs="Times New Roman"/>
          <w:bCs/>
          <w:color w:val="77206D" w:themeColor="accent5" w:themeShade="BF"/>
        </w:rPr>
        <w:t>”</w:t>
      </w:r>
      <w:r w:rsidR="00BC1906" w:rsidRPr="00844B56">
        <w:rPr>
          <w:rFonts w:ascii="Times New Roman" w:hAnsi="Times New Roman" w:cs="Times New Roman"/>
          <w:bCs/>
          <w:color w:val="77206D" w:themeColor="accent5" w:themeShade="BF"/>
        </w:rPr>
        <w:t xml:space="preserve"> </w:t>
      </w:r>
      <w:r w:rsidR="00A653DA" w:rsidRPr="00844B56">
        <w:rPr>
          <w:rFonts w:ascii="Times New Roman" w:hAnsi="Times New Roman" w:cs="Times New Roman"/>
          <w:bCs/>
          <w:color w:val="77206D" w:themeColor="accent5" w:themeShade="BF"/>
        </w:rPr>
        <w:t xml:space="preserve">The </w:t>
      </w:r>
      <w:r w:rsidR="001A1AE8" w:rsidRPr="00844B56">
        <w:rPr>
          <w:rFonts w:ascii="Times New Roman" w:hAnsi="Times New Roman" w:cs="Times New Roman"/>
          <w:bCs/>
          <w:color w:val="77206D" w:themeColor="accent5" w:themeShade="BF"/>
        </w:rPr>
        <w:t>considerations</w:t>
      </w:r>
      <w:r w:rsidR="00A653DA" w:rsidRPr="00844B56">
        <w:rPr>
          <w:rFonts w:ascii="Times New Roman" w:hAnsi="Times New Roman" w:cs="Times New Roman"/>
          <w:bCs/>
          <w:color w:val="77206D" w:themeColor="accent5" w:themeShade="BF"/>
        </w:rPr>
        <w:t xml:space="preserve"> </w:t>
      </w:r>
      <w:r w:rsidR="001A1AE8" w:rsidRPr="00844B56">
        <w:rPr>
          <w:rFonts w:ascii="Times New Roman" w:hAnsi="Times New Roman" w:cs="Times New Roman"/>
          <w:bCs/>
          <w:color w:val="77206D" w:themeColor="accent5" w:themeShade="BF"/>
        </w:rPr>
        <w:t>are</w:t>
      </w:r>
      <w:r w:rsidR="00A653DA" w:rsidRPr="00844B56">
        <w:rPr>
          <w:rFonts w:ascii="Times New Roman" w:hAnsi="Times New Roman" w:cs="Times New Roman"/>
          <w:bCs/>
          <w:color w:val="77206D" w:themeColor="accent5" w:themeShade="BF"/>
        </w:rPr>
        <w:t xml:space="preserve"> the following:</w:t>
      </w:r>
    </w:p>
    <w:p w14:paraId="76E889FF" w14:textId="0419CA3F" w:rsidR="009F44A7" w:rsidRPr="00844B56" w:rsidRDefault="007E1CF3" w:rsidP="00C939D1">
      <w:pPr>
        <w:pStyle w:val="ListParagraph"/>
        <w:numPr>
          <w:ilvl w:val="0"/>
          <w:numId w:val="9"/>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w:t>
      </w:r>
      <w:r w:rsidR="00F8136A" w:rsidRPr="00844B56">
        <w:rPr>
          <w:rFonts w:ascii="Times New Roman" w:hAnsi="Times New Roman" w:cs="Times New Roman"/>
          <w:bCs/>
          <w:color w:val="77206D" w:themeColor="accent5" w:themeShade="BF"/>
        </w:rPr>
        <w:t xml:space="preserve">clarifies </w:t>
      </w:r>
      <w:r w:rsidR="00AA40ED" w:rsidRPr="00844B56">
        <w:rPr>
          <w:rFonts w:ascii="Times New Roman" w:hAnsi="Times New Roman" w:cs="Times New Roman"/>
          <w:bCs/>
          <w:color w:val="77206D" w:themeColor="accent5" w:themeShade="BF"/>
        </w:rPr>
        <w:t>the concept of TFP from micro to macro in the first two lines of the abstract in th</w:t>
      </w:r>
      <w:r w:rsidR="001364D7" w:rsidRPr="00844B56">
        <w:rPr>
          <w:rFonts w:ascii="Times New Roman" w:hAnsi="Times New Roman" w:cs="Times New Roman"/>
          <w:bCs/>
          <w:color w:val="77206D" w:themeColor="accent5" w:themeShade="BF"/>
        </w:rPr>
        <w:t>is</w:t>
      </w:r>
      <w:r w:rsidR="00AA40ED" w:rsidRPr="00844B56">
        <w:rPr>
          <w:rFonts w:ascii="Times New Roman" w:hAnsi="Times New Roman" w:cs="Times New Roman"/>
          <w:bCs/>
          <w:color w:val="77206D" w:themeColor="accent5" w:themeShade="BF"/>
        </w:rPr>
        <w:t xml:space="preserve"> manuscript</w:t>
      </w:r>
      <w:r w:rsidR="00F8136A" w:rsidRPr="00844B56">
        <w:rPr>
          <w:rFonts w:ascii="Times New Roman" w:hAnsi="Times New Roman" w:cs="Times New Roman"/>
          <w:bCs/>
          <w:color w:val="77206D" w:themeColor="accent5" w:themeShade="BF"/>
        </w:rPr>
        <w:t xml:space="preserve">. TFP from micro to macro refers to </w:t>
      </w:r>
      <w:r w:rsidR="00242726" w:rsidRPr="00844B56">
        <w:rPr>
          <w:rFonts w:ascii="Times New Roman" w:hAnsi="Times New Roman" w:cs="Times New Roman"/>
          <w:bCs/>
          <w:color w:val="77206D" w:themeColor="accent5" w:themeShade="BF"/>
        </w:rPr>
        <w:t xml:space="preserve">using TFP at the establishment level and </w:t>
      </w:r>
      <w:r w:rsidR="001364D7" w:rsidRPr="00844B56">
        <w:rPr>
          <w:rFonts w:ascii="Times New Roman" w:hAnsi="Times New Roman" w:cs="Times New Roman"/>
          <w:bCs/>
          <w:color w:val="77206D" w:themeColor="accent5" w:themeShade="BF"/>
        </w:rPr>
        <w:t>transitioning</w:t>
      </w:r>
      <w:r w:rsidR="00242726" w:rsidRPr="00844B56">
        <w:rPr>
          <w:rFonts w:ascii="Times New Roman" w:hAnsi="Times New Roman" w:cs="Times New Roman"/>
          <w:bCs/>
          <w:color w:val="77206D" w:themeColor="accent5" w:themeShade="BF"/>
        </w:rPr>
        <w:t xml:space="preserve"> to aggregate TFP at different levels.</w:t>
      </w:r>
    </w:p>
    <w:p w14:paraId="0CF7A376" w14:textId="20E90CE7" w:rsidR="00300A79" w:rsidRPr="00844B56" w:rsidRDefault="001364D7" w:rsidP="00C939D1">
      <w:pPr>
        <w:pStyle w:val="ListParagraph"/>
        <w:numPr>
          <w:ilvl w:val="0"/>
          <w:numId w:val="9"/>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The author</w:t>
      </w:r>
      <w:r w:rsidR="00C31B05" w:rsidRPr="00844B56">
        <w:rPr>
          <w:rFonts w:ascii="Times New Roman" w:hAnsi="Times New Roman" w:cs="Times New Roman"/>
          <w:bCs/>
          <w:color w:val="77206D" w:themeColor="accent5" w:themeShade="BF"/>
        </w:rPr>
        <w:t xml:space="preserve"> is not the first </w:t>
      </w:r>
      <w:r w:rsidR="00FB7E04" w:rsidRPr="00844B56">
        <w:rPr>
          <w:rFonts w:ascii="Times New Roman" w:hAnsi="Times New Roman" w:cs="Times New Roman"/>
          <w:bCs/>
          <w:color w:val="77206D" w:themeColor="accent5" w:themeShade="BF"/>
        </w:rPr>
        <w:t>to use</w:t>
      </w:r>
      <w:r w:rsidR="00C31B05" w:rsidRPr="00844B56">
        <w:rPr>
          <w:rFonts w:ascii="Times New Roman" w:hAnsi="Times New Roman" w:cs="Times New Roman"/>
          <w:bCs/>
          <w:color w:val="77206D" w:themeColor="accent5" w:themeShade="BF"/>
        </w:rPr>
        <w:t xml:space="preserve"> this term</w:t>
      </w:r>
      <w:r w:rsidR="003F76D2" w:rsidRPr="00844B56">
        <w:rPr>
          <w:rFonts w:ascii="Times New Roman" w:hAnsi="Times New Roman" w:cs="Times New Roman"/>
          <w:bCs/>
          <w:color w:val="77206D" w:themeColor="accent5" w:themeShade="BF"/>
        </w:rPr>
        <w:t>, which has become more popular in the recent productivity literature</w:t>
      </w:r>
      <w:r w:rsidR="00C31B05" w:rsidRPr="00844B56">
        <w:rPr>
          <w:rFonts w:ascii="Times New Roman" w:hAnsi="Times New Roman" w:cs="Times New Roman"/>
          <w:bCs/>
          <w:color w:val="77206D" w:themeColor="accent5" w:themeShade="BF"/>
        </w:rPr>
        <w:t xml:space="preserve">. </w:t>
      </w:r>
      <w:r w:rsidR="003F76D2" w:rsidRPr="00844B56">
        <w:rPr>
          <w:rFonts w:ascii="Times New Roman" w:hAnsi="Times New Roman" w:cs="Times New Roman"/>
          <w:bCs/>
          <w:color w:val="77206D" w:themeColor="accent5" w:themeShade="BF"/>
        </w:rPr>
        <w:t xml:space="preserve">For instance, </w:t>
      </w:r>
      <w:sdt>
        <w:sdtPr>
          <w:rPr>
            <w:rFonts w:ascii="Times New Roman" w:hAnsi="Times New Roman" w:cs="Times New Roman"/>
            <w:bCs/>
            <w:color w:val="77206D"/>
          </w:rPr>
          <w:tag w:val="MENDELEY_CITATION_v3_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"/>
          <w:id w:val="-427343997"/>
          <w:placeholder>
            <w:docPart w:val="DefaultPlaceholder_-1854013440"/>
          </w:placeholder>
        </w:sdtPr>
        <w:sdtContent>
          <w:r w:rsidR="003C0A51" w:rsidRPr="003C0A51">
            <w:rPr>
              <w:rFonts w:ascii="Times New Roman" w:eastAsia="Times New Roman" w:hAnsi="Times New Roman" w:cs="Times New Roman"/>
              <w:color w:val="77206D"/>
            </w:rPr>
            <w:t>Dias &amp; Robalo (2021)</w:t>
          </w:r>
        </w:sdtContent>
      </w:sdt>
      <w:r w:rsidR="004D4759" w:rsidRPr="000810CF">
        <w:rPr>
          <w:rFonts w:ascii="Times New Roman" w:hAnsi="Times New Roman" w:cs="Times New Roman"/>
          <w:bCs/>
          <w:color w:val="77206D" w:themeColor="accent5" w:themeShade="BF"/>
        </w:rPr>
        <w:t xml:space="preserve"> </w:t>
      </w:r>
      <w:r w:rsidR="00C31B05" w:rsidRPr="00844B56">
        <w:rPr>
          <w:rFonts w:ascii="Times New Roman" w:hAnsi="Times New Roman" w:cs="Times New Roman"/>
          <w:bCs/>
          <w:color w:val="77206D" w:themeColor="accent5" w:themeShade="BF"/>
        </w:rPr>
        <w:t xml:space="preserve"> and </w:t>
      </w:r>
      <w:sdt>
        <w:sdtPr>
          <w:rPr>
            <w:rFonts w:ascii="Times New Roman" w:hAnsi="Times New Roman" w:cs="Times New Roman"/>
            <w:bCs/>
            <w:color w:val="77206D"/>
          </w:rPr>
          <w:tag w:val="MENDELEY_CITATION_v3_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"/>
          <w:id w:val="875280527"/>
          <w:placeholder>
            <w:docPart w:val="DefaultPlaceholder_-1854013440"/>
          </w:placeholder>
        </w:sdtPr>
        <w:sdtContent>
          <w:r w:rsidR="003C0A51" w:rsidRPr="003C0A51">
            <w:rPr>
              <w:rFonts w:ascii="Times New Roman" w:eastAsia="Times New Roman" w:hAnsi="Times New Roman" w:cs="Times New Roman"/>
              <w:color w:val="77206D"/>
            </w:rPr>
            <w:t>Kauma &amp; Mion (2026)</w:t>
          </w:r>
        </w:sdtContent>
      </w:sdt>
      <w:r w:rsidR="00AF769E" w:rsidRPr="000810CF">
        <w:rPr>
          <w:rFonts w:ascii="Times New Roman" w:hAnsi="Times New Roman" w:cs="Times New Roman"/>
          <w:bCs/>
          <w:color w:val="77206D" w:themeColor="accent5" w:themeShade="BF"/>
        </w:rPr>
        <w:t xml:space="preserve"> </w:t>
      </w:r>
      <w:r w:rsidR="00FB7E04" w:rsidRPr="00844B56">
        <w:rPr>
          <w:rFonts w:ascii="Times New Roman" w:hAnsi="Times New Roman" w:cs="Times New Roman"/>
          <w:bCs/>
          <w:color w:val="77206D" w:themeColor="accent5" w:themeShade="BF"/>
        </w:rPr>
        <w:t xml:space="preserve"> use </w:t>
      </w:r>
      <w:r w:rsidR="00FB7E04" w:rsidRPr="00844B56">
        <w:rPr>
          <w:rFonts w:ascii="Times New Roman" w:hAnsi="Times New Roman" w:cs="Times New Roman"/>
          <w:bCs/>
          <w:color w:val="77206D" w:themeColor="accent5" w:themeShade="BF"/>
        </w:rPr>
        <w:lastRenderedPageBreak/>
        <w:t xml:space="preserve">the term </w:t>
      </w:r>
      <w:r w:rsidR="003F76D2" w:rsidRPr="00844B56">
        <w:rPr>
          <w:rFonts w:ascii="Times New Roman" w:hAnsi="Times New Roman" w:cs="Times New Roman"/>
          <w:bCs/>
          <w:color w:val="77206D" w:themeColor="accent5" w:themeShade="BF"/>
        </w:rPr>
        <w:t xml:space="preserve">“from </w:t>
      </w:r>
      <w:r w:rsidR="0075782E" w:rsidRPr="00844B56">
        <w:rPr>
          <w:rFonts w:ascii="Times New Roman" w:hAnsi="Times New Roman" w:cs="Times New Roman"/>
          <w:bCs/>
          <w:color w:val="77206D" w:themeColor="accent5" w:themeShade="BF"/>
        </w:rPr>
        <w:t xml:space="preserve">(the) </w:t>
      </w:r>
      <w:r w:rsidR="003F76D2" w:rsidRPr="00844B56">
        <w:rPr>
          <w:rFonts w:ascii="Times New Roman" w:hAnsi="Times New Roman" w:cs="Times New Roman"/>
          <w:bCs/>
          <w:color w:val="77206D" w:themeColor="accent5" w:themeShade="BF"/>
        </w:rPr>
        <w:t xml:space="preserve">micro to </w:t>
      </w:r>
      <w:r w:rsidR="0075782E" w:rsidRPr="00844B56">
        <w:rPr>
          <w:rFonts w:ascii="Times New Roman" w:hAnsi="Times New Roman" w:cs="Times New Roman"/>
          <w:bCs/>
          <w:color w:val="77206D" w:themeColor="accent5" w:themeShade="BF"/>
        </w:rPr>
        <w:t>(the</w:t>
      </w:r>
      <w:r w:rsidR="00AF769E">
        <w:rPr>
          <w:rFonts w:ascii="Times New Roman" w:hAnsi="Times New Roman" w:cs="Times New Roman"/>
          <w:bCs/>
          <w:color w:val="77206D" w:themeColor="accent5" w:themeShade="BF"/>
        </w:rPr>
        <w:t>)</w:t>
      </w:r>
      <w:r w:rsidR="0075782E" w:rsidRPr="00844B56">
        <w:rPr>
          <w:rFonts w:ascii="Times New Roman" w:hAnsi="Times New Roman" w:cs="Times New Roman"/>
          <w:bCs/>
          <w:color w:val="77206D" w:themeColor="accent5" w:themeShade="BF"/>
        </w:rPr>
        <w:t xml:space="preserve"> macro” in the </w:t>
      </w:r>
      <w:r w:rsidR="00363E58" w:rsidRPr="00844B56">
        <w:rPr>
          <w:rFonts w:ascii="Times New Roman" w:hAnsi="Times New Roman" w:cs="Times New Roman"/>
          <w:bCs/>
          <w:color w:val="77206D" w:themeColor="accent5" w:themeShade="BF"/>
        </w:rPr>
        <w:t>titles of their articles.</w:t>
      </w:r>
      <w:r w:rsidR="001A1AE8" w:rsidRPr="00844B56">
        <w:rPr>
          <w:rFonts w:ascii="Times New Roman" w:hAnsi="Times New Roman" w:cs="Times New Roman"/>
          <w:bCs/>
          <w:color w:val="77206D" w:themeColor="accent5" w:themeShade="BF"/>
        </w:rPr>
        <w:t xml:space="preserve"> The author decided to keep the concept </w:t>
      </w:r>
      <w:r w:rsidR="00B4089B" w:rsidRPr="00844B56">
        <w:rPr>
          <w:rFonts w:ascii="Times New Roman" w:hAnsi="Times New Roman" w:cs="Times New Roman"/>
          <w:bCs/>
          <w:color w:val="77206D" w:themeColor="accent5" w:themeShade="BF"/>
        </w:rPr>
        <w:t xml:space="preserve">of aggregate TFP from micro to macro </w:t>
      </w:r>
      <w:r w:rsidR="00BA198D" w:rsidRPr="00844B56">
        <w:rPr>
          <w:rFonts w:ascii="Times New Roman" w:hAnsi="Times New Roman" w:cs="Times New Roman"/>
          <w:bCs/>
          <w:color w:val="77206D" w:themeColor="accent5" w:themeShade="BF"/>
        </w:rPr>
        <w:t>in the title and in parts of the text, without overusing it</w:t>
      </w:r>
      <w:r w:rsidR="00B4089B" w:rsidRPr="00844B56">
        <w:rPr>
          <w:rFonts w:ascii="Times New Roman" w:hAnsi="Times New Roman" w:cs="Times New Roman"/>
          <w:bCs/>
          <w:color w:val="77206D" w:themeColor="accent5" w:themeShade="BF"/>
        </w:rPr>
        <w:t>.</w:t>
      </w:r>
    </w:p>
    <w:p w14:paraId="09F9B6DD" w14:textId="77777777" w:rsidR="00300A79" w:rsidRPr="004C778D" w:rsidRDefault="00300A79" w:rsidP="00C939D1">
      <w:pPr>
        <w:spacing w:after="33" w:line="266" w:lineRule="auto"/>
        <w:jc w:val="both"/>
        <w:rPr>
          <w:rFonts w:ascii="Times New Roman" w:hAnsi="Times New Roman" w:cs="Times New Roman"/>
          <w:bCs/>
        </w:rPr>
      </w:pPr>
    </w:p>
    <w:p w14:paraId="4F175376"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NCT/NTT/NEG: We can use various labels, but the underlying story in all these explanations is that resources (should) flow to high productivity establishments/firms in a well-functioning market economy with limited frictions. Establishments/firms make optimizing decisions and as a result they grow. Policy may influence this process by creating incentives one way or another.  </w:t>
      </w:r>
    </w:p>
    <w:p w14:paraId="5FFB018A" w14:textId="77777777" w:rsidR="000E180D" w:rsidRPr="004C778D" w:rsidRDefault="000E180D" w:rsidP="00C939D1">
      <w:pPr>
        <w:spacing w:after="33" w:line="266" w:lineRule="auto"/>
        <w:jc w:val="both"/>
        <w:rPr>
          <w:rFonts w:ascii="Times New Roman" w:hAnsi="Times New Roman" w:cs="Times New Roman"/>
          <w:bCs/>
        </w:rPr>
      </w:pPr>
    </w:p>
    <w:p w14:paraId="6ED1AA91" w14:textId="412D1B65" w:rsidR="00FE5E4B" w:rsidRDefault="00EB55AB" w:rsidP="001579DA">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has </w:t>
      </w:r>
      <w:r w:rsidR="00120219" w:rsidRPr="00844B56">
        <w:rPr>
          <w:rFonts w:ascii="Times New Roman" w:hAnsi="Times New Roman" w:cs="Times New Roman"/>
          <w:bCs/>
          <w:color w:val="77206D" w:themeColor="accent5" w:themeShade="BF"/>
        </w:rPr>
        <w:t xml:space="preserve">included the referee’s </w:t>
      </w:r>
      <w:r w:rsidR="00046AA5" w:rsidRPr="00844B56">
        <w:rPr>
          <w:rFonts w:ascii="Times New Roman" w:hAnsi="Times New Roman" w:cs="Times New Roman"/>
          <w:bCs/>
          <w:color w:val="77206D" w:themeColor="accent5" w:themeShade="BF"/>
        </w:rPr>
        <w:t>explanation</w:t>
      </w:r>
      <w:r w:rsidR="0076476B" w:rsidRPr="00844B56">
        <w:rPr>
          <w:rFonts w:ascii="Times New Roman" w:hAnsi="Times New Roman" w:cs="Times New Roman"/>
          <w:bCs/>
          <w:color w:val="77206D" w:themeColor="accent5" w:themeShade="BF"/>
        </w:rPr>
        <w:t xml:space="preserve"> </w:t>
      </w:r>
      <w:r w:rsidR="00391D7A" w:rsidRPr="00844B56">
        <w:rPr>
          <w:rFonts w:ascii="Times New Roman" w:hAnsi="Times New Roman" w:cs="Times New Roman"/>
          <w:bCs/>
          <w:color w:val="77206D" w:themeColor="accent5" w:themeShade="BF"/>
        </w:rPr>
        <w:t>on</w:t>
      </w:r>
      <w:r w:rsidR="0076476B" w:rsidRPr="00844B56">
        <w:rPr>
          <w:rFonts w:ascii="Times New Roman" w:hAnsi="Times New Roman" w:cs="Times New Roman"/>
          <w:bCs/>
          <w:color w:val="77206D" w:themeColor="accent5" w:themeShade="BF"/>
        </w:rPr>
        <w:t xml:space="preserve"> page 2</w:t>
      </w:r>
      <w:r w:rsidR="00E53300" w:rsidRPr="00844B56">
        <w:rPr>
          <w:rFonts w:ascii="Times New Roman" w:hAnsi="Times New Roman" w:cs="Times New Roman"/>
          <w:bCs/>
          <w:color w:val="77206D" w:themeColor="accent5" w:themeShade="BF"/>
        </w:rPr>
        <w:t>.</w:t>
      </w:r>
      <w:r w:rsidR="00120219" w:rsidRPr="00844B56">
        <w:rPr>
          <w:rFonts w:ascii="Times New Roman" w:hAnsi="Times New Roman" w:cs="Times New Roman"/>
          <w:bCs/>
          <w:color w:val="77206D" w:themeColor="accent5" w:themeShade="BF"/>
        </w:rPr>
        <w:t xml:space="preserve"> </w:t>
      </w:r>
      <w:r w:rsidR="00046AA5" w:rsidRPr="00844B56">
        <w:rPr>
          <w:rFonts w:ascii="Times New Roman" w:hAnsi="Times New Roman" w:cs="Times New Roman"/>
          <w:bCs/>
          <w:color w:val="77206D" w:themeColor="accent5" w:themeShade="BF"/>
        </w:rPr>
        <w:t>T</w:t>
      </w:r>
      <w:r w:rsidR="00751FA5" w:rsidRPr="00844B56">
        <w:rPr>
          <w:rFonts w:ascii="Times New Roman" w:hAnsi="Times New Roman" w:cs="Times New Roman"/>
          <w:bCs/>
          <w:color w:val="77206D" w:themeColor="accent5" w:themeShade="BF"/>
        </w:rPr>
        <w:t>h</w:t>
      </w:r>
      <w:r w:rsidR="00046AA5" w:rsidRPr="00844B56">
        <w:rPr>
          <w:rFonts w:ascii="Times New Roman" w:hAnsi="Times New Roman" w:cs="Times New Roman"/>
          <w:bCs/>
          <w:color w:val="77206D" w:themeColor="accent5" w:themeShade="BF"/>
        </w:rPr>
        <w:t>is</w:t>
      </w:r>
      <w:r w:rsidR="00751FA5" w:rsidRPr="00844B56">
        <w:rPr>
          <w:rFonts w:ascii="Times New Roman" w:hAnsi="Times New Roman" w:cs="Times New Roman"/>
          <w:bCs/>
          <w:color w:val="77206D" w:themeColor="accent5" w:themeShade="BF"/>
        </w:rPr>
        <w:t xml:space="preserve"> </w:t>
      </w:r>
      <w:r w:rsidR="00E53300" w:rsidRPr="00844B56">
        <w:rPr>
          <w:rFonts w:ascii="Times New Roman" w:hAnsi="Times New Roman" w:cs="Times New Roman"/>
          <w:bCs/>
          <w:color w:val="77206D" w:themeColor="accent5" w:themeShade="BF"/>
        </w:rPr>
        <w:t>explanation</w:t>
      </w:r>
      <w:r w:rsidR="00751FA5" w:rsidRPr="00844B56">
        <w:rPr>
          <w:rFonts w:ascii="Times New Roman" w:hAnsi="Times New Roman" w:cs="Times New Roman"/>
          <w:bCs/>
          <w:color w:val="77206D" w:themeColor="accent5" w:themeShade="BF"/>
        </w:rPr>
        <w:t xml:space="preserve"> </w:t>
      </w:r>
      <w:r w:rsidR="00046AA5" w:rsidRPr="00844B56">
        <w:rPr>
          <w:rFonts w:ascii="Times New Roman" w:hAnsi="Times New Roman" w:cs="Times New Roman"/>
          <w:bCs/>
          <w:color w:val="77206D" w:themeColor="accent5" w:themeShade="BF"/>
        </w:rPr>
        <w:t xml:space="preserve">clarifies </w:t>
      </w:r>
      <w:r w:rsidR="00751FA5" w:rsidRPr="00844B56">
        <w:rPr>
          <w:rFonts w:ascii="Times New Roman" w:hAnsi="Times New Roman" w:cs="Times New Roman"/>
          <w:bCs/>
          <w:color w:val="77206D" w:themeColor="accent5" w:themeShade="BF"/>
        </w:rPr>
        <w:t>why some geographical locations are more productive than others</w:t>
      </w:r>
      <w:r w:rsidR="00046AA5" w:rsidRPr="00844B56">
        <w:rPr>
          <w:rFonts w:ascii="Times New Roman" w:hAnsi="Times New Roman" w:cs="Times New Roman"/>
          <w:bCs/>
          <w:color w:val="77206D" w:themeColor="accent5" w:themeShade="BF"/>
        </w:rPr>
        <w:t xml:space="preserve">. </w:t>
      </w:r>
      <w:r w:rsidR="00003A6A" w:rsidRPr="00844B56">
        <w:rPr>
          <w:rFonts w:ascii="Times New Roman" w:hAnsi="Times New Roman" w:cs="Times New Roman"/>
          <w:bCs/>
          <w:color w:val="77206D" w:themeColor="accent5" w:themeShade="BF"/>
        </w:rPr>
        <w:t>In some locations</w:t>
      </w:r>
      <w:r w:rsidR="00835456" w:rsidRPr="00844B56">
        <w:rPr>
          <w:rFonts w:ascii="Times New Roman" w:hAnsi="Times New Roman" w:cs="Times New Roman"/>
          <w:bCs/>
          <w:color w:val="77206D" w:themeColor="accent5" w:themeShade="BF"/>
        </w:rPr>
        <w:t>,</w:t>
      </w:r>
      <w:r w:rsidR="00003A6A" w:rsidRPr="00844B56">
        <w:rPr>
          <w:rFonts w:ascii="Times New Roman" w:hAnsi="Times New Roman" w:cs="Times New Roman"/>
          <w:bCs/>
          <w:color w:val="77206D" w:themeColor="accent5" w:themeShade="BF"/>
        </w:rPr>
        <w:t xml:space="preserve"> with a well-functioning economy and less friction, resources are reallocated to more productive producers; they survive in the market</w:t>
      </w:r>
      <w:r w:rsidR="00391D7A" w:rsidRPr="00844B56">
        <w:rPr>
          <w:rFonts w:ascii="Times New Roman" w:hAnsi="Times New Roman" w:cs="Times New Roman"/>
          <w:bCs/>
          <w:color w:val="77206D" w:themeColor="accent5" w:themeShade="BF"/>
        </w:rPr>
        <w:t xml:space="preserve"> and subsequently grow</w:t>
      </w:r>
      <w:r w:rsidR="001905D1" w:rsidRPr="00844B56">
        <w:rPr>
          <w:rFonts w:ascii="Times New Roman" w:hAnsi="Times New Roman" w:cs="Times New Roman"/>
          <w:bCs/>
          <w:color w:val="77206D" w:themeColor="accent5" w:themeShade="BF"/>
        </w:rPr>
        <w:t xml:space="preserve">. This </w:t>
      </w:r>
      <w:r w:rsidR="00003A6A" w:rsidRPr="00844B56">
        <w:rPr>
          <w:rFonts w:ascii="Times New Roman" w:hAnsi="Times New Roman" w:cs="Times New Roman"/>
          <w:bCs/>
          <w:color w:val="77206D" w:themeColor="accent5" w:themeShade="BF"/>
        </w:rPr>
        <w:t>explanation</w:t>
      </w:r>
      <w:r w:rsidR="001905D1" w:rsidRPr="00844B56">
        <w:rPr>
          <w:rFonts w:ascii="Times New Roman" w:hAnsi="Times New Roman" w:cs="Times New Roman"/>
          <w:bCs/>
          <w:color w:val="77206D" w:themeColor="accent5" w:themeShade="BF"/>
        </w:rPr>
        <w:t xml:space="preserve"> is also included (and referred</w:t>
      </w:r>
      <w:r w:rsidR="00003A6A" w:rsidRPr="00844B56">
        <w:rPr>
          <w:rFonts w:ascii="Times New Roman" w:hAnsi="Times New Roman" w:cs="Times New Roman"/>
          <w:bCs/>
          <w:color w:val="77206D" w:themeColor="accent5" w:themeShade="BF"/>
        </w:rPr>
        <w:t xml:space="preserve"> to</w:t>
      </w:r>
      <w:r w:rsidR="001905D1" w:rsidRPr="00844B56">
        <w:rPr>
          <w:rFonts w:ascii="Times New Roman" w:hAnsi="Times New Roman" w:cs="Times New Roman"/>
          <w:bCs/>
          <w:color w:val="77206D" w:themeColor="accent5" w:themeShade="BF"/>
        </w:rPr>
        <w:t xml:space="preserve">) in the </w:t>
      </w:r>
      <w:r w:rsidR="003F4491" w:rsidRPr="00844B56">
        <w:rPr>
          <w:rFonts w:ascii="Times New Roman" w:hAnsi="Times New Roman" w:cs="Times New Roman"/>
          <w:bCs/>
          <w:color w:val="77206D" w:themeColor="accent5" w:themeShade="BF"/>
        </w:rPr>
        <w:t xml:space="preserve">early </w:t>
      </w:r>
      <w:r w:rsidR="00003A6A" w:rsidRPr="00844B56">
        <w:rPr>
          <w:rFonts w:ascii="Times New Roman" w:hAnsi="Times New Roman" w:cs="Times New Roman"/>
          <w:bCs/>
          <w:color w:val="77206D" w:themeColor="accent5" w:themeShade="BF"/>
        </w:rPr>
        <w:t xml:space="preserve">theoretical models </w:t>
      </w:r>
      <w:r w:rsidR="00CC61EE">
        <w:rPr>
          <w:rFonts w:ascii="Times New Roman" w:hAnsi="Times New Roman" w:cs="Times New Roman"/>
          <w:bCs/>
          <w:color w:val="77206D" w:themeColor="accent5" w:themeShade="BF"/>
        </w:rPr>
        <w:t>of</w:t>
      </w:r>
      <w:r w:rsidR="001579DA">
        <w:rPr>
          <w:rFonts w:ascii="Times New Roman" w:hAnsi="Times New Roman" w:cs="Times New Roman"/>
          <w:bCs/>
          <w:color w:val="77206D" w:themeColor="accent5" w:themeShade="BF"/>
        </w:rPr>
        <w:t xml:space="preserve"> </w:t>
      </w:r>
      <w:sdt>
        <w:sdtPr>
          <w:rPr>
            <w:rFonts w:ascii="Times New Roman" w:hAnsi="Times New Roman" w:cs="Times New Roman"/>
            <w:bCs/>
            <w:color w:val="77206D" w:themeColor="accent5" w:themeShade="BF"/>
          </w:rPr>
          <w:tag w:val="MENDELEY_CITATION_v3_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"/>
          <w:id w:val="-873768119"/>
          <w:placeholder>
            <w:docPart w:val="DefaultPlaceholder_-1854013440"/>
          </w:placeholder>
        </w:sdtPr>
        <w:sdtContent>
          <w:r w:rsidR="003C0A51" w:rsidRPr="003C0A51">
            <w:rPr>
              <w:rFonts w:ascii="Times New Roman" w:hAnsi="Times New Roman" w:cs="Times New Roman"/>
              <w:bCs/>
              <w:color w:val="77206D"/>
            </w:rPr>
            <w:t>Jovanovic (1982)</w:t>
          </w:r>
        </w:sdtContent>
      </w:sdt>
      <w:r w:rsidR="000810CF">
        <w:rPr>
          <w:rFonts w:ascii="Times New Roman" w:hAnsi="Times New Roman" w:cs="Times New Roman"/>
          <w:bCs/>
          <w:color w:val="77206D" w:themeColor="accent5" w:themeShade="BF"/>
        </w:rPr>
        <w:t xml:space="preserve"> </w:t>
      </w:r>
      <w:r w:rsidR="003F4491" w:rsidRPr="00844B56">
        <w:rPr>
          <w:rFonts w:ascii="Times New Roman" w:hAnsi="Times New Roman" w:cs="Times New Roman"/>
          <w:bCs/>
          <w:color w:val="77206D" w:themeColor="accent5" w:themeShade="BF"/>
        </w:rPr>
        <w:t xml:space="preserve">and </w:t>
      </w:r>
      <w:sdt>
        <w:sdtPr>
          <w:rPr>
            <w:rFonts w:ascii="Times New Roman" w:hAnsi="Times New Roman" w:cs="Times New Roman"/>
            <w:bCs/>
            <w:color w:val="77206D" w:themeColor="accent5" w:themeShade="BF"/>
          </w:rPr>
          <w:tag w:val="MENDELEY_CITATION_v3_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"/>
          <w:id w:val="-1242405595"/>
          <w:placeholder>
            <w:docPart w:val="DefaultPlaceholder_-1854013440"/>
          </w:placeholder>
        </w:sdtPr>
        <w:sdtContent>
          <w:proofErr w:type="spellStart"/>
          <w:r w:rsidR="003C0A51" w:rsidRPr="003C0A51">
            <w:rPr>
              <w:rFonts w:ascii="Times New Roman" w:hAnsi="Times New Roman" w:cs="Times New Roman"/>
              <w:bCs/>
              <w:color w:val="78206E"/>
            </w:rPr>
            <w:t>Hopenhayn</w:t>
          </w:r>
          <w:proofErr w:type="spellEnd"/>
          <w:r w:rsidR="003C0A51" w:rsidRPr="003C0A51">
            <w:rPr>
              <w:rFonts w:ascii="Times New Roman" w:hAnsi="Times New Roman" w:cs="Times New Roman"/>
              <w:bCs/>
              <w:color w:val="78206E"/>
            </w:rPr>
            <w:t xml:space="preserve"> (1992)</w:t>
          </w:r>
        </w:sdtContent>
      </w:sdt>
      <w:r w:rsidR="0002112C">
        <w:rPr>
          <w:rFonts w:ascii="Times New Roman" w:hAnsi="Times New Roman" w:cs="Times New Roman"/>
          <w:bCs/>
          <w:color w:val="77206D" w:themeColor="accent5" w:themeShade="BF"/>
        </w:rPr>
        <w:t xml:space="preserve"> </w:t>
      </w:r>
      <w:r w:rsidR="003F4491" w:rsidRPr="00844B56">
        <w:rPr>
          <w:rFonts w:ascii="Times New Roman" w:hAnsi="Times New Roman" w:cs="Times New Roman"/>
          <w:bCs/>
          <w:color w:val="77206D" w:themeColor="accent5" w:themeShade="BF"/>
        </w:rPr>
        <w:t>.</w:t>
      </w:r>
      <w:r w:rsidR="00B8758C" w:rsidRPr="00844B56">
        <w:rPr>
          <w:rFonts w:ascii="Times New Roman" w:hAnsi="Times New Roman" w:cs="Times New Roman"/>
          <w:bCs/>
          <w:color w:val="77206D" w:themeColor="accent5" w:themeShade="BF"/>
        </w:rPr>
        <w:t xml:space="preserve"> Policy can reduce misallocations and improve aggregate TFP</w:t>
      </w:r>
      <w:r w:rsidR="0002112C">
        <w:rPr>
          <w:rFonts w:ascii="Times New Roman" w:hAnsi="Times New Roman" w:cs="Times New Roman"/>
          <w:bCs/>
          <w:color w:val="77206D" w:themeColor="accent5" w:themeShade="BF"/>
        </w:rPr>
        <w:t xml:space="preserve"> </w:t>
      </w:r>
      <w:sdt>
        <w:sdtPr>
          <w:rPr>
            <w:rFonts w:ascii="Times New Roman" w:hAnsi="Times New Roman" w:cs="Times New Roman"/>
            <w:bCs/>
            <w:color w:val="78206E"/>
          </w:rPr>
          <w:tag w:val="MENDELEY_CITATION_v3_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"/>
          <w:id w:val="234373121"/>
          <w:placeholder>
            <w:docPart w:val="D5DC8C6BA3EF468A87B3DC8FF7384F60"/>
          </w:placeholder>
        </w:sdtPr>
        <w:sdtContent>
          <w:r w:rsidR="003C0A51" w:rsidRPr="003C0A51">
            <w:rPr>
              <w:rFonts w:ascii="Times New Roman" w:eastAsia="Times New Roman" w:hAnsi="Times New Roman" w:cs="Times New Roman"/>
              <w:color w:val="78206E"/>
            </w:rPr>
            <w:t>(Hsieh &amp; Klenow, 2009; Restuccia &amp; Rogerson, 2008)</w:t>
          </w:r>
        </w:sdtContent>
      </w:sdt>
      <w:r w:rsidR="005E5972" w:rsidRPr="00844B56">
        <w:rPr>
          <w:rFonts w:ascii="Times New Roman" w:hAnsi="Times New Roman" w:cs="Times New Roman"/>
          <w:bCs/>
          <w:color w:val="77206D" w:themeColor="accent5" w:themeShade="BF"/>
        </w:rPr>
        <w:t>).</w:t>
      </w:r>
    </w:p>
    <w:p w14:paraId="636CDF65" w14:textId="77777777" w:rsidR="00FE5E4B" w:rsidRPr="004C778D" w:rsidRDefault="00FE5E4B" w:rsidP="00C939D1">
      <w:pPr>
        <w:spacing w:after="33" w:line="266" w:lineRule="auto"/>
        <w:jc w:val="both"/>
        <w:rPr>
          <w:rFonts w:ascii="Times New Roman" w:hAnsi="Times New Roman" w:cs="Times New Roman"/>
          <w:bCs/>
        </w:rPr>
      </w:pPr>
    </w:p>
    <w:p w14:paraId="4CE9C2E3"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It has been well-documented that productivity dispersion is enormous, and it would be nice to acknowledge this. This fact alone implies it is important to understand TFP differences. TFP is an amalgam of unobserved variables, therefore measured differences can be explained by different technologies, markets, institutions, </w:t>
      </w:r>
      <w:proofErr w:type="spellStart"/>
      <w:r w:rsidRPr="004C778D">
        <w:rPr>
          <w:rFonts w:ascii="Times New Roman" w:hAnsi="Times New Roman" w:cs="Times New Roman"/>
          <w:bCs/>
        </w:rPr>
        <w:t>labor</w:t>
      </w:r>
      <w:proofErr w:type="spellEnd"/>
      <w:r w:rsidRPr="004C778D">
        <w:rPr>
          <w:rFonts w:ascii="Times New Roman" w:hAnsi="Times New Roman" w:cs="Times New Roman"/>
          <w:bCs/>
        </w:rPr>
        <w:t xml:space="preserve"> and or capital composition, efficiency levels, managerial practices, geographic variation, and so forth. One of the objectives in the productivity literature is to answer which of these are empirically relevant. Geography is interesting exactly because there may be meaningful variation in the data along this dimension. For example, one could ask whether location itself determines TFP (no theoretical reason why this should or would be the case), or the establishment in a location performs better because of other characteristics related to the location. Similarly, one could also explore the spatial nature of spillover effects. </w:t>
      </w:r>
    </w:p>
    <w:p w14:paraId="7F21A804" w14:textId="77777777" w:rsidR="00B22AD6" w:rsidRPr="004C778D" w:rsidRDefault="00B22AD6" w:rsidP="00C939D1">
      <w:pPr>
        <w:spacing w:after="33" w:line="266" w:lineRule="auto"/>
        <w:jc w:val="both"/>
        <w:rPr>
          <w:rFonts w:ascii="Times New Roman" w:hAnsi="Times New Roman" w:cs="Times New Roman"/>
          <w:bCs/>
        </w:rPr>
      </w:pPr>
    </w:p>
    <w:p w14:paraId="5D67B87E" w14:textId="101AF430" w:rsidR="005C71F4" w:rsidRPr="00844B56" w:rsidRDefault="009F7DAF"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As the </w:t>
      </w:r>
      <w:r w:rsidR="00FE1506" w:rsidRPr="00844B56">
        <w:rPr>
          <w:rFonts w:ascii="Times New Roman" w:hAnsi="Times New Roman" w:cs="Times New Roman"/>
          <w:bCs/>
          <w:color w:val="77206D" w:themeColor="accent5" w:themeShade="BF"/>
        </w:rPr>
        <w:t>referee</w:t>
      </w:r>
      <w:r w:rsidRPr="00844B56">
        <w:rPr>
          <w:rFonts w:ascii="Times New Roman" w:hAnsi="Times New Roman" w:cs="Times New Roman"/>
          <w:bCs/>
          <w:color w:val="77206D" w:themeColor="accent5" w:themeShade="BF"/>
        </w:rPr>
        <w:t xml:space="preserve"> </w:t>
      </w:r>
      <w:r w:rsidR="00215437" w:rsidRPr="00844B56">
        <w:rPr>
          <w:rFonts w:ascii="Times New Roman" w:hAnsi="Times New Roman" w:cs="Times New Roman"/>
          <w:bCs/>
          <w:color w:val="77206D" w:themeColor="accent5" w:themeShade="BF"/>
        </w:rPr>
        <w:t>suggests</w:t>
      </w:r>
      <w:r w:rsidRPr="00844B56">
        <w:rPr>
          <w:rFonts w:ascii="Times New Roman" w:hAnsi="Times New Roman" w:cs="Times New Roman"/>
          <w:bCs/>
          <w:color w:val="77206D" w:themeColor="accent5" w:themeShade="BF"/>
        </w:rPr>
        <w:t>, t</w:t>
      </w:r>
      <w:r w:rsidR="001C598D" w:rsidRPr="00844B56">
        <w:rPr>
          <w:rFonts w:ascii="Times New Roman" w:hAnsi="Times New Roman" w:cs="Times New Roman"/>
          <w:bCs/>
          <w:color w:val="77206D" w:themeColor="accent5" w:themeShade="BF"/>
        </w:rPr>
        <w:t>he author</w:t>
      </w:r>
      <w:r w:rsidR="004D0016" w:rsidRPr="00844B56">
        <w:rPr>
          <w:rFonts w:ascii="Times New Roman" w:hAnsi="Times New Roman" w:cs="Times New Roman"/>
          <w:bCs/>
          <w:color w:val="77206D" w:themeColor="accent5" w:themeShade="BF"/>
        </w:rPr>
        <w:t xml:space="preserve"> </w:t>
      </w:r>
      <w:r w:rsidR="00384B8E" w:rsidRPr="00844B56">
        <w:rPr>
          <w:rFonts w:ascii="Times New Roman" w:hAnsi="Times New Roman" w:cs="Times New Roman"/>
          <w:bCs/>
          <w:color w:val="77206D" w:themeColor="accent5" w:themeShade="BF"/>
        </w:rPr>
        <w:t xml:space="preserve">has amended the manuscript and acknowledged the relevance of productivity dispersion and geographical factors as </w:t>
      </w:r>
      <w:r w:rsidR="002C40A5" w:rsidRPr="00844B56">
        <w:rPr>
          <w:rFonts w:ascii="Times New Roman" w:hAnsi="Times New Roman" w:cs="Times New Roman"/>
          <w:bCs/>
          <w:color w:val="77206D" w:themeColor="accent5" w:themeShade="BF"/>
        </w:rPr>
        <w:t>determinants of productivity</w:t>
      </w:r>
      <w:r w:rsidR="00BB1034" w:rsidRPr="00844B56">
        <w:rPr>
          <w:rFonts w:ascii="Times New Roman" w:hAnsi="Times New Roman" w:cs="Times New Roman"/>
          <w:bCs/>
          <w:color w:val="77206D" w:themeColor="accent5" w:themeShade="BF"/>
        </w:rPr>
        <w:t xml:space="preserve">. </w:t>
      </w:r>
      <w:r w:rsidR="006759E7" w:rsidRPr="00844B56">
        <w:rPr>
          <w:rFonts w:ascii="Times New Roman" w:hAnsi="Times New Roman" w:cs="Times New Roman"/>
          <w:bCs/>
          <w:color w:val="77206D" w:themeColor="accent5" w:themeShade="BF"/>
        </w:rPr>
        <w:t>There were two considerations</w:t>
      </w:r>
      <w:r w:rsidR="00632193" w:rsidRPr="00844B56">
        <w:rPr>
          <w:rFonts w:ascii="Times New Roman" w:hAnsi="Times New Roman" w:cs="Times New Roman"/>
          <w:bCs/>
          <w:color w:val="77206D" w:themeColor="accent5" w:themeShade="BF"/>
        </w:rPr>
        <w:t>.</w:t>
      </w:r>
    </w:p>
    <w:p w14:paraId="28DF196F" w14:textId="369590DB" w:rsidR="009F7DAF" w:rsidRPr="00844B56" w:rsidRDefault="00EE1D89" w:rsidP="00C939D1">
      <w:pPr>
        <w:pStyle w:val="ListParagraph"/>
        <w:numPr>
          <w:ilvl w:val="0"/>
          <w:numId w:val="10"/>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acknowledges that TFP dispersion is high in </w:t>
      </w:r>
      <w:r w:rsidR="002C40A5" w:rsidRPr="00844B56">
        <w:rPr>
          <w:rFonts w:ascii="Times New Roman" w:hAnsi="Times New Roman" w:cs="Times New Roman"/>
          <w:bCs/>
          <w:color w:val="77206D" w:themeColor="accent5" w:themeShade="BF"/>
        </w:rPr>
        <w:t>Mexico's trade sector</w:t>
      </w:r>
      <w:r w:rsidRPr="00844B56">
        <w:rPr>
          <w:rFonts w:ascii="Times New Roman" w:hAnsi="Times New Roman" w:cs="Times New Roman"/>
          <w:bCs/>
          <w:color w:val="77206D" w:themeColor="accent5" w:themeShade="BF"/>
        </w:rPr>
        <w:t xml:space="preserve">. </w:t>
      </w:r>
      <w:r w:rsidR="00332DFE" w:rsidRPr="00844B56">
        <w:rPr>
          <w:rFonts w:ascii="Times New Roman" w:hAnsi="Times New Roman" w:cs="Times New Roman"/>
          <w:bCs/>
          <w:color w:val="77206D" w:themeColor="accent5" w:themeShade="BF"/>
        </w:rPr>
        <w:t>States</w:t>
      </w:r>
      <w:r w:rsidRPr="00844B56">
        <w:rPr>
          <w:rFonts w:ascii="Times New Roman" w:hAnsi="Times New Roman" w:cs="Times New Roman"/>
          <w:bCs/>
          <w:color w:val="77206D" w:themeColor="accent5" w:themeShade="BF"/>
        </w:rPr>
        <w:t xml:space="preserve"> with high population density have higher TFP dispersion measured by the 90:10 TFP ratio.</w:t>
      </w:r>
      <w:r w:rsidR="0065314F" w:rsidRPr="00844B56">
        <w:rPr>
          <w:rFonts w:ascii="Times New Roman" w:hAnsi="Times New Roman" w:cs="Times New Roman"/>
          <w:bCs/>
          <w:color w:val="77206D" w:themeColor="accent5" w:themeShade="BF"/>
        </w:rPr>
        <w:t xml:space="preserve"> </w:t>
      </w:r>
      <w:r w:rsidRPr="00844B56">
        <w:rPr>
          <w:rFonts w:ascii="Times New Roman" w:hAnsi="Times New Roman" w:cs="Times New Roman"/>
          <w:bCs/>
          <w:color w:val="77206D" w:themeColor="accent5" w:themeShade="BF"/>
        </w:rPr>
        <w:t xml:space="preserve">See </w:t>
      </w:r>
      <w:r w:rsidR="0072502A" w:rsidRPr="00844B56">
        <w:rPr>
          <w:rFonts w:ascii="Times New Roman" w:hAnsi="Times New Roman" w:cs="Times New Roman"/>
          <w:bCs/>
          <w:color w:val="77206D" w:themeColor="accent5" w:themeShade="BF"/>
        </w:rPr>
        <w:t xml:space="preserve">page </w:t>
      </w:r>
      <w:r w:rsidR="00855954" w:rsidRPr="00844B56">
        <w:rPr>
          <w:rFonts w:ascii="Times New Roman" w:hAnsi="Times New Roman" w:cs="Times New Roman"/>
          <w:bCs/>
          <w:color w:val="77206D" w:themeColor="accent5" w:themeShade="BF"/>
        </w:rPr>
        <w:t>13</w:t>
      </w:r>
      <w:r w:rsidR="009967B0" w:rsidRPr="00844B56">
        <w:rPr>
          <w:rFonts w:ascii="Times New Roman" w:hAnsi="Times New Roman" w:cs="Times New Roman"/>
          <w:bCs/>
          <w:color w:val="77206D" w:themeColor="accent5" w:themeShade="BF"/>
        </w:rPr>
        <w:t>, Figures D1</w:t>
      </w:r>
      <w:r w:rsidR="002C40A5" w:rsidRPr="00844B56">
        <w:rPr>
          <w:rFonts w:ascii="Times New Roman" w:hAnsi="Times New Roman" w:cs="Times New Roman"/>
          <w:bCs/>
          <w:color w:val="77206D" w:themeColor="accent5" w:themeShade="BF"/>
        </w:rPr>
        <w:t xml:space="preserve"> and Table D2</w:t>
      </w:r>
      <w:r w:rsidR="0072502A" w:rsidRPr="00844B56">
        <w:rPr>
          <w:rFonts w:ascii="Times New Roman" w:hAnsi="Times New Roman" w:cs="Times New Roman"/>
          <w:bCs/>
          <w:color w:val="77206D" w:themeColor="accent5" w:themeShade="BF"/>
        </w:rPr>
        <w:t xml:space="preserve">. </w:t>
      </w:r>
    </w:p>
    <w:p w14:paraId="49FBF9FE" w14:textId="41936841" w:rsidR="008F0C7D" w:rsidRPr="00844B56" w:rsidRDefault="00156BDE" w:rsidP="00C939D1">
      <w:pPr>
        <w:pStyle w:val="ListParagraph"/>
        <w:numPr>
          <w:ilvl w:val="0"/>
          <w:numId w:val="10"/>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acknowledges that highly productive establishments can cluster in specific locations, thereby raising TFP in those locations.  In addition, some locations generate externalities that enhance the TFP of their establishments by making their production processes more efficient.  See </w:t>
      </w:r>
      <w:r w:rsidR="00020069" w:rsidRPr="00844B56">
        <w:rPr>
          <w:rFonts w:ascii="Times New Roman" w:hAnsi="Times New Roman" w:cs="Times New Roman"/>
          <w:bCs/>
          <w:color w:val="77206D" w:themeColor="accent5" w:themeShade="BF"/>
        </w:rPr>
        <w:t>at the end</w:t>
      </w:r>
      <w:r w:rsidRPr="00844B56">
        <w:rPr>
          <w:rFonts w:ascii="Times New Roman" w:hAnsi="Times New Roman" w:cs="Times New Roman"/>
          <w:bCs/>
          <w:color w:val="77206D" w:themeColor="accent5" w:themeShade="BF"/>
        </w:rPr>
        <w:t xml:space="preserve"> </w:t>
      </w:r>
      <w:r w:rsidR="00020069" w:rsidRPr="00844B56">
        <w:rPr>
          <w:rFonts w:ascii="Times New Roman" w:hAnsi="Times New Roman" w:cs="Times New Roman"/>
          <w:bCs/>
          <w:color w:val="77206D" w:themeColor="accent5" w:themeShade="BF"/>
        </w:rPr>
        <w:t>of</w:t>
      </w:r>
      <w:r w:rsidRPr="00844B56">
        <w:rPr>
          <w:rFonts w:ascii="Times New Roman" w:hAnsi="Times New Roman" w:cs="Times New Roman"/>
          <w:bCs/>
          <w:color w:val="77206D" w:themeColor="accent5" w:themeShade="BF"/>
        </w:rPr>
        <w:t xml:space="preserve"> page 2.  </w:t>
      </w:r>
      <w:r w:rsidR="00B267ED" w:rsidRPr="00844B56">
        <w:rPr>
          <w:rFonts w:ascii="Times New Roman" w:hAnsi="Times New Roman" w:cs="Times New Roman"/>
          <w:bCs/>
          <w:color w:val="77206D" w:themeColor="accent5" w:themeShade="BF"/>
        </w:rPr>
        <w:t xml:space="preserve"> </w:t>
      </w:r>
    </w:p>
    <w:p w14:paraId="629C0A54" w14:textId="77777777" w:rsidR="00A9799F" w:rsidRPr="004C778D" w:rsidRDefault="00A9799F" w:rsidP="00C939D1">
      <w:pPr>
        <w:spacing w:after="33" w:line="266" w:lineRule="auto"/>
        <w:jc w:val="both"/>
        <w:rPr>
          <w:rFonts w:ascii="Times New Roman" w:hAnsi="Times New Roman" w:cs="Times New Roman"/>
          <w:bCs/>
        </w:rPr>
      </w:pPr>
    </w:p>
    <w:p w14:paraId="3EE66352"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The way the sectoral dimension is discussed is awkward. It goes without saying that more productive sectors are more productive because they consist of more productive establishments/firms. The establishment or firm is a natural starting point of any </w:t>
      </w:r>
      <w:proofErr w:type="spellStart"/>
      <w:r w:rsidRPr="004C778D">
        <w:rPr>
          <w:rFonts w:ascii="Times New Roman" w:hAnsi="Times New Roman" w:cs="Times New Roman"/>
          <w:bCs/>
        </w:rPr>
        <w:t>modeling</w:t>
      </w:r>
      <w:proofErr w:type="spellEnd"/>
      <w:r w:rsidRPr="004C778D">
        <w:rPr>
          <w:rFonts w:ascii="Times New Roman" w:hAnsi="Times New Roman" w:cs="Times New Roman"/>
          <w:bCs/>
        </w:rPr>
        <w:t xml:space="preserve"> exercise, i.e. it is a natural unit of observation in typical micro datasets. Claims like the one at the end of paragraph 1 state the obvious and therefore unnecessary. </w:t>
      </w:r>
    </w:p>
    <w:p w14:paraId="1E86B781" w14:textId="77777777" w:rsidR="002258B2" w:rsidRPr="004C778D" w:rsidRDefault="002258B2" w:rsidP="00C939D1">
      <w:pPr>
        <w:spacing w:after="33" w:line="266" w:lineRule="auto"/>
        <w:jc w:val="both"/>
        <w:rPr>
          <w:rFonts w:ascii="Times New Roman" w:hAnsi="Times New Roman" w:cs="Times New Roman"/>
          <w:bCs/>
        </w:rPr>
      </w:pPr>
    </w:p>
    <w:p w14:paraId="03C346C1" w14:textId="42A19EDF" w:rsidR="002258B2" w:rsidRPr="00844B56" w:rsidRDefault="00FD3E20"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revised the </w:t>
      </w:r>
      <w:r w:rsidR="00E60669" w:rsidRPr="00844B56">
        <w:rPr>
          <w:rFonts w:ascii="Times New Roman" w:hAnsi="Times New Roman" w:cs="Times New Roman"/>
          <w:bCs/>
          <w:color w:val="77206D" w:themeColor="accent5" w:themeShade="BF"/>
        </w:rPr>
        <w:t xml:space="preserve">section </w:t>
      </w:r>
      <w:r w:rsidR="00991CA1" w:rsidRPr="00844B56">
        <w:rPr>
          <w:rFonts w:ascii="Times New Roman" w:hAnsi="Times New Roman" w:cs="Times New Roman"/>
          <w:bCs/>
          <w:color w:val="77206D" w:themeColor="accent5" w:themeShade="BF"/>
        </w:rPr>
        <w:t>on</w:t>
      </w:r>
      <w:r w:rsidR="00E60669" w:rsidRPr="00844B56">
        <w:rPr>
          <w:rFonts w:ascii="Times New Roman" w:hAnsi="Times New Roman" w:cs="Times New Roman"/>
          <w:bCs/>
          <w:color w:val="77206D" w:themeColor="accent5" w:themeShade="BF"/>
        </w:rPr>
        <w:t xml:space="preserve"> the sectoral </w:t>
      </w:r>
      <w:r w:rsidR="00BB130A" w:rsidRPr="00844B56">
        <w:rPr>
          <w:rFonts w:ascii="Times New Roman" w:hAnsi="Times New Roman" w:cs="Times New Roman"/>
          <w:bCs/>
          <w:color w:val="77206D" w:themeColor="accent5" w:themeShade="BF"/>
        </w:rPr>
        <w:t xml:space="preserve">dimension of productivity. </w:t>
      </w:r>
      <w:r w:rsidR="00991CA1" w:rsidRPr="00844B56">
        <w:rPr>
          <w:rFonts w:ascii="Times New Roman" w:hAnsi="Times New Roman" w:cs="Times New Roman"/>
          <w:bCs/>
          <w:color w:val="77206D" w:themeColor="accent5" w:themeShade="BF"/>
        </w:rPr>
        <w:t xml:space="preserve">A statement has been added to the intra-industry explanation saying </w:t>
      </w:r>
      <w:r w:rsidR="00007C8F" w:rsidRPr="00844B56">
        <w:rPr>
          <w:rFonts w:ascii="Times New Roman" w:hAnsi="Times New Roman" w:cs="Times New Roman"/>
          <w:bCs/>
          <w:color w:val="77206D" w:themeColor="accent5" w:themeShade="BF"/>
        </w:rPr>
        <w:t xml:space="preserve">that some sectors </w:t>
      </w:r>
      <w:r w:rsidR="00BB130A" w:rsidRPr="00844B56">
        <w:rPr>
          <w:rFonts w:ascii="Times New Roman" w:hAnsi="Times New Roman" w:cs="Times New Roman"/>
          <w:bCs/>
          <w:color w:val="77206D" w:themeColor="accent5" w:themeShade="BF"/>
        </w:rPr>
        <w:t xml:space="preserve">are more productive because they concentrate </w:t>
      </w:r>
      <w:r w:rsidR="00BB130A" w:rsidRPr="00844B56">
        <w:rPr>
          <w:rFonts w:ascii="Times New Roman" w:hAnsi="Times New Roman" w:cs="Times New Roman"/>
          <w:bCs/>
          <w:color w:val="77206D" w:themeColor="accent5" w:themeShade="BF"/>
        </w:rPr>
        <w:lastRenderedPageBreak/>
        <w:t>a higher share of more productive firms.</w:t>
      </w:r>
      <w:r w:rsidR="00991CA1" w:rsidRPr="00844B56">
        <w:rPr>
          <w:rFonts w:ascii="Times New Roman" w:hAnsi="Times New Roman" w:cs="Times New Roman"/>
          <w:bCs/>
          <w:color w:val="77206D" w:themeColor="accent5" w:themeShade="BF"/>
        </w:rPr>
        <w:t xml:space="preserve"> </w:t>
      </w:r>
      <w:r w:rsidR="00CD4897" w:rsidRPr="00844B56">
        <w:rPr>
          <w:rFonts w:ascii="Times New Roman" w:hAnsi="Times New Roman" w:cs="Times New Roman"/>
          <w:bCs/>
          <w:color w:val="77206D" w:themeColor="accent5" w:themeShade="BF"/>
        </w:rPr>
        <w:t xml:space="preserve">The last </w:t>
      </w:r>
      <w:r w:rsidR="00C51825" w:rsidRPr="00844B56">
        <w:rPr>
          <w:rFonts w:ascii="Times New Roman" w:hAnsi="Times New Roman" w:cs="Times New Roman"/>
          <w:bCs/>
          <w:color w:val="77206D" w:themeColor="accent5" w:themeShade="BF"/>
        </w:rPr>
        <w:t xml:space="preserve">sentence of the paragraph, “that states the obvious and unnecessary,” was </w:t>
      </w:r>
      <w:r w:rsidR="00486E85">
        <w:rPr>
          <w:rFonts w:ascii="Times New Roman" w:hAnsi="Times New Roman" w:cs="Times New Roman"/>
          <w:bCs/>
          <w:color w:val="77206D" w:themeColor="accent5" w:themeShade="BF"/>
        </w:rPr>
        <w:t>removed</w:t>
      </w:r>
      <w:r w:rsidR="009107EF" w:rsidRPr="00844B56">
        <w:rPr>
          <w:rFonts w:ascii="Times New Roman" w:hAnsi="Times New Roman" w:cs="Times New Roman"/>
          <w:bCs/>
          <w:color w:val="77206D" w:themeColor="accent5" w:themeShade="BF"/>
        </w:rPr>
        <w:t>.</w:t>
      </w:r>
    </w:p>
    <w:p w14:paraId="2DD30683" w14:textId="77777777" w:rsidR="002258B2" w:rsidRPr="004C778D" w:rsidRDefault="002258B2" w:rsidP="00C939D1">
      <w:pPr>
        <w:spacing w:after="33" w:line="266" w:lineRule="auto"/>
        <w:jc w:val="both"/>
        <w:rPr>
          <w:rFonts w:ascii="Times New Roman" w:hAnsi="Times New Roman" w:cs="Times New Roman"/>
          <w:bCs/>
        </w:rPr>
      </w:pPr>
    </w:p>
    <w:p w14:paraId="277D0700" w14:textId="77777777" w:rsidR="00672BEF" w:rsidRPr="004C778D" w:rsidRDefault="00672BEF" w:rsidP="00C939D1">
      <w:pPr>
        <w:numPr>
          <w:ilvl w:val="0"/>
          <w:numId w:val="1"/>
        </w:numPr>
        <w:spacing w:after="0" w:line="266" w:lineRule="auto"/>
        <w:ind w:hanging="360"/>
        <w:jc w:val="both"/>
        <w:rPr>
          <w:rFonts w:ascii="Times New Roman" w:hAnsi="Times New Roman" w:cs="Times New Roman"/>
          <w:bCs/>
        </w:rPr>
      </w:pPr>
      <w:r w:rsidRPr="004C778D">
        <w:rPr>
          <w:rFonts w:ascii="Times New Roman" w:hAnsi="Times New Roman" w:cs="Times New Roman"/>
          <w:bCs/>
        </w:rPr>
        <w:t xml:space="preserve">The role of structural shifts. It is not the shifts that reallocate resources. It is optimizing agents that respond to changes in the environment the consequence of which is resource reallocation. The distinction may seem subtle, but this writing suggests lack of understanding of how a market economy works. Connecting this with the “need for firm-level TFP measurement” is out-of-place: the need was (or should have been) there before shifts because one would ideally care about measuring productivity even without them. I am not sure what the author is trying to say here. </w:t>
      </w:r>
    </w:p>
    <w:p w14:paraId="0472DFF3" w14:textId="77777777" w:rsidR="00460619" w:rsidRPr="004C778D" w:rsidRDefault="00460619" w:rsidP="00C939D1">
      <w:pPr>
        <w:spacing w:after="0" w:line="266" w:lineRule="auto"/>
        <w:jc w:val="both"/>
        <w:rPr>
          <w:rFonts w:ascii="Times New Roman" w:hAnsi="Times New Roman" w:cs="Times New Roman"/>
          <w:bCs/>
        </w:rPr>
      </w:pPr>
    </w:p>
    <w:p w14:paraId="766C360A" w14:textId="4D58B2DE" w:rsidR="00460619" w:rsidRPr="00844B56" w:rsidRDefault="00E46211" w:rsidP="00C939D1">
      <w:pPr>
        <w:spacing w:after="0"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revised the paragraph </w:t>
      </w:r>
      <w:r w:rsidR="00A94A8B" w:rsidRPr="00844B56">
        <w:rPr>
          <w:rFonts w:ascii="Times New Roman" w:hAnsi="Times New Roman" w:cs="Times New Roman"/>
          <w:bCs/>
          <w:color w:val="77206D" w:themeColor="accent5" w:themeShade="BF"/>
        </w:rPr>
        <w:t xml:space="preserve">on page </w:t>
      </w:r>
      <w:r w:rsidR="00B20265" w:rsidRPr="00844B56">
        <w:rPr>
          <w:rFonts w:ascii="Times New Roman" w:hAnsi="Times New Roman" w:cs="Times New Roman"/>
          <w:bCs/>
          <w:color w:val="77206D" w:themeColor="accent5" w:themeShade="BF"/>
        </w:rPr>
        <w:t xml:space="preserve">and has made the following </w:t>
      </w:r>
      <w:r w:rsidR="00E250C5" w:rsidRPr="00844B56">
        <w:rPr>
          <w:rFonts w:ascii="Times New Roman" w:hAnsi="Times New Roman" w:cs="Times New Roman"/>
          <w:bCs/>
          <w:color w:val="77206D" w:themeColor="accent5" w:themeShade="BF"/>
        </w:rPr>
        <w:t>corrections</w:t>
      </w:r>
      <w:r w:rsidR="00B20265" w:rsidRPr="00844B56">
        <w:rPr>
          <w:rFonts w:ascii="Times New Roman" w:hAnsi="Times New Roman" w:cs="Times New Roman"/>
          <w:bCs/>
          <w:color w:val="77206D" w:themeColor="accent5" w:themeShade="BF"/>
        </w:rPr>
        <w:t>:</w:t>
      </w:r>
    </w:p>
    <w:p w14:paraId="528A8A2B" w14:textId="57B4C1A7" w:rsidR="00B20265" w:rsidRPr="00844B56" w:rsidRDefault="008F4F02" w:rsidP="00C939D1">
      <w:pPr>
        <w:pStyle w:val="ListParagraph"/>
        <w:numPr>
          <w:ilvl w:val="0"/>
          <w:numId w:val="16"/>
        </w:numPr>
        <w:spacing w:after="0"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It </w:t>
      </w:r>
      <w:r w:rsidR="00542711" w:rsidRPr="00844B56">
        <w:rPr>
          <w:rFonts w:ascii="Times New Roman" w:hAnsi="Times New Roman" w:cs="Times New Roman"/>
          <w:bCs/>
          <w:color w:val="77206D" w:themeColor="accent5" w:themeShade="BF"/>
        </w:rPr>
        <w:t>clarifies that structural shifts represent episodes of change in firms’ behaviour as they reallocate</w:t>
      </w:r>
      <w:r w:rsidR="00311D5C" w:rsidRPr="00844B56">
        <w:rPr>
          <w:rFonts w:ascii="Times New Roman" w:hAnsi="Times New Roman" w:cs="Times New Roman"/>
          <w:bCs/>
          <w:color w:val="77206D" w:themeColor="accent5" w:themeShade="BF"/>
        </w:rPr>
        <w:t xml:space="preserve"> resources from one sector to another. </w:t>
      </w:r>
      <w:r w:rsidRPr="00844B56">
        <w:rPr>
          <w:rFonts w:ascii="Times New Roman" w:hAnsi="Times New Roman" w:cs="Times New Roman"/>
          <w:bCs/>
          <w:color w:val="77206D" w:themeColor="accent5" w:themeShade="BF"/>
        </w:rPr>
        <w:t xml:space="preserve">In the Mexican case, </w:t>
      </w:r>
      <w:r w:rsidR="00A80768" w:rsidRPr="00844B56">
        <w:rPr>
          <w:rFonts w:ascii="Times New Roman" w:hAnsi="Times New Roman" w:cs="Times New Roman"/>
          <w:bCs/>
          <w:color w:val="77206D" w:themeColor="accent5" w:themeShade="BF"/>
        </w:rPr>
        <w:t xml:space="preserve">the structural change has been </w:t>
      </w:r>
      <w:r w:rsidRPr="00844B56">
        <w:rPr>
          <w:rFonts w:ascii="Times New Roman" w:hAnsi="Times New Roman" w:cs="Times New Roman"/>
          <w:bCs/>
          <w:color w:val="77206D" w:themeColor="accent5" w:themeShade="BF"/>
        </w:rPr>
        <w:t>from manufacturing to services.</w:t>
      </w:r>
    </w:p>
    <w:p w14:paraId="64ED1D02" w14:textId="28258D74" w:rsidR="00542711" w:rsidRPr="00844B56" w:rsidRDefault="002E7F91" w:rsidP="00C939D1">
      <w:pPr>
        <w:pStyle w:val="ListParagraph"/>
        <w:numPr>
          <w:ilvl w:val="0"/>
          <w:numId w:val="16"/>
        </w:numPr>
        <w:spacing w:after="0"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The statement linking structural shifts to “the need for firm-level TFP measurement” has been removed</w:t>
      </w:r>
      <w:r w:rsidR="00D4253D" w:rsidRPr="00844B56">
        <w:rPr>
          <w:rFonts w:ascii="Times New Roman" w:hAnsi="Times New Roman" w:cs="Times New Roman"/>
          <w:bCs/>
          <w:color w:val="77206D" w:themeColor="accent5" w:themeShade="BF"/>
        </w:rPr>
        <w:t>.</w:t>
      </w:r>
    </w:p>
    <w:p w14:paraId="228F51E7" w14:textId="2B0E72B4" w:rsidR="00D4253D" w:rsidRPr="00844B56" w:rsidRDefault="00176CF8" w:rsidP="00C939D1">
      <w:pPr>
        <w:pStyle w:val="ListParagraph"/>
        <w:numPr>
          <w:ilvl w:val="0"/>
          <w:numId w:val="16"/>
        </w:numPr>
        <w:spacing w:after="0"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Overall, the author notes that some papers provide evidence of a link between resource reallocation across sectors (i.e., structural change) and sectoral productivity. </w:t>
      </w:r>
      <w:sdt>
        <w:sdtPr>
          <w:rPr>
            <w:rFonts w:ascii="Times New Roman" w:hAnsi="Times New Roman" w:cs="Times New Roman"/>
            <w:bCs/>
            <w:color w:val="77206D"/>
          </w:rPr>
          <w:tag w:val="MENDELEY_CITATION_v3_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"/>
          <w:id w:val="916137880"/>
          <w:placeholder>
            <w:docPart w:val="DefaultPlaceholder_-1854013440"/>
          </w:placeholder>
        </w:sdtPr>
        <w:sdtContent>
          <w:r w:rsidR="003C0A51" w:rsidRPr="003C0A51">
            <w:rPr>
              <w:rFonts w:ascii="Times New Roman" w:eastAsia="Times New Roman" w:hAnsi="Times New Roman" w:cs="Times New Roman"/>
              <w:color w:val="77206D"/>
            </w:rPr>
            <w:t>Padilla-Perez &amp; Villarreal (2017)</w:t>
          </w:r>
        </w:sdtContent>
      </w:sdt>
      <w:r w:rsidR="00754E73">
        <w:rPr>
          <w:rFonts w:ascii="Times New Roman" w:hAnsi="Times New Roman" w:cs="Times New Roman"/>
          <w:bCs/>
          <w:color w:val="77206D"/>
        </w:rPr>
        <w:t xml:space="preserve"> </w:t>
      </w:r>
      <w:r w:rsidRPr="00844B56">
        <w:rPr>
          <w:rFonts w:ascii="Times New Roman" w:hAnsi="Times New Roman" w:cs="Times New Roman"/>
          <w:bCs/>
          <w:color w:val="77206D" w:themeColor="accent5" w:themeShade="BF"/>
        </w:rPr>
        <w:t xml:space="preserve"> found that the Mexican economy has experienced two parallel processes: structural change, with a growing share of services, and a decline in aggregate productivity.</w:t>
      </w:r>
    </w:p>
    <w:p w14:paraId="6017571B" w14:textId="77777777" w:rsidR="00A80768" w:rsidRPr="004C778D" w:rsidRDefault="00A80768" w:rsidP="00C939D1">
      <w:pPr>
        <w:spacing w:after="0" w:line="266" w:lineRule="auto"/>
        <w:jc w:val="both"/>
        <w:rPr>
          <w:rFonts w:ascii="Times New Roman" w:hAnsi="Times New Roman" w:cs="Times New Roman"/>
          <w:bCs/>
        </w:rPr>
      </w:pPr>
    </w:p>
    <w:p w14:paraId="6439C9FB" w14:textId="29C2BAF6" w:rsidR="006E2D2C"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Growth and Selection. The term used in the empirical literature I know is firm demographics or the role of entry/exit. </w:t>
      </w:r>
    </w:p>
    <w:p w14:paraId="448820EA" w14:textId="77777777" w:rsidR="001C322D" w:rsidRPr="004C778D" w:rsidRDefault="001C322D" w:rsidP="00C939D1">
      <w:pPr>
        <w:spacing w:after="33" w:line="266" w:lineRule="auto"/>
        <w:jc w:val="both"/>
        <w:rPr>
          <w:rFonts w:ascii="Times New Roman" w:hAnsi="Times New Roman" w:cs="Times New Roman"/>
          <w:bCs/>
        </w:rPr>
      </w:pPr>
    </w:p>
    <w:p w14:paraId="4932B221" w14:textId="749AE1B3" w:rsidR="00D5020A" w:rsidRPr="00844B56" w:rsidRDefault="001C322D"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In some parts where it was </w:t>
      </w:r>
      <w:r w:rsidR="00EF17F7" w:rsidRPr="00844B56">
        <w:rPr>
          <w:rFonts w:ascii="Times New Roman" w:hAnsi="Times New Roman" w:cs="Times New Roman"/>
          <w:bCs/>
          <w:color w:val="77206D" w:themeColor="accent5" w:themeShade="BF"/>
        </w:rPr>
        <w:t xml:space="preserve">stated as firm dynamics, the author changed it </w:t>
      </w:r>
      <w:r w:rsidR="003F387F" w:rsidRPr="00844B56">
        <w:rPr>
          <w:rFonts w:ascii="Times New Roman" w:hAnsi="Times New Roman" w:cs="Times New Roman"/>
          <w:bCs/>
          <w:color w:val="77206D" w:themeColor="accent5" w:themeShade="BF"/>
        </w:rPr>
        <w:t>to</w:t>
      </w:r>
      <w:r w:rsidR="00EF17F7" w:rsidRPr="00844B56">
        <w:rPr>
          <w:rFonts w:ascii="Times New Roman" w:hAnsi="Times New Roman" w:cs="Times New Roman"/>
          <w:bCs/>
          <w:color w:val="77206D" w:themeColor="accent5" w:themeShade="BF"/>
        </w:rPr>
        <w:t xml:space="preserve"> the role of </w:t>
      </w:r>
      <w:r w:rsidRPr="00844B56">
        <w:rPr>
          <w:rFonts w:ascii="Times New Roman" w:hAnsi="Times New Roman" w:cs="Times New Roman"/>
          <w:bCs/>
          <w:color w:val="77206D" w:themeColor="accent5" w:themeShade="BF"/>
        </w:rPr>
        <w:t>entr</w:t>
      </w:r>
      <w:r w:rsidR="00EF17F7" w:rsidRPr="00844B56">
        <w:rPr>
          <w:rFonts w:ascii="Times New Roman" w:hAnsi="Times New Roman" w:cs="Times New Roman"/>
          <w:bCs/>
          <w:color w:val="77206D" w:themeColor="accent5" w:themeShade="BF"/>
        </w:rPr>
        <w:t>y/exit firms.</w:t>
      </w:r>
      <w:r w:rsidR="00165174" w:rsidRPr="00844B56">
        <w:rPr>
          <w:rFonts w:ascii="Times New Roman" w:hAnsi="Times New Roman" w:cs="Times New Roman"/>
          <w:bCs/>
          <w:color w:val="77206D" w:themeColor="accent5" w:themeShade="BF"/>
        </w:rPr>
        <w:t xml:space="preserve"> </w:t>
      </w:r>
      <w:r w:rsidR="00C628F9" w:rsidRPr="00844B56">
        <w:rPr>
          <w:rFonts w:ascii="Times New Roman" w:hAnsi="Times New Roman" w:cs="Times New Roman"/>
          <w:bCs/>
          <w:color w:val="77206D" w:themeColor="accent5" w:themeShade="BF"/>
        </w:rPr>
        <w:t>It wa</w:t>
      </w:r>
      <w:r w:rsidR="000C4C27" w:rsidRPr="00844B56">
        <w:rPr>
          <w:rFonts w:ascii="Times New Roman" w:hAnsi="Times New Roman" w:cs="Times New Roman"/>
          <w:bCs/>
          <w:color w:val="77206D" w:themeColor="accent5" w:themeShade="BF"/>
        </w:rPr>
        <w:t>s</w:t>
      </w:r>
      <w:r w:rsidR="00C628F9" w:rsidRPr="00844B56">
        <w:rPr>
          <w:rFonts w:ascii="Times New Roman" w:hAnsi="Times New Roman" w:cs="Times New Roman"/>
          <w:bCs/>
          <w:color w:val="77206D" w:themeColor="accent5" w:themeShade="BF"/>
        </w:rPr>
        <w:t xml:space="preserve"> also changed the </w:t>
      </w:r>
      <w:r w:rsidR="005A6572">
        <w:rPr>
          <w:rFonts w:ascii="Times New Roman" w:hAnsi="Times New Roman" w:cs="Times New Roman"/>
          <w:bCs/>
          <w:color w:val="77206D" w:themeColor="accent5" w:themeShade="BF"/>
        </w:rPr>
        <w:t>term</w:t>
      </w:r>
      <w:r w:rsidR="00C628F9" w:rsidRPr="00844B56">
        <w:rPr>
          <w:rFonts w:ascii="Times New Roman" w:hAnsi="Times New Roman" w:cs="Times New Roman"/>
          <w:bCs/>
          <w:color w:val="77206D" w:themeColor="accent5" w:themeShade="BF"/>
        </w:rPr>
        <w:t xml:space="preserve"> </w:t>
      </w:r>
      <w:r w:rsidR="000C4C27" w:rsidRPr="00844B56">
        <w:rPr>
          <w:rFonts w:ascii="Times New Roman" w:hAnsi="Times New Roman" w:cs="Times New Roman"/>
          <w:bCs/>
          <w:color w:val="77206D" w:themeColor="accent5" w:themeShade="BF"/>
        </w:rPr>
        <w:t xml:space="preserve">of </w:t>
      </w:r>
      <w:r w:rsidR="00C628F9" w:rsidRPr="00844B56">
        <w:rPr>
          <w:rFonts w:ascii="Times New Roman" w:hAnsi="Times New Roman" w:cs="Times New Roman"/>
          <w:bCs/>
          <w:color w:val="77206D" w:themeColor="accent5" w:themeShade="BF"/>
        </w:rPr>
        <w:t xml:space="preserve">selection to the concept of “market selection” used in </w:t>
      </w:r>
      <w:sdt>
        <w:sdtPr>
          <w:rPr>
            <w:rFonts w:ascii="Times New Roman" w:hAnsi="Times New Roman" w:cs="Times New Roman"/>
            <w:bCs/>
            <w:color w:val="77206D" w:themeColor="accent5" w:themeShade="BF"/>
          </w:rPr>
          <w:tag w:val="MENDELEY_CITATION_v3_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"/>
          <w:id w:val="-712345023"/>
          <w:placeholder>
            <w:docPart w:val="DefaultPlaceholder_-1854013440"/>
          </w:placeholder>
        </w:sdtPr>
        <w:sdtContent>
          <w:r w:rsidR="003C0A51" w:rsidRPr="003C0A51">
            <w:rPr>
              <w:rFonts w:ascii="Times New Roman" w:hAnsi="Times New Roman" w:cs="Times New Roman"/>
              <w:bCs/>
              <w:color w:val="77206D"/>
            </w:rPr>
            <w:t>Foster et al. (2008)</w:t>
          </w:r>
        </w:sdtContent>
      </w:sdt>
      <w:r w:rsidR="004957EB" w:rsidRPr="00844B56">
        <w:rPr>
          <w:rFonts w:ascii="Times New Roman" w:hAnsi="Times New Roman" w:cs="Times New Roman"/>
          <w:bCs/>
          <w:color w:val="77206D" w:themeColor="accent5" w:themeShade="BF"/>
        </w:rPr>
        <w:t xml:space="preserve">. </w:t>
      </w:r>
      <w:r w:rsidR="002E0C77" w:rsidRPr="00844B56">
        <w:rPr>
          <w:rFonts w:ascii="Times New Roman" w:hAnsi="Times New Roman" w:cs="Times New Roman"/>
          <w:bCs/>
          <w:color w:val="77206D" w:themeColor="accent5" w:themeShade="BF"/>
        </w:rPr>
        <w:t>Market selection summarises the process by which firms enter, survive, and exit the market, and its relationship to</w:t>
      </w:r>
      <w:r w:rsidR="003C65E1" w:rsidRPr="00844B56">
        <w:rPr>
          <w:rFonts w:ascii="Times New Roman" w:hAnsi="Times New Roman" w:cs="Times New Roman"/>
          <w:bCs/>
          <w:color w:val="77206D" w:themeColor="accent5" w:themeShade="BF"/>
        </w:rPr>
        <w:t xml:space="preserve"> productivity </w:t>
      </w:r>
      <w:r w:rsidR="002E0C77" w:rsidRPr="00844B56">
        <w:rPr>
          <w:rFonts w:ascii="Times New Roman" w:hAnsi="Times New Roman" w:cs="Times New Roman"/>
          <w:bCs/>
          <w:color w:val="77206D" w:themeColor="accent5" w:themeShade="BF"/>
        </w:rPr>
        <w:t>growth</w:t>
      </w:r>
      <w:r w:rsidR="003C65E1" w:rsidRPr="00844B56">
        <w:rPr>
          <w:rFonts w:ascii="Times New Roman" w:hAnsi="Times New Roman" w:cs="Times New Roman"/>
          <w:bCs/>
          <w:color w:val="77206D" w:themeColor="accent5" w:themeShade="BF"/>
        </w:rPr>
        <w:t>.</w:t>
      </w:r>
    </w:p>
    <w:p w14:paraId="41B7F790" w14:textId="77777777" w:rsidR="00D5020A" w:rsidRPr="00844B56" w:rsidRDefault="00D5020A" w:rsidP="00C939D1">
      <w:pPr>
        <w:spacing w:after="33" w:line="266" w:lineRule="auto"/>
        <w:jc w:val="both"/>
        <w:rPr>
          <w:rFonts w:ascii="Times New Roman" w:hAnsi="Times New Roman" w:cs="Times New Roman"/>
          <w:bCs/>
          <w:color w:val="77206D" w:themeColor="accent5" w:themeShade="BF"/>
        </w:rPr>
      </w:pPr>
    </w:p>
    <w:p w14:paraId="5AC5F2EE"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Microheterogeneity. Heterogeneity is a general term used to highlight variation. The grid we use to measure it is determined by our data, and could be based on industry, geography, products, consumer types, establishments/firms or workers, and so forth. Again, this is poor writing.  </w:t>
      </w:r>
    </w:p>
    <w:p w14:paraId="2F8B1C63" w14:textId="77777777" w:rsidR="00AC45D4" w:rsidRPr="004C778D" w:rsidRDefault="00AC45D4" w:rsidP="00C939D1">
      <w:pPr>
        <w:spacing w:after="33" w:line="266" w:lineRule="auto"/>
        <w:jc w:val="both"/>
        <w:rPr>
          <w:rFonts w:ascii="Times New Roman" w:hAnsi="Times New Roman" w:cs="Times New Roman"/>
          <w:bCs/>
        </w:rPr>
      </w:pPr>
    </w:p>
    <w:p w14:paraId="78E0449F" w14:textId="143FDD6C" w:rsidR="00AC45D4" w:rsidRPr="00844B56" w:rsidRDefault="00F5554A"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revised the paragraph and replaced microheterogeneity with heterogeneity. The concept from </w:t>
      </w:r>
      <w:sdt>
        <w:sdtPr>
          <w:rPr>
            <w:rFonts w:ascii="Times New Roman" w:hAnsi="Times New Roman" w:cs="Times New Roman"/>
            <w:bCs/>
            <w:color w:val="77206D" w:themeColor="accent5" w:themeShade="BF"/>
          </w:rPr>
          <w:tag w:val="MENDELEY_CITATION_v3_eyJjaXRhdGlvbklEIjoiTUVOREVMRVlfQ0lUQVRJT05fZTI2OGIzN2QtMDdjOS00Yzg2LTk4YTUtOGE4YjU5MzZiNzM4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
          <w:id w:val="1908420729"/>
          <w:placeholder>
            <w:docPart w:val="DefaultPlaceholder_-1854013440"/>
          </w:placeholder>
        </w:sdtPr>
        <w:sdtContent>
          <w:r w:rsidR="003C0A51" w:rsidRPr="003C0A51">
            <w:rPr>
              <w:rFonts w:ascii="Times New Roman" w:hAnsi="Times New Roman" w:cs="Times New Roman"/>
              <w:bCs/>
              <w:color w:val="77206D"/>
            </w:rPr>
            <w:t>Haltiwanger (1997)</w:t>
          </w:r>
        </w:sdtContent>
      </w:sdt>
      <w:r w:rsidR="00111392">
        <w:rPr>
          <w:rFonts w:ascii="Times New Roman" w:hAnsi="Times New Roman" w:cs="Times New Roman"/>
          <w:bCs/>
          <w:color w:val="77206D" w:themeColor="accent5" w:themeShade="BF"/>
        </w:rPr>
        <w:t xml:space="preserve"> </w:t>
      </w:r>
      <w:r w:rsidRPr="00844B56">
        <w:rPr>
          <w:rFonts w:ascii="Times New Roman" w:hAnsi="Times New Roman" w:cs="Times New Roman"/>
          <w:bCs/>
          <w:color w:val="77206D" w:themeColor="accent5" w:themeShade="BF"/>
        </w:rPr>
        <w:t xml:space="preserve"> remains, noting that “firm-level productivity is a key determinant of aggregate TFP fluctuations”.</w:t>
      </w:r>
    </w:p>
    <w:p w14:paraId="2EBEFB49" w14:textId="77777777" w:rsidR="00730F67" w:rsidRPr="00844B56" w:rsidRDefault="00730F67" w:rsidP="00C939D1">
      <w:pPr>
        <w:spacing w:after="33" w:line="266" w:lineRule="auto"/>
        <w:jc w:val="both"/>
        <w:rPr>
          <w:rFonts w:ascii="Times New Roman" w:hAnsi="Times New Roman" w:cs="Times New Roman"/>
          <w:bCs/>
          <w:color w:val="77206D" w:themeColor="accent5" w:themeShade="BF"/>
        </w:rPr>
      </w:pPr>
    </w:p>
    <w:p w14:paraId="7705739F" w14:textId="50F28EF9"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Methodology and Data. “TFP estimations” is a concise phrase but it is not informative even with a recent citation from 2023. I suspect the author refers to “TFP estimates”. However, the reader should not have to suspect because the discussion should have been clear. It is not sufficient to just cite a paper, one should indicate the most important characteristics of the method used so that the reader can have some idea about the method used to estimate </w:t>
      </w:r>
      <w:proofErr w:type="spellStart"/>
      <w:r w:rsidRPr="004C778D">
        <w:rPr>
          <w:rFonts w:ascii="Times New Roman" w:hAnsi="Times New Roman" w:cs="Times New Roman"/>
          <w:bCs/>
        </w:rPr>
        <w:t>TFP.What</w:t>
      </w:r>
      <w:proofErr w:type="spellEnd"/>
      <w:r w:rsidRPr="004C778D">
        <w:rPr>
          <w:rFonts w:ascii="Times New Roman" w:hAnsi="Times New Roman" w:cs="Times New Roman"/>
          <w:bCs/>
        </w:rPr>
        <w:t xml:space="preserve"> method is referred to here? Let me list a few: ACF, BB, AB, GNR, LP, OP, OPH, OPHD, WLP, or any one of the </w:t>
      </w:r>
      <w:proofErr w:type="spellStart"/>
      <w:r w:rsidRPr="004C778D">
        <w:rPr>
          <w:rFonts w:ascii="Times New Roman" w:hAnsi="Times New Roman" w:cs="Times New Roman"/>
          <w:bCs/>
        </w:rPr>
        <w:t>costshare</w:t>
      </w:r>
      <w:proofErr w:type="spellEnd"/>
      <w:r w:rsidRPr="004C778D">
        <w:rPr>
          <w:rFonts w:ascii="Times New Roman" w:hAnsi="Times New Roman" w:cs="Times New Roman"/>
          <w:bCs/>
        </w:rPr>
        <w:t xml:space="preserve">-based estimators. In addition, what specification is used? Is measured TFP output-based or value-added-based? How many inputs are used in the model? </w:t>
      </w:r>
    </w:p>
    <w:p w14:paraId="3EC77EC7" w14:textId="77777777" w:rsidR="00141248" w:rsidRPr="004C778D" w:rsidRDefault="00141248" w:rsidP="00C939D1">
      <w:pPr>
        <w:spacing w:after="33" w:line="266" w:lineRule="auto"/>
        <w:jc w:val="both"/>
        <w:rPr>
          <w:rFonts w:ascii="Times New Roman" w:hAnsi="Times New Roman" w:cs="Times New Roman"/>
          <w:bCs/>
        </w:rPr>
      </w:pPr>
    </w:p>
    <w:p w14:paraId="040C76D3" w14:textId="5D4D7143" w:rsidR="0086301E" w:rsidRPr="00844B56" w:rsidRDefault="00A776F6"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lastRenderedPageBreak/>
        <w:t>T</w:t>
      </w:r>
      <w:r w:rsidR="00141248" w:rsidRPr="00844B56">
        <w:rPr>
          <w:rFonts w:ascii="Times New Roman" w:hAnsi="Times New Roman" w:cs="Times New Roman"/>
          <w:bCs/>
          <w:color w:val="77206D" w:themeColor="accent5" w:themeShade="BF"/>
        </w:rPr>
        <w:t xml:space="preserve">he author has </w:t>
      </w:r>
      <w:r w:rsidR="0086301E" w:rsidRPr="00844B56">
        <w:rPr>
          <w:rFonts w:ascii="Times New Roman" w:hAnsi="Times New Roman" w:cs="Times New Roman"/>
          <w:bCs/>
          <w:color w:val="77206D" w:themeColor="accent5" w:themeShade="BF"/>
        </w:rPr>
        <w:t>addressed</w:t>
      </w:r>
      <w:r w:rsidR="00141248" w:rsidRPr="00844B56">
        <w:rPr>
          <w:rFonts w:ascii="Times New Roman" w:hAnsi="Times New Roman" w:cs="Times New Roman"/>
          <w:bCs/>
          <w:color w:val="77206D" w:themeColor="accent5" w:themeShade="BF"/>
        </w:rPr>
        <w:t xml:space="preserve"> </w:t>
      </w:r>
      <w:r w:rsidR="00186A8F" w:rsidRPr="00844B56">
        <w:rPr>
          <w:rFonts w:ascii="Times New Roman" w:hAnsi="Times New Roman" w:cs="Times New Roman"/>
          <w:bCs/>
          <w:color w:val="77206D" w:themeColor="accent5" w:themeShade="BF"/>
        </w:rPr>
        <w:t xml:space="preserve">the </w:t>
      </w:r>
      <w:r w:rsidR="00FE1506" w:rsidRPr="00844B56">
        <w:rPr>
          <w:rFonts w:ascii="Times New Roman" w:hAnsi="Times New Roman" w:cs="Times New Roman"/>
          <w:bCs/>
          <w:color w:val="77206D" w:themeColor="accent5" w:themeShade="BF"/>
        </w:rPr>
        <w:t>referee</w:t>
      </w:r>
      <w:r w:rsidR="00186A8F" w:rsidRPr="00844B56">
        <w:rPr>
          <w:rFonts w:ascii="Times New Roman" w:hAnsi="Times New Roman" w:cs="Times New Roman"/>
          <w:bCs/>
          <w:color w:val="77206D" w:themeColor="accent5" w:themeShade="BF"/>
        </w:rPr>
        <w:t xml:space="preserve">’s comment and has </w:t>
      </w:r>
      <w:r w:rsidR="0086301E" w:rsidRPr="00844B56">
        <w:rPr>
          <w:rFonts w:ascii="Times New Roman" w:hAnsi="Times New Roman" w:cs="Times New Roman"/>
          <w:bCs/>
          <w:color w:val="77206D" w:themeColor="accent5" w:themeShade="BF"/>
        </w:rPr>
        <w:t>made the following changes:</w:t>
      </w:r>
    </w:p>
    <w:p w14:paraId="20B68A3E" w14:textId="782DD9E9" w:rsidR="004C2FFE" w:rsidRPr="00844B56" w:rsidRDefault="004C2FFE" w:rsidP="00C939D1">
      <w:pPr>
        <w:pStyle w:val="ListParagraph"/>
        <w:numPr>
          <w:ilvl w:val="0"/>
          <w:numId w:val="11"/>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changed “TFP estimation” </w:t>
      </w:r>
      <w:r w:rsidR="00280877" w:rsidRPr="00844B56">
        <w:rPr>
          <w:rFonts w:ascii="Times New Roman" w:hAnsi="Times New Roman" w:cs="Times New Roman"/>
          <w:bCs/>
          <w:color w:val="77206D" w:themeColor="accent5" w:themeShade="BF"/>
        </w:rPr>
        <w:t>to "</w:t>
      </w:r>
      <w:r w:rsidRPr="00844B56">
        <w:rPr>
          <w:rFonts w:ascii="Times New Roman" w:hAnsi="Times New Roman" w:cs="Times New Roman"/>
          <w:bCs/>
          <w:color w:val="77206D" w:themeColor="accent5" w:themeShade="BF"/>
        </w:rPr>
        <w:t xml:space="preserve"> TFP estimates.</w:t>
      </w:r>
    </w:p>
    <w:p w14:paraId="0F27C66A" w14:textId="7CB5DFF7" w:rsidR="00507B02" w:rsidRPr="00844B56" w:rsidRDefault="001F36FD" w:rsidP="00C939D1">
      <w:pPr>
        <w:pStyle w:val="ListParagraph"/>
        <w:numPr>
          <w:ilvl w:val="0"/>
          <w:numId w:val="11"/>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included the most important characteristics of the TFP estimates in the Data section and Appendix A. These details indicate that the production function was estimated by industry using the specification of </w:t>
      </w:r>
      <w:sdt>
        <w:sdtPr>
          <w:rPr>
            <w:rFonts w:ascii="Times New Roman" w:hAnsi="Times New Roman" w:cs="Times New Roman"/>
            <w:bCs/>
            <w:color w:val="77206D"/>
          </w:rPr>
          <w:tag w:val="MENDELEY_CITATION_v3_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"/>
          <w:id w:val="-1439364735"/>
          <w:placeholder>
            <w:docPart w:val="DefaultPlaceholder_-1854013440"/>
          </w:placeholder>
        </w:sdtPr>
        <w:sdtContent>
          <w:r w:rsidR="003C0A51" w:rsidRPr="003C0A51">
            <w:rPr>
              <w:rFonts w:ascii="Times New Roman" w:eastAsia="Times New Roman" w:hAnsi="Times New Roman" w:cs="Times New Roman"/>
              <w:color w:val="77206D"/>
            </w:rPr>
            <w:t xml:space="preserve">Klette &amp; </w:t>
          </w:r>
          <w:proofErr w:type="spellStart"/>
          <w:r w:rsidR="003C0A51" w:rsidRPr="003C0A51">
            <w:rPr>
              <w:rFonts w:ascii="Times New Roman" w:eastAsia="Times New Roman" w:hAnsi="Times New Roman" w:cs="Times New Roman"/>
              <w:color w:val="77206D"/>
            </w:rPr>
            <w:t>Griliches</w:t>
          </w:r>
          <w:proofErr w:type="spellEnd"/>
          <w:r w:rsidR="003C0A51" w:rsidRPr="003C0A51">
            <w:rPr>
              <w:rFonts w:ascii="Times New Roman" w:eastAsia="Times New Roman" w:hAnsi="Times New Roman" w:cs="Times New Roman"/>
              <w:color w:val="77206D"/>
            </w:rPr>
            <w:t xml:space="preserve"> (1996)</w:t>
          </w:r>
        </w:sdtContent>
      </w:sdt>
      <w:r w:rsidR="008878DC">
        <w:rPr>
          <w:rFonts w:ascii="Times New Roman" w:hAnsi="Times New Roman" w:cs="Times New Roman"/>
          <w:bCs/>
          <w:color w:val="77206D"/>
        </w:rPr>
        <w:t xml:space="preserve"> </w:t>
      </w:r>
      <w:r w:rsidRPr="00844B56">
        <w:rPr>
          <w:rFonts w:ascii="Times New Roman" w:hAnsi="Times New Roman" w:cs="Times New Roman"/>
          <w:bCs/>
          <w:color w:val="77206D" w:themeColor="accent5" w:themeShade="BF"/>
        </w:rPr>
        <w:t xml:space="preserve"> and parameterised with the </w:t>
      </w:r>
      <w:sdt>
        <w:sdtPr>
          <w:rPr>
            <w:rFonts w:ascii="Times New Roman" w:hAnsi="Times New Roman" w:cs="Times New Roman"/>
            <w:bCs/>
            <w:color w:val="77206D" w:themeColor="accent5" w:themeShade="BF"/>
          </w:rPr>
          <w:tag w:val="MENDELEY_CITATION_v3_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"/>
          <w:id w:val="395182337"/>
          <w:placeholder>
            <w:docPart w:val="DefaultPlaceholder_-1854013440"/>
          </w:placeholder>
        </w:sdtPr>
        <w:sdtContent>
          <w:r w:rsidR="003C0A51" w:rsidRPr="003C0A51">
            <w:rPr>
              <w:rFonts w:ascii="Times New Roman" w:hAnsi="Times New Roman" w:cs="Times New Roman"/>
              <w:bCs/>
              <w:color w:val="77206D"/>
            </w:rPr>
            <w:t>Wooldridge (2009)</w:t>
          </w:r>
        </w:sdtContent>
      </w:sdt>
      <w:r w:rsidR="00777334">
        <w:rPr>
          <w:rFonts w:ascii="Times New Roman" w:hAnsi="Times New Roman" w:cs="Times New Roman"/>
          <w:bCs/>
          <w:color w:val="77206D" w:themeColor="accent5" w:themeShade="BF"/>
        </w:rPr>
        <w:t xml:space="preserve"> </w:t>
      </w:r>
      <w:r w:rsidRPr="00844B56">
        <w:rPr>
          <w:rFonts w:ascii="Times New Roman" w:hAnsi="Times New Roman" w:cs="Times New Roman"/>
          <w:bCs/>
          <w:color w:val="77206D" w:themeColor="accent5" w:themeShade="BF"/>
        </w:rPr>
        <w:t xml:space="preserve"> panel data model. The production function uses an output-based approach and three inputs (i.e., intermediate inputs, capital, and employment), following </w:t>
      </w:r>
      <w:r w:rsidR="00DD42ED">
        <w:rPr>
          <w:rFonts w:ascii="Times New Roman" w:hAnsi="Times New Roman" w:cs="Times New Roman"/>
          <w:bCs/>
          <w:color w:val="77206D" w:themeColor="accent5" w:themeShade="BF"/>
        </w:rPr>
        <w:t xml:space="preserve">the specification from </w:t>
      </w:r>
      <w:sdt>
        <w:sdtPr>
          <w:rPr>
            <w:rFonts w:ascii="Times New Roman" w:hAnsi="Times New Roman" w:cs="Times New Roman"/>
            <w:bCs/>
            <w:color w:val="77206D" w:themeColor="accent5" w:themeShade="BF"/>
          </w:rPr>
          <w:tag w:val="MENDELEY_CITATION_v3_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"/>
          <w:id w:val="570389092"/>
          <w:placeholder>
            <w:docPart w:val="DefaultPlaceholder_-1854013440"/>
          </w:placeholder>
        </w:sdtPr>
        <w:sdtContent>
          <w:r w:rsidR="003C0A51" w:rsidRPr="003C0A51">
            <w:rPr>
              <w:rFonts w:ascii="Times New Roman" w:hAnsi="Times New Roman" w:cs="Times New Roman"/>
              <w:bCs/>
              <w:color w:val="77206D"/>
            </w:rPr>
            <w:t>Harris (2021)</w:t>
          </w:r>
        </w:sdtContent>
      </w:sdt>
      <w:r w:rsidR="00777334">
        <w:rPr>
          <w:rFonts w:ascii="Times New Roman" w:hAnsi="Times New Roman" w:cs="Times New Roman"/>
          <w:bCs/>
          <w:color w:val="77206D" w:themeColor="accent5" w:themeShade="BF"/>
        </w:rPr>
        <w:t xml:space="preserve"> </w:t>
      </w:r>
      <w:r w:rsidRPr="00844B56">
        <w:rPr>
          <w:rFonts w:ascii="Times New Roman" w:hAnsi="Times New Roman" w:cs="Times New Roman"/>
          <w:bCs/>
          <w:color w:val="77206D" w:themeColor="accent5" w:themeShade="BF"/>
        </w:rPr>
        <w:t>.</w:t>
      </w:r>
    </w:p>
    <w:p w14:paraId="6260C3EE" w14:textId="77777777" w:rsidR="00141248" w:rsidRPr="004C778D" w:rsidRDefault="00141248" w:rsidP="00C939D1">
      <w:pPr>
        <w:spacing w:after="33" w:line="266" w:lineRule="auto"/>
        <w:jc w:val="both"/>
        <w:rPr>
          <w:rFonts w:ascii="Times New Roman" w:hAnsi="Times New Roman" w:cs="Times New Roman"/>
          <w:bCs/>
        </w:rPr>
      </w:pPr>
    </w:p>
    <w:p w14:paraId="27317F78" w14:textId="4CFE5024"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A related and important issue is how can we compare </w:t>
      </w:r>
      <w:proofErr w:type="spellStart"/>
      <w:r w:rsidRPr="004C778D">
        <w:rPr>
          <w:rFonts w:ascii="Times New Roman" w:hAnsi="Times New Roman" w:cs="Times New Roman"/>
          <w:bCs/>
        </w:rPr>
        <w:t>tfp</w:t>
      </w:r>
      <w:proofErr w:type="spellEnd"/>
      <w:r w:rsidRPr="004C778D">
        <w:rPr>
          <w:rFonts w:ascii="Times New Roman" w:hAnsi="Times New Roman" w:cs="Times New Roman"/>
          <w:bCs/>
        </w:rPr>
        <w:t xml:space="preserve"> levels across different groups, e.g. sectors or geography. The cells we use to estimate production functions is crucial for this reason. In addition, cross-group comparison is difficult because </w:t>
      </w:r>
      <w:proofErr w:type="spellStart"/>
      <w:r w:rsidRPr="004C778D">
        <w:rPr>
          <w:rFonts w:ascii="Times New Roman" w:hAnsi="Times New Roman" w:cs="Times New Roman"/>
          <w:bCs/>
        </w:rPr>
        <w:t>tfp</w:t>
      </w:r>
      <w:proofErr w:type="spellEnd"/>
      <w:r w:rsidRPr="004C778D">
        <w:rPr>
          <w:rFonts w:ascii="Times New Roman" w:hAnsi="Times New Roman" w:cs="Times New Roman"/>
          <w:bCs/>
        </w:rPr>
        <w:t xml:space="preserve"> in mining likely means something different from </w:t>
      </w:r>
      <w:proofErr w:type="spellStart"/>
      <w:r w:rsidRPr="004C778D">
        <w:rPr>
          <w:rFonts w:ascii="Times New Roman" w:hAnsi="Times New Roman" w:cs="Times New Roman"/>
          <w:bCs/>
        </w:rPr>
        <w:t>tfp</w:t>
      </w:r>
      <w:proofErr w:type="spellEnd"/>
      <w:r w:rsidRPr="004C778D">
        <w:rPr>
          <w:rFonts w:ascii="Times New Roman" w:hAnsi="Times New Roman" w:cs="Times New Roman"/>
          <w:bCs/>
        </w:rPr>
        <w:t xml:space="preserve"> in finance. One could use normalized measures otherwise we compare apples with oranges.</w:t>
      </w:r>
    </w:p>
    <w:p w14:paraId="095FCEF4" w14:textId="77777777" w:rsidR="006349BD" w:rsidRPr="004C778D" w:rsidRDefault="006349BD" w:rsidP="00C939D1">
      <w:pPr>
        <w:spacing w:after="33" w:line="266" w:lineRule="auto"/>
        <w:jc w:val="both"/>
        <w:rPr>
          <w:rFonts w:ascii="Times New Roman" w:hAnsi="Times New Roman" w:cs="Times New Roman"/>
          <w:bCs/>
        </w:rPr>
      </w:pPr>
    </w:p>
    <w:p w14:paraId="11B968F3" w14:textId="77777777" w:rsidR="00AC64DC" w:rsidRPr="00844B56" w:rsidRDefault="00AC64DC"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Two concepts in the literature help compare TFP across sectors: (</w:t>
      </w:r>
      <w:proofErr w:type="spellStart"/>
      <w:r w:rsidRPr="00844B56">
        <w:rPr>
          <w:rFonts w:ascii="Times New Roman" w:hAnsi="Times New Roman" w:cs="Times New Roman"/>
          <w:bCs/>
          <w:color w:val="77206D" w:themeColor="accent5" w:themeShade="BF"/>
        </w:rPr>
        <w:t>i</w:t>
      </w:r>
      <w:proofErr w:type="spellEnd"/>
      <w:r w:rsidRPr="00844B56">
        <w:rPr>
          <w:rFonts w:ascii="Times New Roman" w:hAnsi="Times New Roman" w:cs="Times New Roman"/>
          <w:bCs/>
          <w:color w:val="77206D" w:themeColor="accent5" w:themeShade="BF"/>
        </w:rPr>
        <w:t>) weighted-average elasticities in the production function, and (ii) normalised weights within sectors.</w:t>
      </w:r>
    </w:p>
    <w:p w14:paraId="4828A679" w14:textId="543A1320" w:rsidR="00AC64DC" w:rsidRPr="00844B56" w:rsidRDefault="00AC64DC" w:rsidP="00C939D1">
      <w:pPr>
        <w:pStyle w:val="ListParagraph"/>
        <w:numPr>
          <w:ilvl w:val="0"/>
          <w:numId w:val="12"/>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Table 2 shows that the production functions were estimated by industry. The author then weighted and aggregated the production-function elasticities to obtain national-level elasticities and ensure homogeneity across the economy, following </w:t>
      </w:r>
      <w:sdt>
        <w:sdtPr>
          <w:rPr>
            <w:rFonts w:ascii="Times New Roman" w:hAnsi="Times New Roman" w:cs="Times New Roman"/>
            <w:bCs/>
            <w:color w:val="77206D" w:themeColor="accent5" w:themeShade="BF"/>
          </w:rPr>
          <w:tag w:val="MENDELEY_CITATION_v3_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"/>
          <w:id w:val="-258060238"/>
          <w:placeholder>
            <w:docPart w:val="3F6BBE14ACCD44B88FE5D16725469A1E"/>
          </w:placeholder>
        </w:sdtPr>
        <w:sdtContent>
          <w:r w:rsidR="003C0A51" w:rsidRPr="003C0A51">
            <w:rPr>
              <w:rFonts w:ascii="Times New Roman" w:hAnsi="Times New Roman" w:cs="Times New Roman"/>
              <w:bCs/>
              <w:color w:val="77206D"/>
            </w:rPr>
            <w:t>Harris (2021)</w:t>
          </w:r>
        </w:sdtContent>
      </w:sdt>
      <w:r w:rsidRPr="00844B56">
        <w:rPr>
          <w:rFonts w:ascii="Times New Roman" w:hAnsi="Times New Roman" w:cs="Times New Roman"/>
          <w:bCs/>
          <w:color w:val="77206D" w:themeColor="accent5" w:themeShade="BF"/>
        </w:rPr>
        <w:t>. This production</w:t>
      </w:r>
      <w:r w:rsidR="00D24449" w:rsidRPr="00844B56">
        <w:rPr>
          <w:rFonts w:ascii="Times New Roman" w:hAnsi="Times New Roman" w:cs="Times New Roman"/>
          <w:bCs/>
          <w:color w:val="77206D" w:themeColor="accent5" w:themeShade="BF"/>
        </w:rPr>
        <w:t xml:space="preserve"> </w:t>
      </w:r>
      <w:r w:rsidRPr="00844B56">
        <w:rPr>
          <w:rFonts w:ascii="Times New Roman" w:hAnsi="Times New Roman" w:cs="Times New Roman"/>
          <w:bCs/>
          <w:color w:val="77206D" w:themeColor="accent5" w:themeShade="BF"/>
        </w:rPr>
        <w:t xml:space="preserve">function assumption facilitates TFP comparisons across sectors. See the last row of Table 2, which reports the weighted-average production-function elasticities at the national level. </w:t>
      </w:r>
    </w:p>
    <w:p w14:paraId="1685D541" w14:textId="1101E17C" w:rsidR="006349BD" w:rsidRPr="00844B56" w:rsidRDefault="00AC64DC" w:rsidP="00C939D1">
      <w:pPr>
        <w:pStyle w:val="ListParagraph"/>
        <w:numPr>
          <w:ilvl w:val="0"/>
          <w:numId w:val="12"/>
        </w:num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Aggregate TFP levels are compared across groups (e.g. sectors and geographies) using normalised weights, which facilitate comparisons of weighted-average TFP across subgroups and over time. See page 7 for an explanation of normalised weights.</w:t>
      </w:r>
    </w:p>
    <w:p w14:paraId="2EE27313" w14:textId="77777777" w:rsidR="006349BD" w:rsidRPr="004C778D" w:rsidRDefault="006349BD" w:rsidP="00C939D1">
      <w:pPr>
        <w:spacing w:after="33" w:line="266" w:lineRule="auto"/>
        <w:jc w:val="both"/>
        <w:rPr>
          <w:rFonts w:ascii="Times New Roman" w:hAnsi="Times New Roman" w:cs="Times New Roman"/>
          <w:bCs/>
        </w:rPr>
      </w:pPr>
    </w:p>
    <w:p w14:paraId="30F3D6DE"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Table 1 --with weird language in notes-- is not necessary. Just say it in the text. </w:t>
      </w:r>
    </w:p>
    <w:p w14:paraId="23789D4D" w14:textId="77777777" w:rsidR="00E44D0B" w:rsidRPr="004C778D" w:rsidRDefault="00E44D0B" w:rsidP="00C939D1">
      <w:pPr>
        <w:spacing w:after="33" w:line="266" w:lineRule="auto"/>
        <w:jc w:val="both"/>
        <w:rPr>
          <w:rFonts w:ascii="Times New Roman" w:hAnsi="Times New Roman" w:cs="Times New Roman"/>
          <w:bCs/>
        </w:rPr>
      </w:pPr>
    </w:p>
    <w:p w14:paraId="304E573B" w14:textId="27A20BD1" w:rsidR="00E44D0B" w:rsidRPr="00844B56" w:rsidRDefault="00F64310" w:rsidP="00C939D1">
      <w:pPr>
        <w:spacing w:after="33" w:line="266" w:lineRule="auto"/>
        <w:jc w:val="both"/>
        <w:rPr>
          <w:rFonts w:ascii="Times New Roman" w:hAnsi="Times New Roman" w:cs="Times New Roman"/>
          <w:bCs/>
          <w:color w:val="77206D" w:themeColor="accent5" w:themeShade="BF"/>
        </w:rPr>
      </w:pPr>
      <w:r w:rsidRPr="00844B56">
        <w:rPr>
          <w:rFonts w:ascii="Times New Roman" w:hAnsi="Times New Roman" w:cs="Times New Roman"/>
          <w:bCs/>
          <w:color w:val="77206D" w:themeColor="accent5" w:themeShade="BF"/>
        </w:rPr>
        <w:t xml:space="preserve">The author removed Table 1 and </w:t>
      </w:r>
      <w:r w:rsidR="007431F6" w:rsidRPr="00844B56">
        <w:rPr>
          <w:rFonts w:ascii="Times New Roman" w:hAnsi="Times New Roman" w:cs="Times New Roman"/>
          <w:bCs/>
          <w:color w:val="77206D" w:themeColor="accent5" w:themeShade="BF"/>
        </w:rPr>
        <w:t>noted</w:t>
      </w:r>
      <w:r w:rsidRPr="00844B56">
        <w:rPr>
          <w:rFonts w:ascii="Times New Roman" w:hAnsi="Times New Roman" w:cs="Times New Roman"/>
          <w:bCs/>
          <w:color w:val="77206D" w:themeColor="accent5" w:themeShade="BF"/>
        </w:rPr>
        <w:t xml:space="preserve"> that the productivity analyses are divided into two parts: TFP level and TFP growth,</w:t>
      </w:r>
      <w:r w:rsidR="009E5548" w:rsidRPr="00844B56">
        <w:rPr>
          <w:rFonts w:ascii="Times New Roman" w:hAnsi="Times New Roman" w:cs="Times New Roman"/>
          <w:bCs/>
          <w:color w:val="77206D" w:themeColor="accent5" w:themeShade="BF"/>
        </w:rPr>
        <w:t xml:space="preserve"> at</w:t>
      </w:r>
      <w:r w:rsidR="006C3D86" w:rsidRPr="00844B56">
        <w:rPr>
          <w:rFonts w:ascii="Times New Roman" w:hAnsi="Times New Roman" w:cs="Times New Roman"/>
          <w:bCs/>
          <w:color w:val="77206D" w:themeColor="accent5" w:themeShade="BF"/>
        </w:rPr>
        <w:t xml:space="preserve"> the start of section 3,</w:t>
      </w:r>
      <w:r w:rsidR="000A7980" w:rsidRPr="00844B56">
        <w:rPr>
          <w:rFonts w:ascii="Times New Roman" w:hAnsi="Times New Roman" w:cs="Times New Roman"/>
          <w:bCs/>
          <w:color w:val="77206D" w:themeColor="accent5" w:themeShade="BF"/>
        </w:rPr>
        <w:t xml:space="preserve"> “Methodology and data”. </w:t>
      </w:r>
    </w:p>
    <w:p w14:paraId="17A18F68" w14:textId="77777777" w:rsidR="00E44D0B" w:rsidRPr="00844B56" w:rsidRDefault="00E44D0B" w:rsidP="00C939D1">
      <w:pPr>
        <w:spacing w:after="33" w:line="266" w:lineRule="auto"/>
        <w:jc w:val="both"/>
        <w:rPr>
          <w:rFonts w:ascii="Times New Roman" w:hAnsi="Times New Roman" w:cs="Times New Roman"/>
          <w:bCs/>
          <w:color w:val="77206D" w:themeColor="accent5" w:themeShade="BF"/>
        </w:rPr>
      </w:pPr>
    </w:p>
    <w:p w14:paraId="1586C5F0"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Weights. A weighted average does not ‘consider’ anything. Weights can be useful for various reasons. For example, weighted aggregation is informative if the weighted average is not equal the unweighted average, which means there are differences in </w:t>
      </w:r>
      <w:proofErr w:type="spellStart"/>
      <w:r w:rsidRPr="004C778D">
        <w:rPr>
          <w:rFonts w:ascii="Times New Roman" w:hAnsi="Times New Roman" w:cs="Times New Roman"/>
          <w:bCs/>
        </w:rPr>
        <w:t>behavior</w:t>
      </w:r>
      <w:proofErr w:type="spellEnd"/>
      <w:r w:rsidRPr="004C778D">
        <w:rPr>
          <w:rFonts w:ascii="Times New Roman" w:hAnsi="Times New Roman" w:cs="Times New Roman"/>
          <w:bCs/>
        </w:rPr>
        <w:t xml:space="preserve"> along the dimension the weighting variable measures. For example, in the case when weights are based on some measure of size, such difference means large units behave differently from small units. As another example, in Domar-aggregation weights capture ripple effects of productivity gains. And so forth. Poor writing aside, I am not sure what we are trying to say here. </w:t>
      </w:r>
    </w:p>
    <w:p w14:paraId="52984AAC" w14:textId="77777777" w:rsidR="00186F89" w:rsidRPr="004C778D" w:rsidRDefault="00186F89" w:rsidP="00C939D1">
      <w:pPr>
        <w:spacing w:after="33" w:line="266" w:lineRule="auto"/>
        <w:jc w:val="both"/>
        <w:rPr>
          <w:rFonts w:ascii="Times New Roman" w:hAnsi="Times New Roman" w:cs="Times New Roman"/>
          <w:bCs/>
        </w:rPr>
      </w:pPr>
    </w:p>
    <w:p w14:paraId="212680AB" w14:textId="7189037C" w:rsidR="00186F89" w:rsidRPr="005A5BA0" w:rsidRDefault="00C46AC8"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The author</w:t>
      </w:r>
      <w:r w:rsidR="007D039C" w:rsidRPr="005A5BA0">
        <w:rPr>
          <w:rFonts w:ascii="Times New Roman" w:hAnsi="Times New Roman" w:cs="Times New Roman"/>
          <w:bCs/>
          <w:color w:val="77206D" w:themeColor="accent5" w:themeShade="BF"/>
        </w:rPr>
        <w:t xml:space="preserve"> </w:t>
      </w:r>
      <w:r w:rsidR="00251A70" w:rsidRPr="005A5BA0">
        <w:rPr>
          <w:rFonts w:ascii="Times New Roman" w:hAnsi="Times New Roman" w:cs="Times New Roman"/>
          <w:bCs/>
          <w:color w:val="77206D" w:themeColor="accent5" w:themeShade="BF"/>
        </w:rPr>
        <w:t xml:space="preserve">agrees with the </w:t>
      </w:r>
      <w:r w:rsidR="00FE1506" w:rsidRPr="005A5BA0">
        <w:rPr>
          <w:rFonts w:ascii="Times New Roman" w:hAnsi="Times New Roman" w:cs="Times New Roman"/>
          <w:bCs/>
          <w:color w:val="77206D" w:themeColor="accent5" w:themeShade="BF"/>
        </w:rPr>
        <w:t>referee</w:t>
      </w:r>
      <w:r w:rsidR="00251A70" w:rsidRPr="005A5BA0">
        <w:rPr>
          <w:rFonts w:ascii="Times New Roman" w:hAnsi="Times New Roman" w:cs="Times New Roman"/>
          <w:bCs/>
          <w:color w:val="77206D" w:themeColor="accent5" w:themeShade="BF"/>
        </w:rPr>
        <w:t xml:space="preserve"> and </w:t>
      </w:r>
      <w:r w:rsidR="00186F89" w:rsidRPr="005A5BA0">
        <w:rPr>
          <w:rFonts w:ascii="Times New Roman" w:hAnsi="Times New Roman" w:cs="Times New Roman"/>
          <w:bCs/>
          <w:color w:val="77206D" w:themeColor="accent5" w:themeShade="BF"/>
        </w:rPr>
        <w:t xml:space="preserve">has </w:t>
      </w:r>
      <w:r w:rsidR="00920FD8" w:rsidRPr="005A5BA0">
        <w:rPr>
          <w:rFonts w:ascii="Times New Roman" w:hAnsi="Times New Roman" w:cs="Times New Roman"/>
          <w:bCs/>
          <w:color w:val="77206D" w:themeColor="accent5" w:themeShade="BF"/>
        </w:rPr>
        <w:t>amended</w:t>
      </w:r>
      <w:r w:rsidR="00643F19" w:rsidRPr="005A5BA0">
        <w:rPr>
          <w:rFonts w:ascii="Times New Roman" w:hAnsi="Times New Roman" w:cs="Times New Roman"/>
          <w:bCs/>
          <w:color w:val="77206D" w:themeColor="accent5" w:themeShade="BF"/>
        </w:rPr>
        <w:t xml:space="preserve"> </w:t>
      </w:r>
      <w:r w:rsidR="0061131D" w:rsidRPr="005A5BA0">
        <w:rPr>
          <w:rFonts w:ascii="Times New Roman" w:hAnsi="Times New Roman" w:cs="Times New Roman"/>
          <w:bCs/>
          <w:color w:val="77206D" w:themeColor="accent5" w:themeShade="BF"/>
        </w:rPr>
        <w:t>with the</w:t>
      </w:r>
      <w:r w:rsidR="00962249" w:rsidRPr="005A5BA0">
        <w:rPr>
          <w:rFonts w:ascii="Times New Roman" w:hAnsi="Times New Roman" w:cs="Times New Roman"/>
          <w:bCs/>
          <w:color w:val="77206D" w:themeColor="accent5" w:themeShade="BF"/>
        </w:rPr>
        <w:t xml:space="preserve"> follow</w:t>
      </w:r>
      <w:r w:rsidR="0061131D" w:rsidRPr="005A5BA0">
        <w:rPr>
          <w:rFonts w:ascii="Times New Roman" w:hAnsi="Times New Roman" w:cs="Times New Roman"/>
          <w:bCs/>
          <w:color w:val="77206D" w:themeColor="accent5" w:themeShade="BF"/>
        </w:rPr>
        <w:t>ing two considerations</w:t>
      </w:r>
      <w:r w:rsidR="008374FB" w:rsidRPr="005A5BA0">
        <w:rPr>
          <w:rFonts w:ascii="Times New Roman" w:hAnsi="Times New Roman" w:cs="Times New Roman"/>
          <w:bCs/>
          <w:color w:val="77206D" w:themeColor="accent5" w:themeShade="BF"/>
        </w:rPr>
        <w:t>:</w:t>
      </w:r>
    </w:p>
    <w:p w14:paraId="1BF42811" w14:textId="48F22040" w:rsidR="00186F89" w:rsidRPr="005A5BA0" w:rsidRDefault="00BF7DE2" w:rsidP="00C939D1">
      <w:pPr>
        <w:pStyle w:val="ListParagraph"/>
        <w:numPr>
          <w:ilvl w:val="0"/>
          <w:numId w:val="13"/>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w:t>
      </w:r>
      <w:r w:rsidR="0003222A">
        <w:rPr>
          <w:rFonts w:ascii="Times New Roman" w:hAnsi="Times New Roman" w:cs="Times New Roman"/>
          <w:bCs/>
          <w:color w:val="77206D" w:themeColor="accent5" w:themeShade="BF"/>
        </w:rPr>
        <w:t xml:space="preserve">following </w:t>
      </w:r>
      <w:r w:rsidRPr="005A5BA0">
        <w:rPr>
          <w:rFonts w:ascii="Times New Roman" w:hAnsi="Times New Roman" w:cs="Times New Roman"/>
          <w:bCs/>
          <w:color w:val="77206D" w:themeColor="accent5" w:themeShade="BF"/>
        </w:rPr>
        <w:t xml:space="preserve">statement </w:t>
      </w:r>
      <w:r w:rsidR="0003222A">
        <w:rPr>
          <w:rFonts w:ascii="Times New Roman" w:hAnsi="Times New Roman" w:cs="Times New Roman"/>
          <w:bCs/>
          <w:color w:val="77206D" w:themeColor="accent5" w:themeShade="BF"/>
        </w:rPr>
        <w:t xml:space="preserve">has been removed: </w:t>
      </w:r>
      <w:r w:rsidRPr="005A5BA0">
        <w:rPr>
          <w:rFonts w:ascii="Times New Roman" w:hAnsi="Times New Roman" w:cs="Times New Roman"/>
          <w:bCs/>
          <w:color w:val="77206D" w:themeColor="accent5" w:themeShade="BF"/>
        </w:rPr>
        <w:t>“The weighted average considers imperfect competition as an establishment has a higher relative importance over its counterparts (i.e. market power).”.</w:t>
      </w:r>
    </w:p>
    <w:p w14:paraId="72CBB740" w14:textId="2034BA01" w:rsidR="00517673" w:rsidRPr="005A5BA0" w:rsidRDefault="00A61020" w:rsidP="00C939D1">
      <w:pPr>
        <w:pStyle w:val="ListParagraph"/>
        <w:numPr>
          <w:ilvl w:val="0"/>
          <w:numId w:val="13"/>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Footnote 5 has been included</w:t>
      </w:r>
      <w:r w:rsidR="00BC5E77" w:rsidRPr="005A5BA0">
        <w:rPr>
          <w:rFonts w:ascii="Times New Roman" w:hAnsi="Times New Roman" w:cs="Times New Roman"/>
          <w:bCs/>
          <w:color w:val="77206D" w:themeColor="accent5" w:themeShade="BF"/>
        </w:rPr>
        <w:t xml:space="preserve"> to clarify the role of weights in calculating</w:t>
      </w:r>
      <w:r w:rsidR="00DE1A2B" w:rsidRPr="005A5BA0">
        <w:rPr>
          <w:rFonts w:ascii="Times New Roman" w:hAnsi="Times New Roman" w:cs="Times New Roman"/>
          <w:bCs/>
          <w:color w:val="77206D" w:themeColor="accent5" w:themeShade="BF"/>
        </w:rPr>
        <w:t xml:space="preserve"> aggregate productivity growt</w:t>
      </w:r>
      <w:r w:rsidR="00C45CC2" w:rsidRPr="005A5BA0">
        <w:rPr>
          <w:rFonts w:ascii="Times New Roman" w:hAnsi="Times New Roman" w:cs="Times New Roman"/>
          <w:bCs/>
          <w:color w:val="77206D" w:themeColor="accent5" w:themeShade="BF"/>
        </w:rPr>
        <w:t xml:space="preserve">h. The </w:t>
      </w:r>
      <w:r w:rsidR="006530CB" w:rsidRPr="005A5BA0">
        <w:rPr>
          <w:rFonts w:ascii="Times New Roman" w:hAnsi="Times New Roman" w:cs="Times New Roman"/>
          <w:bCs/>
          <w:color w:val="77206D" w:themeColor="accent5" w:themeShade="BF"/>
        </w:rPr>
        <w:t xml:space="preserve">author </w:t>
      </w:r>
      <w:r w:rsidRPr="005A5BA0">
        <w:rPr>
          <w:rFonts w:ascii="Times New Roman" w:hAnsi="Times New Roman" w:cs="Times New Roman"/>
          <w:bCs/>
          <w:color w:val="77206D" w:themeColor="accent5" w:themeShade="BF"/>
        </w:rPr>
        <w:t xml:space="preserve">cites </w:t>
      </w:r>
      <w:sdt>
        <w:sdtPr>
          <w:rPr>
            <w:rFonts w:ascii="Times New Roman" w:hAnsi="Times New Roman" w:cs="Times New Roman"/>
            <w:bCs/>
            <w:color w:val="77206D" w:themeColor="accent5" w:themeShade="BF"/>
          </w:rPr>
          <w:tag w:val="MENDELEY_CITATION_v3_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"/>
          <w:id w:val="893011384"/>
          <w:placeholder>
            <w:docPart w:val="DefaultPlaceholder_-1854013440"/>
          </w:placeholder>
        </w:sdtPr>
        <w:sdtContent>
          <w:r w:rsidR="003C0A51" w:rsidRPr="003C0A51">
            <w:rPr>
              <w:rFonts w:ascii="Times New Roman" w:hAnsi="Times New Roman" w:cs="Times New Roman"/>
              <w:bCs/>
              <w:color w:val="77206D"/>
            </w:rPr>
            <w:t>Foster et al. (2001)</w:t>
          </w:r>
        </w:sdtContent>
      </w:sdt>
      <w:r w:rsidR="00420275">
        <w:rPr>
          <w:rFonts w:ascii="Times New Roman" w:hAnsi="Times New Roman" w:cs="Times New Roman"/>
          <w:bCs/>
          <w:color w:val="77206D" w:themeColor="accent5" w:themeShade="BF"/>
        </w:rPr>
        <w:t xml:space="preserve"> </w:t>
      </w:r>
      <w:r w:rsidRPr="005A5BA0">
        <w:rPr>
          <w:rFonts w:ascii="Times New Roman" w:hAnsi="Times New Roman" w:cs="Times New Roman"/>
          <w:bCs/>
          <w:color w:val="77206D" w:themeColor="accent5" w:themeShade="BF"/>
        </w:rPr>
        <w:t xml:space="preserve"> to argue that changes in weights in the productivity growth decomposition reflect resource reallocation</w:t>
      </w:r>
      <w:r w:rsidR="00AC6612" w:rsidRPr="005A5BA0">
        <w:rPr>
          <w:rFonts w:ascii="Times New Roman" w:hAnsi="Times New Roman" w:cs="Times New Roman"/>
          <w:bCs/>
          <w:color w:val="77206D" w:themeColor="accent5" w:themeShade="BF"/>
        </w:rPr>
        <w:t xml:space="preserve">. </w:t>
      </w:r>
    </w:p>
    <w:p w14:paraId="013818F8" w14:textId="77777777" w:rsidR="00BE7C48" w:rsidRPr="005A5BA0" w:rsidRDefault="00BE7C48" w:rsidP="00C939D1">
      <w:pPr>
        <w:spacing w:after="33" w:line="266" w:lineRule="auto"/>
        <w:jc w:val="both"/>
        <w:rPr>
          <w:rFonts w:ascii="Times New Roman" w:hAnsi="Times New Roman" w:cs="Times New Roman"/>
          <w:bCs/>
          <w:color w:val="77206D" w:themeColor="accent5" w:themeShade="BF"/>
        </w:rPr>
      </w:pPr>
    </w:p>
    <w:p w14:paraId="16F872EE" w14:textId="4FD89F51"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lastRenderedPageBreak/>
        <w:t xml:space="preserve">Logarithmic approximation. The claim “weighted average TFP in levels is more accurate than in logarithms” does not make sense to me. More accurate relative to what? We know the log approximation becomes poorer as growth rates become bigger. It is a question of judgement if one uses logged values, and measuring TFP in logs also has advantages, i.e. statistic symmetry or the fact that the logarithmic transformation shrinks variance in certain parts of the domain, which can be useful, especially in the current context because there is ample evidence that the TFP distribution is skewed. By the same token, it is customary to use outlier filters in this literature. There is not one mention in the paper of atypical observations and how he addresses this issue. </w:t>
      </w:r>
    </w:p>
    <w:p w14:paraId="4AF71843" w14:textId="77777777" w:rsidR="004B43DF" w:rsidRPr="004C778D" w:rsidRDefault="004B43DF" w:rsidP="00C939D1">
      <w:pPr>
        <w:spacing w:after="33" w:line="266" w:lineRule="auto"/>
        <w:jc w:val="both"/>
        <w:rPr>
          <w:rFonts w:ascii="Times New Roman" w:hAnsi="Times New Roman" w:cs="Times New Roman"/>
          <w:bCs/>
        </w:rPr>
      </w:pPr>
    </w:p>
    <w:p w14:paraId="61B15508" w14:textId="5602AD4D" w:rsidR="00BB7E97" w:rsidRPr="005A5BA0" w:rsidRDefault="00B774F6"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As the </w:t>
      </w:r>
      <w:r w:rsidR="00A455A2" w:rsidRPr="005A5BA0">
        <w:rPr>
          <w:rFonts w:ascii="Times New Roman" w:hAnsi="Times New Roman" w:cs="Times New Roman"/>
          <w:bCs/>
          <w:color w:val="77206D" w:themeColor="accent5" w:themeShade="BF"/>
        </w:rPr>
        <w:t>referee</w:t>
      </w:r>
      <w:r w:rsidRPr="005A5BA0">
        <w:rPr>
          <w:rFonts w:ascii="Times New Roman" w:hAnsi="Times New Roman" w:cs="Times New Roman"/>
          <w:bCs/>
          <w:color w:val="77206D" w:themeColor="accent5" w:themeShade="BF"/>
        </w:rPr>
        <w:t xml:space="preserve"> </w:t>
      </w:r>
      <w:r w:rsidR="009B2518" w:rsidRPr="005A5BA0">
        <w:rPr>
          <w:rFonts w:ascii="Times New Roman" w:hAnsi="Times New Roman" w:cs="Times New Roman"/>
          <w:bCs/>
          <w:color w:val="77206D" w:themeColor="accent5" w:themeShade="BF"/>
        </w:rPr>
        <w:t>notes, whether to use logged values (or levels) is a matter of judgement, and that</w:t>
      </w:r>
      <w:r w:rsidR="00A5024E" w:rsidRPr="005A5BA0">
        <w:rPr>
          <w:rFonts w:ascii="Times New Roman" w:hAnsi="Times New Roman" w:cs="Times New Roman"/>
          <w:bCs/>
          <w:color w:val="77206D" w:themeColor="accent5" w:themeShade="BF"/>
        </w:rPr>
        <w:t xml:space="preserve"> judgement</w:t>
      </w:r>
      <w:r w:rsidR="00D83A4C" w:rsidRPr="005A5BA0">
        <w:rPr>
          <w:rFonts w:ascii="Times New Roman" w:hAnsi="Times New Roman" w:cs="Times New Roman"/>
          <w:bCs/>
          <w:color w:val="77206D" w:themeColor="accent5" w:themeShade="BF"/>
        </w:rPr>
        <w:t xml:space="preserve"> depends on the </w:t>
      </w:r>
      <w:r w:rsidR="000168F4" w:rsidRPr="005A5BA0">
        <w:rPr>
          <w:rFonts w:ascii="Times New Roman" w:hAnsi="Times New Roman" w:cs="Times New Roman"/>
          <w:bCs/>
          <w:color w:val="77206D" w:themeColor="accent5" w:themeShade="BF"/>
        </w:rPr>
        <w:t xml:space="preserve">research objectives. </w:t>
      </w:r>
      <w:r w:rsidR="00C20A18" w:rsidRPr="005A5BA0">
        <w:rPr>
          <w:rFonts w:ascii="Times New Roman" w:hAnsi="Times New Roman" w:cs="Times New Roman"/>
          <w:bCs/>
          <w:color w:val="77206D" w:themeColor="accent5" w:themeShade="BF"/>
        </w:rPr>
        <w:t xml:space="preserve">For example, </w:t>
      </w:r>
      <w:sdt>
        <w:sdtPr>
          <w:rPr>
            <w:rFonts w:ascii="Times New Roman" w:hAnsi="Times New Roman" w:cs="Times New Roman"/>
            <w:bCs/>
            <w:color w:val="77206D" w:themeColor="accent5" w:themeShade="BF"/>
          </w:rPr>
          <w:tag w:val="MENDELEY_CITATION_v3_eyJjaXRhdGlvbklEIjoiTUVOREVMRVlfQ0lUQVRJT05fYzhiZGYwODMtNTJhNC00ZTEzLTgxZTgtMzM4YjM2YjIzYmQ4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670911443"/>
          <w:placeholder>
            <w:docPart w:val="DefaultPlaceholder_-1854013440"/>
          </w:placeholder>
        </w:sdtPr>
        <w:sdtContent>
          <w:proofErr w:type="spellStart"/>
          <w:r w:rsidR="003C0A51" w:rsidRPr="003C0A51">
            <w:rPr>
              <w:rFonts w:ascii="Times New Roman" w:hAnsi="Times New Roman" w:cs="Times New Roman"/>
              <w:bCs/>
              <w:color w:val="77206D"/>
            </w:rPr>
            <w:t>Dosi</w:t>
          </w:r>
          <w:proofErr w:type="spellEnd"/>
          <w:r w:rsidR="003C0A51" w:rsidRPr="003C0A51">
            <w:rPr>
              <w:rFonts w:ascii="Times New Roman" w:hAnsi="Times New Roman" w:cs="Times New Roman"/>
              <w:bCs/>
              <w:color w:val="77206D"/>
            </w:rPr>
            <w:t xml:space="preserve"> et al. (2021)</w:t>
          </w:r>
        </w:sdtContent>
      </w:sdt>
      <w:r w:rsidR="00FD2CA1">
        <w:rPr>
          <w:rFonts w:ascii="Times New Roman" w:hAnsi="Times New Roman" w:cs="Times New Roman"/>
          <w:bCs/>
          <w:color w:val="77206D" w:themeColor="accent5" w:themeShade="BF"/>
        </w:rPr>
        <w:t xml:space="preserve"> </w:t>
      </w:r>
      <w:r w:rsidR="00DD5596" w:rsidRPr="005A5BA0">
        <w:rPr>
          <w:rFonts w:ascii="Times New Roman" w:hAnsi="Times New Roman" w:cs="Times New Roman"/>
          <w:bCs/>
          <w:color w:val="77206D" w:themeColor="accent5" w:themeShade="BF"/>
        </w:rPr>
        <w:t>use productivity in levels</w:t>
      </w:r>
      <w:r w:rsidR="00DD70CD" w:rsidRPr="005A5BA0">
        <w:rPr>
          <w:rFonts w:ascii="Times New Roman" w:hAnsi="Times New Roman" w:cs="Times New Roman"/>
          <w:bCs/>
          <w:color w:val="77206D" w:themeColor="accent5" w:themeShade="BF"/>
        </w:rPr>
        <w:t xml:space="preserve"> (i.e. </w:t>
      </w:r>
      <w:proofErr w:type="spellStart"/>
      <w:proofErr w:type="gramStart"/>
      <w:r w:rsidR="00DD70CD" w:rsidRPr="005A5BA0">
        <w:rPr>
          <w:rFonts w:ascii="Times New Roman" w:hAnsi="Times New Roman" w:cs="Times New Roman"/>
          <w:bCs/>
          <w:color w:val="77206D" w:themeColor="accent5" w:themeShade="BF"/>
        </w:rPr>
        <w:t>tg</w:t>
      </w:r>
      <w:proofErr w:type="spellEnd"/>
      <w:r w:rsidR="00DD70CD" w:rsidRPr="005A5BA0">
        <w:rPr>
          <w:rFonts w:ascii="Times New Roman" w:hAnsi="Times New Roman" w:cs="Times New Roman"/>
          <w:bCs/>
          <w:color w:val="77206D" w:themeColor="accent5" w:themeShade="BF"/>
        </w:rPr>
        <w:t>(</w:t>
      </w:r>
      <w:proofErr w:type="gramEnd"/>
      <w:r w:rsidR="00DD70CD" w:rsidRPr="005A5BA0">
        <w:rPr>
          <w:rFonts w:ascii="Times New Roman" w:hAnsi="Times New Roman" w:cs="Times New Roman"/>
          <w:bCs/>
          <w:color w:val="77206D" w:themeColor="accent5" w:themeShade="BF"/>
        </w:rPr>
        <w:t>))</w:t>
      </w:r>
      <w:r w:rsidR="00DD5596" w:rsidRPr="005A5BA0">
        <w:rPr>
          <w:rFonts w:ascii="Times New Roman" w:hAnsi="Times New Roman" w:cs="Times New Roman"/>
          <w:bCs/>
          <w:color w:val="77206D" w:themeColor="accent5" w:themeShade="BF"/>
        </w:rPr>
        <w:t xml:space="preserve"> to calculate Aggregate Productivity (AP</w:t>
      </w:r>
      <w:r w:rsidR="000F6B13" w:rsidRPr="005A5BA0">
        <w:rPr>
          <w:rFonts w:ascii="Times New Roman" w:hAnsi="Times New Roman" w:cs="Times New Roman"/>
          <w:bCs/>
          <w:color w:val="77206D" w:themeColor="accent5" w:themeShade="BF"/>
        </w:rPr>
        <w:t>) and</w:t>
      </w:r>
      <w:r w:rsidR="00DD5596" w:rsidRPr="005A5BA0">
        <w:rPr>
          <w:rFonts w:ascii="Times New Roman" w:hAnsi="Times New Roman" w:cs="Times New Roman"/>
          <w:bCs/>
          <w:color w:val="77206D" w:themeColor="accent5" w:themeShade="BF"/>
        </w:rPr>
        <w:t xml:space="preserve"> define the difference between years as Aggregate Productivity Growth (AP</w:t>
      </w:r>
      <w:r w:rsidR="00106A45" w:rsidRPr="005A5BA0">
        <w:rPr>
          <w:rFonts w:ascii="Times New Roman" w:hAnsi="Times New Roman" w:cs="Times New Roman"/>
          <w:bCs/>
          <w:color w:val="77206D" w:themeColor="accent5" w:themeShade="BF"/>
        </w:rPr>
        <w:t>G</w:t>
      </w:r>
      <w:r w:rsidR="00DD5596" w:rsidRPr="005A5BA0">
        <w:rPr>
          <w:rFonts w:ascii="Times New Roman" w:hAnsi="Times New Roman" w:cs="Times New Roman"/>
          <w:bCs/>
          <w:color w:val="77206D" w:themeColor="accent5" w:themeShade="BF"/>
        </w:rPr>
        <w:t>)</w:t>
      </w:r>
      <w:r w:rsidR="002B4699" w:rsidRPr="005A5BA0">
        <w:rPr>
          <w:rFonts w:ascii="Times New Roman" w:hAnsi="Times New Roman" w:cs="Times New Roman"/>
          <w:bCs/>
          <w:color w:val="77206D" w:themeColor="accent5" w:themeShade="BF"/>
        </w:rPr>
        <w:t xml:space="preserve">. </w:t>
      </w:r>
      <w:r w:rsidR="00DD5596" w:rsidRPr="005A5BA0">
        <w:rPr>
          <w:rFonts w:ascii="Times New Roman" w:hAnsi="Times New Roman" w:cs="Times New Roman"/>
          <w:bCs/>
          <w:color w:val="77206D" w:themeColor="accent5" w:themeShade="BF"/>
        </w:rPr>
        <w:t xml:space="preserve">See Tables </w:t>
      </w:r>
      <w:r w:rsidR="00984FA8" w:rsidRPr="005A5BA0">
        <w:rPr>
          <w:rFonts w:ascii="Times New Roman" w:hAnsi="Times New Roman" w:cs="Times New Roman"/>
          <w:bCs/>
          <w:color w:val="77206D" w:themeColor="accent5" w:themeShade="BF"/>
        </w:rPr>
        <w:t>3</w:t>
      </w:r>
      <w:r w:rsidR="00CB0B62" w:rsidRPr="005A5BA0">
        <w:rPr>
          <w:rFonts w:ascii="Times New Roman" w:hAnsi="Times New Roman" w:cs="Times New Roman"/>
          <w:bCs/>
          <w:color w:val="77206D" w:themeColor="accent5" w:themeShade="BF"/>
        </w:rPr>
        <w:t xml:space="preserve">, </w:t>
      </w:r>
      <w:r w:rsidR="00DD5596" w:rsidRPr="005A5BA0">
        <w:rPr>
          <w:rFonts w:ascii="Times New Roman" w:hAnsi="Times New Roman" w:cs="Times New Roman"/>
          <w:bCs/>
          <w:color w:val="77206D" w:themeColor="accent5" w:themeShade="BF"/>
        </w:rPr>
        <w:t>4</w:t>
      </w:r>
      <w:r w:rsidR="00CB0B62" w:rsidRPr="005A5BA0">
        <w:rPr>
          <w:rFonts w:ascii="Times New Roman" w:hAnsi="Times New Roman" w:cs="Times New Roman"/>
          <w:bCs/>
          <w:color w:val="77206D" w:themeColor="accent5" w:themeShade="BF"/>
        </w:rPr>
        <w:t>, A1</w:t>
      </w:r>
      <w:r w:rsidR="005B3A44" w:rsidRPr="005A5BA0">
        <w:rPr>
          <w:rFonts w:ascii="Times New Roman" w:hAnsi="Times New Roman" w:cs="Times New Roman"/>
          <w:bCs/>
          <w:color w:val="77206D" w:themeColor="accent5" w:themeShade="BF"/>
        </w:rPr>
        <w:t>, and A2</w:t>
      </w:r>
      <w:r w:rsidR="009B2518" w:rsidRPr="005A5BA0">
        <w:rPr>
          <w:rFonts w:ascii="Times New Roman" w:hAnsi="Times New Roman" w:cs="Times New Roman"/>
          <w:bCs/>
          <w:color w:val="77206D" w:themeColor="accent5" w:themeShade="BF"/>
        </w:rPr>
        <w:t xml:space="preserve"> in the attached Excel</w:t>
      </w:r>
      <w:r w:rsidR="005B3A44" w:rsidRPr="005A5BA0">
        <w:rPr>
          <w:rFonts w:ascii="Times New Roman" w:hAnsi="Times New Roman" w:cs="Times New Roman"/>
          <w:bCs/>
          <w:color w:val="77206D" w:themeColor="accent5" w:themeShade="BF"/>
        </w:rPr>
        <w:t xml:space="preserve"> file</w:t>
      </w:r>
      <w:r w:rsidR="003E21BB" w:rsidRPr="005A5BA0">
        <w:rPr>
          <w:rFonts w:ascii="Times New Roman" w:hAnsi="Times New Roman" w:cs="Times New Roman"/>
          <w:bCs/>
          <w:color w:val="77206D" w:themeColor="accent5" w:themeShade="BF"/>
        </w:rPr>
        <w:t>,</w:t>
      </w:r>
      <w:r w:rsidR="00DD5596" w:rsidRPr="005A5BA0">
        <w:rPr>
          <w:rFonts w:ascii="Times New Roman" w:hAnsi="Times New Roman" w:cs="Times New Roman"/>
          <w:bCs/>
          <w:color w:val="77206D" w:themeColor="accent5" w:themeShade="BF"/>
        </w:rPr>
        <w:t xml:space="preserve"> </w:t>
      </w:r>
      <w:r w:rsidR="000F6B13" w:rsidRPr="005A5BA0">
        <w:rPr>
          <w:rFonts w:ascii="Times New Roman" w:hAnsi="Times New Roman" w:cs="Times New Roman"/>
          <w:bCs/>
          <w:color w:val="77206D" w:themeColor="accent5" w:themeShade="BF"/>
        </w:rPr>
        <w:t>which</w:t>
      </w:r>
      <w:r w:rsidR="002B4699" w:rsidRPr="005A5BA0">
        <w:rPr>
          <w:rFonts w:ascii="Times New Roman" w:hAnsi="Times New Roman" w:cs="Times New Roman"/>
          <w:bCs/>
          <w:color w:val="77206D" w:themeColor="accent5" w:themeShade="BF"/>
        </w:rPr>
        <w:t xml:space="preserve"> the author replicated using the information </w:t>
      </w:r>
      <w:r w:rsidR="000F6B13" w:rsidRPr="005A5BA0">
        <w:rPr>
          <w:rFonts w:ascii="Times New Roman" w:hAnsi="Times New Roman" w:cs="Times New Roman"/>
          <w:bCs/>
          <w:color w:val="77206D" w:themeColor="accent5" w:themeShade="BF"/>
        </w:rPr>
        <w:t>from</w:t>
      </w:r>
      <w:r w:rsidR="00485669" w:rsidRPr="005A5BA0">
        <w:rPr>
          <w:rFonts w:ascii="Times New Roman" w:hAnsi="Times New Roman" w:cs="Times New Roman"/>
          <w:bCs/>
          <w:color w:val="77206D" w:themeColor="accent5" w:themeShade="BF"/>
        </w:rPr>
        <w:t xml:space="preserve"> </w:t>
      </w:r>
      <w:sdt>
        <w:sdtPr>
          <w:rPr>
            <w:rFonts w:ascii="Times New Roman" w:hAnsi="Times New Roman" w:cs="Times New Roman"/>
            <w:bCs/>
            <w:color w:val="77206D" w:themeColor="accent5" w:themeShade="BF"/>
          </w:rPr>
          <w:tag w:val="MENDELEY_CITATION_v3_eyJjaXRhdGlvbklEIjoiTUVOREVMRVlfQ0lUQVRJT05fMTE2MGZkYjEtNzMwNC00NDhhLThmYzMtY2Y0YjBjNDU4MDk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560538941"/>
          <w:placeholder>
            <w:docPart w:val="BD4AF6AED9F5426891197EE324B1F2AC"/>
          </w:placeholder>
        </w:sdtPr>
        <w:sdtContent>
          <w:proofErr w:type="spellStart"/>
          <w:r w:rsidR="003C0A51" w:rsidRPr="003C0A51">
            <w:rPr>
              <w:rFonts w:ascii="Times New Roman" w:hAnsi="Times New Roman" w:cs="Times New Roman"/>
              <w:bCs/>
              <w:color w:val="77206D"/>
            </w:rPr>
            <w:t>Dosi</w:t>
          </w:r>
          <w:proofErr w:type="spellEnd"/>
          <w:r w:rsidR="003C0A51" w:rsidRPr="003C0A51">
            <w:rPr>
              <w:rFonts w:ascii="Times New Roman" w:hAnsi="Times New Roman" w:cs="Times New Roman"/>
              <w:bCs/>
              <w:color w:val="77206D"/>
            </w:rPr>
            <w:t xml:space="preserve"> et al. (2021)</w:t>
          </w:r>
        </w:sdtContent>
      </w:sdt>
      <w:r w:rsidR="00A455A2" w:rsidRPr="005A5BA0">
        <w:rPr>
          <w:rFonts w:ascii="Times New Roman" w:hAnsi="Times New Roman" w:cs="Times New Roman"/>
          <w:bCs/>
          <w:color w:val="77206D" w:themeColor="accent5" w:themeShade="BF"/>
        </w:rPr>
        <w:t>.</w:t>
      </w:r>
      <w:r w:rsidR="00485669" w:rsidRPr="005A5BA0">
        <w:rPr>
          <w:rFonts w:ascii="Times New Roman" w:hAnsi="Times New Roman" w:cs="Times New Roman"/>
          <w:bCs/>
          <w:color w:val="77206D" w:themeColor="accent5" w:themeShade="BF"/>
        </w:rPr>
        <w:t xml:space="preserve"> </w:t>
      </w:r>
      <w:r w:rsidR="007808B9" w:rsidRPr="005A5BA0">
        <w:rPr>
          <w:rFonts w:ascii="Times New Roman" w:hAnsi="Times New Roman" w:cs="Times New Roman"/>
          <w:bCs/>
          <w:color w:val="77206D" w:themeColor="accent5" w:themeShade="BF"/>
        </w:rPr>
        <w:t>For that reason,</w:t>
      </w:r>
      <w:r w:rsidR="00D77E10" w:rsidRPr="005A5BA0">
        <w:rPr>
          <w:rFonts w:ascii="Times New Roman" w:hAnsi="Times New Roman" w:cs="Times New Roman"/>
          <w:bCs/>
          <w:color w:val="77206D" w:themeColor="accent5" w:themeShade="BF"/>
        </w:rPr>
        <w:t xml:space="preserve"> </w:t>
      </w:r>
      <w:sdt>
        <w:sdtPr>
          <w:rPr>
            <w:rFonts w:ascii="Times New Roman" w:hAnsi="Times New Roman" w:cs="Times New Roman"/>
            <w:bCs/>
            <w:color w:val="77206D" w:themeColor="accent5" w:themeShade="BF"/>
          </w:rPr>
          <w:tag w:val="MENDELEY_CITATION_v3_eyJjaXRhdGlvbklEIjoiTUVOREVMRVlfQ0lUQVRJT05fODAyZjYwNjMtZTgzMi00MmQ3LWJkZjAtYTViOWFmNjNhNTA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481810468"/>
          <w:placeholder>
            <w:docPart w:val="D90DBA6F600A41EAAEC6F138FF7FC219"/>
          </w:placeholder>
        </w:sdtPr>
        <w:sdtContent>
          <w:proofErr w:type="spellStart"/>
          <w:r w:rsidR="003C0A51" w:rsidRPr="003C0A51">
            <w:rPr>
              <w:rFonts w:ascii="Times New Roman" w:hAnsi="Times New Roman" w:cs="Times New Roman"/>
              <w:bCs/>
              <w:color w:val="77206D"/>
            </w:rPr>
            <w:t>Dosi</w:t>
          </w:r>
          <w:proofErr w:type="spellEnd"/>
          <w:r w:rsidR="003C0A51" w:rsidRPr="003C0A51">
            <w:rPr>
              <w:rFonts w:ascii="Times New Roman" w:hAnsi="Times New Roman" w:cs="Times New Roman"/>
              <w:bCs/>
              <w:color w:val="77206D"/>
            </w:rPr>
            <w:t xml:space="preserve"> et al. (2021)</w:t>
          </w:r>
        </w:sdtContent>
      </w:sdt>
      <w:r w:rsidR="007808B9" w:rsidRPr="005A5BA0">
        <w:rPr>
          <w:rFonts w:ascii="Times New Roman" w:hAnsi="Times New Roman" w:cs="Times New Roman"/>
          <w:bCs/>
          <w:color w:val="77206D" w:themeColor="accent5" w:themeShade="BF"/>
        </w:rPr>
        <w:t xml:space="preserve"> </w:t>
      </w:r>
      <w:r w:rsidR="00F612E4" w:rsidRPr="005A5BA0">
        <w:rPr>
          <w:rFonts w:ascii="Times New Roman" w:hAnsi="Times New Roman" w:cs="Times New Roman"/>
          <w:bCs/>
          <w:color w:val="77206D" w:themeColor="accent5" w:themeShade="BF"/>
        </w:rPr>
        <w:t>used their own mathematical transformation, AP in levels and APG, without using a log transformation,</w:t>
      </w:r>
      <w:r w:rsidR="007808B9" w:rsidRPr="005A5BA0">
        <w:rPr>
          <w:rFonts w:ascii="Times New Roman" w:hAnsi="Times New Roman" w:cs="Times New Roman"/>
          <w:bCs/>
          <w:color w:val="77206D" w:themeColor="accent5" w:themeShade="BF"/>
        </w:rPr>
        <w:t xml:space="preserve"> as this specification meets their research objectives</w:t>
      </w:r>
      <w:r w:rsidR="009166A3" w:rsidRPr="005A5BA0">
        <w:rPr>
          <w:rFonts w:ascii="Times New Roman" w:hAnsi="Times New Roman" w:cs="Times New Roman"/>
          <w:bCs/>
          <w:color w:val="77206D" w:themeColor="accent5" w:themeShade="BF"/>
        </w:rPr>
        <w:t>.</w:t>
      </w:r>
      <w:r w:rsidR="00957E6C" w:rsidRPr="005A5BA0">
        <w:rPr>
          <w:rFonts w:ascii="Times New Roman" w:hAnsi="Times New Roman" w:cs="Times New Roman"/>
          <w:bCs/>
          <w:color w:val="77206D" w:themeColor="accent5" w:themeShade="BF"/>
        </w:rPr>
        <w:t xml:space="preserve"> Consequently, the author </w:t>
      </w:r>
      <w:r w:rsidR="00BB7E97" w:rsidRPr="005A5BA0">
        <w:rPr>
          <w:rFonts w:ascii="Times New Roman" w:hAnsi="Times New Roman" w:cs="Times New Roman"/>
          <w:bCs/>
          <w:color w:val="77206D" w:themeColor="accent5" w:themeShade="BF"/>
        </w:rPr>
        <w:t>took the following action to address th</w:t>
      </w:r>
      <w:r w:rsidR="00696911">
        <w:rPr>
          <w:rFonts w:ascii="Times New Roman" w:hAnsi="Times New Roman" w:cs="Times New Roman"/>
          <w:bCs/>
          <w:color w:val="77206D" w:themeColor="accent5" w:themeShade="BF"/>
        </w:rPr>
        <w:t>e refe</w:t>
      </w:r>
      <w:r w:rsidR="006F4081">
        <w:rPr>
          <w:rFonts w:ascii="Times New Roman" w:hAnsi="Times New Roman" w:cs="Times New Roman"/>
          <w:bCs/>
          <w:color w:val="77206D" w:themeColor="accent5" w:themeShade="BF"/>
        </w:rPr>
        <w:t>ree’s</w:t>
      </w:r>
      <w:r w:rsidR="00BB7E97" w:rsidRPr="005A5BA0">
        <w:rPr>
          <w:rFonts w:ascii="Times New Roman" w:hAnsi="Times New Roman" w:cs="Times New Roman"/>
          <w:bCs/>
          <w:color w:val="77206D" w:themeColor="accent5" w:themeShade="BF"/>
        </w:rPr>
        <w:t xml:space="preserve"> comment:</w:t>
      </w:r>
    </w:p>
    <w:p w14:paraId="764850D6" w14:textId="3BE99E15" w:rsidR="00BB7E97" w:rsidRPr="005A5BA0" w:rsidRDefault="00F922E5" w:rsidP="00C939D1">
      <w:pPr>
        <w:pStyle w:val="ListParagraph"/>
        <w:numPr>
          <w:ilvl w:val="0"/>
          <w:numId w:val="14"/>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T</w:t>
      </w:r>
      <w:r w:rsidR="00BB7E97" w:rsidRPr="005A5BA0">
        <w:rPr>
          <w:rFonts w:ascii="Times New Roman" w:hAnsi="Times New Roman" w:cs="Times New Roman"/>
          <w:bCs/>
          <w:color w:val="77206D" w:themeColor="accent5" w:themeShade="BF"/>
        </w:rPr>
        <w:t xml:space="preserve">he author removed the </w:t>
      </w:r>
      <w:r w:rsidR="006F3CD3">
        <w:rPr>
          <w:rFonts w:ascii="Times New Roman" w:hAnsi="Times New Roman" w:cs="Times New Roman"/>
          <w:bCs/>
          <w:color w:val="77206D" w:themeColor="accent5" w:themeShade="BF"/>
        </w:rPr>
        <w:t xml:space="preserve">next </w:t>
      </w:r>
      <w:r w:rsidR="00BB7E97" w:rsidRPr="005A5BA0">
        <w:rPr>
          <w:rFonts w:ascii="Times New Roman" w:hAnsi="Times New Roman" w:cs="Times New Roman"/>
          <w:bCs/>
          <w:color w:val="77206D" w:themeColor="accent5" w:themeShade="BF"/>
        </w:rPr>
        <w:t>statement</w:t>
      </w:r>
      <w:r w:rsidR="006F3CD3">
        <w:rPr>
          <w:rFonts w:ascii="Times New Roman" w:hAnsi="Times New Roman" w:cs="Times New Roman"/>
          <w:bCs/>
          <w:color w:val="77206D" w:themeColor="accent5" w:themeShade="BF"/>
        </w:rPr>
        <w:t xml:space="preserve"> </w:t>
      </w:r>
      <w:r w:rsidR="006F3CD3" w:rsidRPr="005A5BA0">
        <w:rPr>
          <w:rFonts w:ascii="Times New Roman" w:hAnsi="Times New Roman" w:cs="Times New Roman"/>
          <w:bCs/>
          <w:color w:val="77206D" w:themeColor="accent5" w:themeShade="BF"/>
        </w:rPr>
        <w:t>because it lacked support</w:t>
      </w:r>
      <w:r w:rsidR="006F3CD3">
        <w:rPr>
          <w:rFonts w:ascii="Times New Roman" w:hAnsi="Times New Roman" w:cs="Times New Roman"/>
          <w:bCs/>
          <w:color w:val="77206D" w:themeColor="accent5" w:themeShade="BF"/>
        </w:rPr>
        <w:t>:</w:t>
      </w:r>
      <w:r w:rsidR="00BB7E97" w:rsidRPr="005A5BA0">
        <w:rPr>
          <w:rFonts w:ascii="Times New Roman" w:hAnsi="Times New Roman" w:cs="Times New Roman"/>
          <w:bCs/>
          <w:color w:val="77206D" w:themeColor="accent5" w:themeShade="BF"/>
        </w:rPr>
        <w:t xml:space="preserve"> “weighted average TFP in levels is more accurate than in logarithms”. </w:t>
      </w:r>
    </w:p>
    <w:p w14:paraId="0BD95778" w14:textId="4AF531B1" w:rsidR="00402D7D" w:rsidRPr="005A5BA0" w:rsidRDefault="002874C3" w:rsidP="00C939D1">
      <w:pPr>
        <w:pStyle w:val="ListParagraph"/>
        <w:numPr>
          <w:ilvl w:val="0"/>
          <w:numId w:val="14"/>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w:t>
      </w:r>
      <w:r w:rsidR="00402D7D" w:rsidRPr="005A5BA0">
        <w:rPr>
          <w:rFonts w:ascii="Times New Roman" w:hAnsi="Times New Roman" w:cs="Times New Roman"/>
          <w:bCs/>
          <w:color w:val="77206D" w:themeColor="accent5" w:themeShade="BF"/>
        </w:rPr>
        <w:t>includes the following statements to explain why TFP is aggregated in levels rather than</w:t>
      </w:r>
      <w:r w:rsidR="00DB4D78" w:rsidRPr="005A5BA0">
        <w:rPr>
          <w:rFonts w:ascii="Times New Roman" w:hAnsi="Times New Roman" w:cs="Times New Roman"/>
          <w:bCs/>
          <w:color w:val="77206D" w:themeColor="accent5" w:themeShade="BF"/>
        </w:rPr>
        <w:t xml:space="preserve"> in logarithms</w:t>
      </w:r>
      <w:r w:rsidR="006D0B0B" w:rsidRPr="005A5BA0">
        <w:rPr>
          <w:rFonts w:ascii="Times New Roman" w:hAnsi="Times New Roman" w:cs="Times New Roman"/>
          <w:bCs/>
          <w:color w:val="77206D" w:themeColor="accent5" w:themeShade="BF"/>
        </w:rPr>
        <w:t xml:space="preserve"> according to the research objectives</w:t>
      </w:r>
      <w:r w:rsidR="00DB4D78" w:rsidRPr="005A5BA0">
        <w:rPr>
          <w:rFonts w:ascii="Times New Roman" w:hAnsi="Times New Roman" w:cs="Times New Roman"/>
          <w:bCs/>
          <w:color w:val="77206D" w:themeColor="accent5" w:themeShade="BF"/>
        </w:rPr>
        <w:t>.</w:t>
      </w:r>
    </w:p>
    <w:p w14:paraId="2DE75388" w14:textId="6A387F8E" w:rsidR="00402D7D" w:rsidRPr="005A5BA0" w:rsidRDefault="00402D7D" w:rsidP="00C939D1">
      <w:pPr>
        <w:pStyle w:val="ListParagraph"/>
        <w:numPr>
          <w:ilvl w:val="1"/>
          <w:numId w:val="14"/>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w:t>
      </w:r>
      <w:r w:rsidR="007F0926" w:rsidRPr="005A5BA0">
        <w:rPr>
          <w:rFonts w:ascii="Times New Roman" w:hAnsi="Times New Roman" w:cs="Times New Roman"/>
          <w:bCs/>
          <w:color w:val="77206D" w:themeColor="accent5" w:themeShade="BF"/>
        </w:rPr>
        <w:t>The literature presents various approaches to TFP aggregation, and no clear consensus exists on the best aggregat</w:t>
      </w:r>
      <w:r w:rsidR="0036324E" w:rsidRPr="005A5BA0">
        <w:rPr>
          <w:rFonts w:ascii="Times New Roman" w:hAnsi="Times New Roman" w:cs="Times New Roman"/>
          <w:bCs/>
          <w:color w:val="77206D" w:themeColor="accent5" w:themeShade="BF"/>
        </w:rPr>
        <w:t>e</w:t>
      </w:r>
      <w:r w:rsidR="007F0926" w:rsidRPr="005A5BA0">
        <w:rPr>
          <w:rFonts w:ascii="Times New Roman" w:hAnsi="Times New Roman" w:cs="Times New Roman"/>
          <w:bCs/>
          <w:color w:val="77206D" w:themeColor="accent5" w:themeShade="BF"/>
        </w:rPr>
        <w:t xml:space="preserve"> metric. This study uses the weighted-average TFP as a descriptive measure of aggregate productivity. Using the weighted-average TFP in levels, rather than its logarithmic form, aims to facilitate a more intuitive economic interpretation of aggregate productivity by preserving the scale of the original productivity measure. The aggregation approach in equation 3 is not intended to replace or compete with the aggregate TFP indices in their logarithmic form, as in other studies. (…)  In contrast, the weighted average of TFP used in this productivity analysis provides a descriptive summary of aggregate TFP in levels.</w:t>
      </w:r>
    </w:p>
    <w:p w14:paraId="3389177D" w14:textId="0EC13265" w:rsidR="004B0262" w:rsidRPr="005A5BA0" w:rsidRDefault="00BF477C" w:rsidP="00C939D1">
      <w:pPr>
        <w:pStyle w:val="ListParagraph"/>
        <w:numPr>
          <w:ilvl w:val="0"/>
          <w:numId w:val="14"/>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T</w:t>
      </w:r>
      <w:r w:rsidR="0080165D" w:rsidRPr="005A5BA0">
        <w:rPr>
          <w:rFonts w:ascii="Times New Roman" w:hAnsi="Times New Roman" w:cs="Times New Roman"/>
          <w:bCs/>
          <w:color w:val="77206D" w:themeColor="accent5" w:themeShade="BF"/>
        </w:rPr>
        <w:t xml:space="preserve">he author </w:t>
      </w:r>
      <w:r w:rsidRPr="005A5BA0">
        <w:rPr>
          <w:rFonts w:ascii="Times New Roman" w:hAnsi="Times New Roman" w:cs="Times New Roman"/>
          <w:bCs/>
          <w:color w:val="77206D" w:themeColor="accent5" w:themeShade="BF"/>
        </w:rPr>
        <w:t>does not consider</w:t>
      </w:r>
      <w:r w:rsidR="0080165D" w:rsidRPr="005A5BA0">
        <w:rPr>
          <w:rFonts w:ascii="Times New Roman" w:hAnsi="Times New Roman" w:cs="Times New Roman"/>
          <w:bCs/>
          <w:color w:val="77206D" w:themeColor="accent5" w:themeShade="BF"/>
        </w:rPr>
        <w:t xml:space="preserve"> that </w:t>
      </w:r>
      <w:r w:rsidR="002F1F9B" w:rsidRPr="005A5BA0">
        <w:rPr>
          <w:rFonts w:ascii="Times New Roman" w:hAnsi="Times New Roman" w:cs="Times New Roman"/>
          <w:bCs/>
          <w:color w:val="77206D" w:themeColor="accent5" w:themeShade="BF"/>
        </w:rPr>
        <w:t>filters are an option, as this method can truncate the TFP distribution and, ultimately, distort TFP aggregation by omitting</w:t>
      </w:r>
      <w:r w:rsidR="00CB038F" w:rsidRPr="005A5BA0">
        <w:rPr>
          <w:rFonts w:ascii="Times New Roman" w:hAnsi="Times New Roman" w:cs="Times New Roman"/>
          <w:bCs/>
          <w:color w:val="77206D" w:themeColor="accent5" w:themeShade="BF"/>
        </w:rPr>
        <w:t xml:space="preserve"> </w:t>
      </w:r>
      <w:r w:rsidR="004B0262" w:rsidRPr="005A5BA0">
        <w:rPr>
          <w:rFonts w:ascii="Times New Roman" w:hAnsi="Times New Roman" w:cs="Times New Roman"/>
          <w:bCs/>
          <w:color w:val="77206D" w:themeColor="accent5" w:themeShade="BF"/>
        </w:rPr>
        <w:t>TFP values.</w:t>
      </w:r>
    </w:p>
    <w:p w14:paraId="0BDEEF47" w14:textId="77777777" w:rsidR="004B43DF" w:rsidRPr="005A5BA0" w:rsidRDefault="004B43DF" w:rsidP="00C939D1">
      <w:pPr>
        <w:spacing w:after="33" w:line="266" w:lineRule="auto"/>
        <w:jc w:val="both"/>
        <w:rPr>
          <w:rFonts w:ascii="Times New Roman" w:hAnsi="Times New Roman" w:cs="Times New Roman"/>
          <w:bCs/>
          <w:color w:val="77206D" w:themeColor="accent5" w:themeShade="BF"/>
        </w:rPr>
      </w:pPr>
    </w:p>
    <w:p w14:paraId="545DE502"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Aggregate TFP. Perhaps one definition would have been enough. We all know there are alternative definitions. If the author insists on using formalism for completeness, these could be shown in the appendix.  </w:t>
      </w:r>
    </w:p>
    <w:p w14:paraId="4331D507" w14:textId="77777777" w:rsidR="00AB2648" w:rsidRPr="004C778D" w:rsidRDefault="00AB2648" w:rsidP="00C939D1">
      <w:pPr>
        <w:spacing w:after="33" w:line="266" w:lineRule="auto"/>
        <w:jc w:val="both"/>
        <w:rPr>
          <w:rFonts w:ascii="Times New Roman" w:hAnsi="Times New Roman" w:cs="Times New Roman"/>
          <w:bCs/>
        </w:rPr>
      </w:pPr>
    </w:p>
    <w:p w14:paraId="45B0B0A0" w14:textId="28B8F198" w:rsidR="00AB2648" w:rsidRPr="005A5BA0" w:rsidRDefault="00CC6EF6"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considers </w:t>
      </w:r>
      <w:r w:rsidR="00FE0586" w:rsidRPr="005A5BA0">
        <w:rPr>
          <w:rFonts w:ascii="Times New Roman" w:hAnsi="Times New Roman" w:cs="Times New Roman"/>
          <w:bCs/>
          <w:color w:val="77206D" w:themeColor="accent5" w:themeShade="BF"/>
        </w:rPr>
        <w:t>it important to state, transparently, the methods used to aggregate TFP and to provide a brief explanation in the methodology section</w:t>
      </w:r>
      <w:r w:rsidR="00B564CF" w:rsidRPr="005A5BA0">
        <w:rPr>
          <w:rFonts w:ascii="Times New Roman" w:hAnsi="Times New Roman" w:cs="Times New Roman"/>
          <w:bCs/>
          <w:color w:val="77206D" w:themeColor="accent5" w:themeShade="BF"/>
        </w:rPr>
        <w:t xml:space="preserve">. </w:t>
      </w:r>
      <w:r w:rsidR="006E0FB3" w:rsidRPr="005A5BA0">
        <w:rPr>
          <w:rFonts w:ascii="Times New Roman" w:hAnsi="Times New Roman" w:cs="Times New Roman"/>
          <w:bCs/>
          <w:color w:val="77206D" w:themeColor="accent5" w:themeShade="BF"/>
        </w:rPr>
        <w:t xml:space="preserve">The author included </w:t>
      </w:r>
      <w:r w:rsidR="00D04C3C" w:rsidRPr="005A5BA0">
        <w:rPr>
          <w:rFonts w:ascii="Times New Roman" w:hAnsi="Times New Roman" w:cs="Times New Roman"/>
          <w:bCs/>
          <w:color w:val="77206D" w:themeColor="accent5" w:themeShade="BF"/>
        </w:rPr>
        <w:t>Appendices C and D to provide additional explanations and evidence on</w:t>
      </w:r>
      <w:r w:rsidR="007E7E02" w:rsidRPr="005A5BA0">
        <w:rPr>
          <w:rFonts w:ascii="Times New Roman" w:hAnsi="Times New Roman" w:cs="Times New Roman"/>
          <w:bCs/>
          <w:color w:val="77206D" w:themeColor="accent5" w:themeShade="BF"/>
        </w:rPr>
        <w:t xml:space="preserve"> TFP across geographical </w:t>
      </w:r>
      <w:r w:rsidR="008A2D3D" w:rsidRPr="005A5BA0">
        <w:rPr>
          <w:rFonts w:ascii="Times New Roman" w:hAnsi="Times New Roman" w:cs="Times New Roman"/>
          <w:bCs/>
          <w:color w:val="77206D" w:themeColor="accent5" w:themeShade="BF"/>
        </w:rPr>
        <w:t>locations</w:t>
      </w:r>
      <w:r w:rsidR="00D04C3C" w:rsidRPr="005A5BA0">
        <w:rPr>
          <w:rFonts w:ascii="Times New Roman" w:hAnsi="Times New Roman" w:cs="Times New Roman"/>
          <w:bCs/>
          <w:color w:val="77206D" w:themeColor="accent5" w:themeShade="BF"/>
        </w:rPr>
        <w:t xml:space="preserve"> and sectors</w:t>
      </w:r>
      <w:r w:rsidR="00FE0586" w:rsidRPr="005A5BA0">
        <w:rPr>
          <w:rFonts w:ascii="Times New Roman" w:hAnsi="Times New Roman" w:cs="Times New Roman"/>
          <w:bCs/>
          <w:color w:val="77206D" w:themeColor="accent5" w:themeShade="BF"/>
        </w:rPr>
        <w:t>.</w:t>
      </w:r>
    </w:p>
    <w:p w14:paraId="787377D6" w14:textId="77777777" w:rsidR="00AB2648" w:rsidRPr="004C778D" w:rsidRDefault="00AB2648" w:rsidP="00C939D1">
      <w:pPr>
        <w:spacing w:after="33" w:line="266" w:lineRule="auto"/>
        <w:jc w:val="both"/>
        <w:rPr>
          <w:rFonts w:ascii="Times New Roman" w:hAnsi="Times New Roman" w:cs="Times New Roman"/>
          <w:bCs/>
        </w:rPr>
      </w:pPr>
    </w:p>
    <w:p w14:paraId="312761AF"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“Haltiwanger decomposition”. It looks unprofessional when one does not use proper references. The referee is inclined to not take the author seriously the author does not seem to know how to properly refer to the work of others. </w:t>
      </w:r>
    </w:p>
    <w:p w14:paraId="7E07F6C7" w14:textId="77777777" w:rsidR="00461B2C" w:rsidRPr="004C778D" w:rsidRDefault="00461B2C" w:rsidP="00C939D1">
      <w:pPr>
        <w:spacing w:after="33" w:line="266" w:lineRule="auto"/>
        <w:jc w:val="both"/>
        <w:rPr>
          <w:rFonts w:ascii="Times New Roman" w:hAnsi="Times New Roman" w:cs="Times New Roman"/>
          <w:bCs/>
        </w:rPr>
      </w:pPr>
    </w:p>
    <w:p w14:paraId="64AC021D" w14:textId="29DBEDB3" w:rsidR="00233D1D" w:rsidRPr="005A5BA0" w:rsidRDefault="007669D1"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lastRenderedPageBreak/>
        <w:t>The referee is right. The au</w:t>
      </w:r>
      <w:r w:rsidR="00FE1506" w:rsidRPr="005A5BA0">
        <w:rPr>
          <w:rFonts w:ascii="Times New Roman" w:hAnsi="Times New Roman" w:cs="Times New Roman"/>
          <w:bCs/>
          <w:color w:val="77206D" w:themeColor="accent5" w:themeShade="BF"/>
        </w:rPr>
        <w:t xml:space="preserve">thor did not </w:t>
      </w:r>
      <w:r w:rsidR="008C04B4" w:rsidRPr="005A5BA0">
        <w:rPr>
          <w:rFonts w:ascii="Times New Roman" w:hAnsi="Times New Roman" w:cs="Times New Roman"/>
          <w:bCs/>
          <w:color w:val="77206D" w:themeColor="accent5" w:themeShade="BF"/>
        </w:rPr>
        <w:t>intend</w:t>
      </w:r>
      <w:r w:rsidR="00E91036" w:rsidRPr="005A5BA0">
        <w:rPr>
          <w:rFonts w:ascii="Times New Roman" w:hAnsi="Times New Roman" w:cs="Times New Roman"/>
          <w:bCs/>
          <w:color w:val="77206D" w:themeColor="accent5" w:themeShade="BF"/>
        </w:rPr>
        <w:t xml:space="preserve"> to refer to the work of others </w:t>
      </w:r>
      <w:r w:rsidR="008C04B4" w:rsidRPr="005A5BA0">
        <w:rPr>
          <w:rFonts w:ascii="Times New Roman" w:hAnsi="Times New Roman" w:cs="Times New Roman"/>
          <w:bCs/>
          <w:color w:val="77206D" w:themeColor="accent5" w:themeShade="BF"/>
        </w:rPr>
        <w:t>inappropriately</w:t>
      </w:r>
      <w:r w:rsidR="000021F1" w:rsidRPr="005A5BA0">
        <w:rPr>
          <w:rFonts w:ascii="Times New Roman" w:hAnsi="Times New Roman" w:cs="Times New Roman"/>
          <w:bCs/>
          <w:color w:val="77206D" w:themeColor="accent5" w:themeShade="BF"/>
        </w:rPr>
        <w:t>. The methodologies are now cited correctly throughout the manuscript, such</w:t>
      </w:r>
      <w:r w:rsidR="00B644F7" w:rsidRPr="005A5BA0">
        <w:rPr>
          <w:rFonts w:ascii="Times New Roman" w:hAnsi="Times New Roman" w:cs="Times New Roman"/>
          <w:bCs/>
          <w:color w:val="77206D" w:themeColor="accent5" w:themeShade="BF"/>
        </w:rPr>
        <w:t xml:space="preserve"> as </w:t>
      </w:r>
      <w:sdt>
        <w:sdtPr>
          <w:rPr>
            <w:rFonts w:ascii="Times New Roman" w:hAnsi="Times New Roman" w:cs="Times New Roman"/>
            <w:color w:val="77206D" w:themeColor="accent5" w:themeShade="BF"/>
          </w:rPr>
          <w:tag w:val="MENDELEY_CITATION_v3_eyJjaXRhdGlvbklEIjoiTUVOREVMRVlfQ0lUQVRJT05fYTQ3NzY1ZjQtZTRhNi00NTkxLTlhYzEtNWI3ZTIwMmJlYmNm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
          <w:id w:val="171388360"/>
          <w:placeholder>
            <w:docPart w:val="9A1D13749B6945F5B000C60FBDB72AD6"/>
          </w:placeholder>
        </w:sdtPr>
        <w:sdtContent>
          <w:r w:rsidR="003C0A51" w:rsidRPr="003C0A51">
            <w:rPr>
              <w:rFonts w:ascii="Times New Roman" w:hAnsi="Times New Roman" w:cs="Times New Roman"/>
              <w:color w:val="78206E"/>
            </w:rPr>
            <w:t>Haltiwanger (1997)</w:t>
          </w:r>
        </w:sdtContent>
      </w:sdt>
      <w:r w:rsidR="00CD5627" w:rsidRPr="00C2537B">
        <w:rPr>
          <w:rFonts w:ascii="Times New Roman" w:hAnsi="Times New Roman" w:cs="Times New Roman"/>
          <w:color w:val="77206D" w:themeColor="accent5" w:themeShade="BF"/>
        </w:rPr>
        <w:t xml:space="preserve"> </w:t>
      </w:r>
      <w:r w:rsidR="00CD5627">
        <w:rPr>
          <w:rFonts w:ascii="Times New Roman" w:hAnsi="Times New Roman" w:cs="Times New Roman"/>
          <w:color w:val="77206D" w:themeColor="accent5" w:themeShade="BF"/>
        </w:rPr>
        <w:t xml:space="preserve">and </w:t>
      </w:r>
      <w:sdt>
        <w:sdtPr>
          <w:rPr>
            <w:rFonts w:ascii="Times New Roman" w:hAnsi="Times New Roman" w:cs="Times New Roman"/>
            <w:color w:val="78206E"/>
          </w:rPr>
          <w:tag w:val="MENDELEY_CITATION_v3_eyJjaXRhdGlvbklEIjoiTUVOREVMRVlfQ0lUQVRJT05fYTJmNDk3MDYtMWFkNS00OTYxLThkYWYtYWQzYzhjMDNhZmNl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1891720053"/>
          <w:placeholder>
            <w:docPart w:val="BDD9C39014EE4538AAA2B592598E3107"/>
          </w:placeholder>
        </w:sdtPr>
        <w:sdtContent>
          <w:r w:rsidR="003C0A51" w:rsidRPr="003C0A51">
            <w:rPr>
              <w:rFonts w:ascii="Times New Roman" w:eastAsia="Times New Roman" w:hAnsi="Times New Roman" w:cs="Times New Roman"/>
              <w:color w:val="78206E"/>
            </w:rPr>
            <w:t>Melitz &amp; Polanec (2015)</w:t>
          </w:r>
        </w:sdtContent>
      </w:sdt>
      <w:r w:rsidR="00004DA2" w:rsidRPr="005A5BA0">
        <w:rPr>
          <w:rFonts w:ascii="Times New Roman" w:hAnsi="Times New Roman" w:cs="Times New Roman"/>
          <w:bCs/>
          <w:color w:val="77206D" w:themeColor="accent5" w:themeShade="BF"/>
        </w:rPr>
        <w:t>, where appropriate</w:t>
      </w:r>
      <w:r w:rsidR="00022502" w:rsidRPr="005A5BA0">
        <w:rPr>
          <w:rFonts w:ascii="Times New Roman" w:hAnsi="Times New Roman" w:cs="Times New Roman"/>
          <w:bCs/>
          <w:color w:val="77206D" w:themeColor="accent5" w:themeShade="BF"/>
        </w:rPr>
        <w:t>.</w:t>
      </w:r>
    </w:p>
    <w:p w14:paraId="24D464A6" w14:textId="77777777" w:rsidR="00233D1D" w:rsidRPr="005A5BA0" w:rsidRDefault="00233D1D" w:rsidP="00C939D1">
      <w:pPr>
        <w:spacing w:after="33" w:line="266" w:lineRule="auto"/>
        <w:jc w:val="both"/>
        <w:rPr>
          <w:rFonts w:ascii="Times New Roman" w:hAnsi="Times New Roman" w:cs="Times New Roman"/>
          <w:bCs/>
          <w:color w:val="77206D" w:themeColor="accent5" w:themeShade="BF"/>
        </w:rPr>
      </w:pPr>
    </w:p>
    <w:p w14:paraId="4EDB35E3"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Tables 2-3. There are redundancies across the two tables. This is sub-standard, too. </w:t>
      </w:r>
    </w:p>
    <w:p w14:paraId="1EB9FD04" w14:textId="77777777" w:rsidR="00233D1D" w:rsidRPr="004C778D" w:rsidRDefault="00233D1D" w:rsidP="00C939D1">
      <w:pPr>
        <w:spacing w:after="33" w:line="266" w:lineRule="auto"/>
        <w:jc w:val="both"/>
        <w:rPr>
          <w:rFonts w:ascii="Times New Roman" w:hAnsi="Times New Roman" w:cs="Times New Roman"/>
          <w:bCs/>
        </w:rPr>
      </w:pPr>
    </w:p>
    <w:p w14:paraId="1CE108D5" w14:textId="72A48741" w:rsidR="00233D1D" w:rsidRPr="005A5BA0" w:rsidRDefault="00C73608"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w:t>
      </w:r>
      <w:r w:rsidR="001F30E7" w:rsidRPr="005A5BA0">
        <w:rPr>
          <w:rFonts w:ascii="Times New Roman" w:hAnsi="Times New Roman" w:cs="Times New Roman"/>
          <w:bCs/>
          <w:color w:val="77206D" w:themeColor="accent5" w:themeShade="BF"/>
        </w:rPr>
        <w:t>considers</w:t>
      </w:r>
      <w:r w:rsidRPr="005A5BA0">
        <w:rPr>
          <w:rFonts w:ascii="Times New Roman" w:hAnsi="Times New Roman" w:cs="Times New Roman"/>
          <w:bCs/>
          <w:color w:val="77206D" w:themeColor="accent5" w:themeShade="BF"/>
        </w:rPr>
        <w:t xml:space="preserve"> </w:t>
      </w:r>
      <w:r w:rsidR="001F30E7" w:rsidRPr="005A5BA0">
        <w:rPr>
          <w:rFonts w:ascii="Times New Roman" w:hAnsi="Times New Roman" w:cs="Times New Roman"/>
          <w:bCs/>
          <w:color w:val="77206D" w:themeColor="accent5" w:themeShade="BF"/>
        </w:rPr>
        <w:t>Tables 2 and 3 important for clarifying the accounting used to classify the number of establishments by groups that enter, survive,</w:t>
      </w:r>
      <w:r w:rsidRPr="005A5BA0">
        <w:rPr>
          <w:rFonts w:ascii="Times New Roman" w:hAnsi="Times New Roman" w:cs="Times New Roman"/>
          <w:bCs/>
          <w:color w:val="77206D" w:themeColor="accent5" w:themeShade="BF"/>
        </w:rPr>
        <w:t xml:space="preserve"> and exit the market. However, </w:t>
      </w:r>
      <w:r w:rsidR="001F30E7" w:rsidRPr="005A5BA0">
        <w:rPr>
          <w:rFonts w:ascii="Times New Roman" w:hAnsi="Times New Roman" w:cs="Times New Roman"/>
          <w:bCs/>
          <w:color w:val="77206D" w:themeColor="accent5" w:themeShade="BF"/>
        </w:rPr>
        <w:t>the author considers it more appropriate to send them to Appendix B to address the comment that these tables are</w:t>
      </w:r>
      <w:r w:rsidR="008574E1" w:rsidRPr="005A5BA0">
        <w:rPr>
          <w:rFonts w:ascii="Times New Roman" w:hAnsi="Times New Roman" w:cs="Times New Roman"/>
          <w:bCs/>
          <w:color w:val="77206D" w:themeColor="accent5" w:themeShade="BF"/>
        </w:rPr>
        <w:t xml:space="preserve"> (or </w:t>
      </w:r>
      <w:proofErr w:type="gramStart"/>
      <w:r w:rsidR="008574E1" w:rsidRPr="005A5BA0">
        <w:rPr>
          <w:rFonts w:ascii="Times New Roman" w:hAnsi="Times New Roman" w:cs="Times New Roman"/>
          <w:bCs/>
          <w:color w:val="77206D" w:themeColor="accent5" w:themeShade="BF"/>
        </w:rPr>
        <w:t xml:space="preserve">look) </w:t>
      </w:r>
      <w:r w:rsidR="001F30E7" w:rsidRPr="005A5BA0">
        <w:rPr>
          <w:rFonts w:ascii="Times New Roman" w:hAnsi="Times New Roman" w:cs="Times New Roman"/>
          <w:bCs/>
          <w:color w:val="77206D" w:themeColor="accent5" w:themeShade="BF"/>
        </w:rPr>
        <w:t xml:space="preserve"> “</w:t>
      </w:r>
      <w:proofErr w:type="gramEnd"/>
      <w:r w:rsidR="001F30E7" w:rsidRPr="005A5BA0">
        <w:rPr>
          <w:rFonts w:ascii="Times New Roman" w:hAnsi="Times New Roman" w:cs="Times New Roman"/>
          <w:bCs/>
          <w:color w:val="77206D" w:themeColor="accent5" w:themeShade="BF"/>
        </w:rPr>
        <w:t>sub-standard”</w:t>
      </w:r>
    </w:p>
    <w:p w14:paraId="6583D17D" w14:textId="77777777" w:rsidR="00233D1D" w:rsidRPr="005A5BA0" w:rsidRDefault="00233D1D" w:rsidP="00C939D1">
      <w:pPr>
        <w:spacing w:after="33" w:line="266" w:lineRule="auto"/>
        <w:jc w:val="both"/>
        <w:rPr>
          <w:rFonts w:ascii="Times New Roman" w:hAnsi="Times New Roman" w:cs="Times New Roman"/>
          <w:bCs/>
          <w:color w:val="77206D" w:themeColor="accent5" w:themeShade="BF"/>
        </w:rPr>
      </w:pPr>
    </w:p>
    <w:p w14:paraId="4AAF31F6" w14:textId="334FFD6D"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Firm selection. “The reason is that the 5-years gap in the microdata structure can overestimate the number of entering and exiting establishments and underestimate the number of surviving establishments.” The “gaps” in the data do not overestimate anything. If one wants to measure yearly demographics then one can use annual averages. This whole part is unnecessarily detailed. Again, it is unclear to me what audience this study is intended for. </w:t>
      </w:r>
    </w:p>
    <w:p w14:paraId="4FDDCF89" w14:textId="77777777" w:rsidR="00D70EEF" w:rsidRPr="004C778D" w:rsidRDefault="00D70EEF" w:rsidP="00C939D1">
      <w:pPr>
        <w:spacing w:after="33" w:line="266" w:lineRule="auto"/>
        <w:jc w:val="both"/>
        <w:rPr>
          <w:rFonts w:ascii="Times New Roman" w:hAnsi="Times New Roman" w:cs="Times New Roman"/>
          <w:bCs/>
        </w:rPr>
      </w:pPr>
    </w:p>
    <w:p w14:paraId="15D0E9EF" w14:textId="1B5AA833" w:rsidR="00613D7A" w:rsidRPr="005A5BA0" w:rsidRDefault="00641549"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w:t>
      </w:r>
      <w:r w:rsidR="00AB15BA" w:rsidRPr="005A5BA0">
        <w:rPr>
          <w:rFonts w:ascii="Times New Roman" w:hAnsi="Times New Roman" w:cs="Times New Roman"/>
          <w:bCs/>
          <w:color w:val="77206D" w:themeColor="accent5" w:themeShade="BF"/>
        </w:rPr>
        <w:t>referee</w:t>
      </w:r>
      <w:r w:rsidR="000C01CC" w:rsidRPr="005A5BA0">
        <w:rPr>
          <w:rFonts w:ascii="Times New Roman" w:hAnsi="Times New Roman" w:cs="Times New Roman"/>
          <w:bCs/>
          <w:color w:val="77206D" w:themeColor="accent5" w:themeShade="BF"/>
        </w:rPr>
        <w:t xml:space="preserve"> is right</w:t>
      </w:r>
      <w:r w:rsidR="0078069A" w:rsidRPr="005A5BA0">
        <w:rPr>
          <w:rFonts w:ascii="Times New Roman" w:hAnsi="Times New Roman" w:cs="Times New Roman"/>
          <w:bCs/>
          <w:color w:val="77206D" w:themeColor="accent5" w:themeShade="BF"/>
        </w:rPr>
        <w:t>. T</w:t>
      </w:r>
      <w:r w:rsidR="00912254" w:rsidRPr="005A5BA0">
        <w:rPr>
          <w:rFonts w:ascii="Times New Roman" w:hAnsi="Times New Roman" w:cs="Times New Roman"/>
          <w:bCs/>
          <w:color w:val="77206D" w:themeColor="accent5" w:themeShade="BF"/>
        </w:rPr>
        <w:t xml:space="preserve">he author made </w:t>
      </w:r>
      <w:r w:rsidR="00BB2E9D" w:rsidRPr="005A5BA0">
        <w:rPr>
          <w:rFonts w:ascii="Times New Roman" w:hAnsi="Times New Roman" w:cs="Times New Roman"/>
          <w:bCs/>
          <w:color w:val="77206D" w:themeColor="accent5" w:themeShade="BF"/>
        </w:rPr>
        <w:t>an interpretive mistake</w:t>
      </w:r>
      <w:r w:rsidR="00B51A51" w:rsidRPr="005A5BA0">
        <w:rPr>
          <w:rFonts w:ascii="Times New Roman" w:hAnsi="Times New Roman" w:cs="Times New Roman"/>
          <w:bCs/>
          <w:color w:val="77206D" w:themeColor="accent5" w:themeShade="BF"/>
        </w:rPr>
        <w:t xml:space="preserve"> </w:t>
      </w:r>
      <w:r w:rsidR="00912254" w:rsidRPr="005A5BA0">
        <w:rPr>
          <w:rFonts w:ascii="Times New Roman" w:hAnsi="Times New Roman" w:cs="Times New Roman"/>
          <w:bCs/>
          <w:color w:val="77206D" w:themeColor="accent5" w:themeShade="BF"/>
        </w:rPr>
        <w:t xml:space="preserve">by </w:t>
      </w:r>
      <w:r w:rsidR="00426AD6" w:rsidRPr="005A5BA0">
        <w:rPr>
          <w:rFonts w:ascii="Times New Roman" w:hAnsi="Times New Roman" w:cs="Times New Roman"/>
          <w:bCs/>
          <w:color w:val="77206D" w:themeColor="accent5" w:themeShade="BF"/>
        </w:rPr>
        <w:t>claiming</w:t>
      </w:r>
      <w:r w:rsidR="00912254" w:rsidRPr="005A5BA0">
        <w:rPr>
          <w:rFonts w:ascii="Times New Roman" w:hAnsi="Times New Roman" w:cs="Times New Roman"/>
          <w:bCs/>
          <w:color w:val="77206D" w:themeColor="accent5" w:themeShade="BF"/>
        </w:rPr>
        <w:t xml:space="preserve"> </w:t>
      </w:r>
      <w:r w:rsidR="00B51A51" w:rsidRPr="005A5BA0">
        <w:rPr>
          <w:rFonts w:ascii="Times New Roman" w:hAnsi="Times New Roman" w:cs="Times New Roman"/>
          <w:bCs/>
          <w:color w:val="77206D" w:themeColor="accent5" w:themeShade="BF"/>
        </w:rPr>
        <w:t xml:space="preserve">that the </w:t>
      </w:r>
      <w:r w:rsidR="00426AD6" w:rsidRPr="005A5BA0">
        <w:rPr>
          <w:rFonts w:ascii="Times New Roman" w:hAnsi="Times New Roman" w:cs="Times New Roman"/>
          <w:bCs/>
          <w:color w:val="77206D" w:themeColor="accent5" w:themeShade="BF"/>
        </w:rPr>
        <w:t>5-year</w:t>
      </w:r>
      <w:r w:rsidR="00B51A51" w:rsidRPr="005A5BA0">
        <w:rPr>
          <w:rFonts w:ascii="Times New Roman" w:hAnsi="Times New Roman" w:cs="Times New Roman"/>
          <w:bCs/>
          <w:color w:val="77206D" w:themeColor="accent5" w:themeShade="BF"/>
        </w:rPr>
        <w:t xml:space="preserve"> gap can </w:t>
      </w:r>
      <w:r w:rsidR="00426AD6" w:rsidRPr="005A5BA0">
        <w:rPr>
          <w:rFonts w:ascii="Times New Roman" w:hAnsi="Times New Roman" w:cs="Times New Roman"/>
          <w:bCs/>
          <w:color w:val="77206D" w:themeColor="accent5" w:themeShade="BF"/>
        </w:rPr>
        <w:t>overestimate</w:t>
      </w:r>
      <w:r w:rsidR="00B51A51" w:rsidRPr="005A5BA0">
        <w:rPr>
          <w:rFonts w:ascii="Times New Roman" w:hAnsi="Times New Roman" w:cs="Times New Roman"/>
          <w:bCs/>
          <w:color w:val="77206D" w:themeColor="accent5" w:themeShade="BF"/>
        </w:rPr>
        <w:t xml:space="preserve"> the number of firms entering and exiting the market</w:t>
      </w:r>
      <w:r w:rsidR="00AB0EF7" w:rsidRPr="005A5BA0">
        <w:rPr>
          <w:rFonts w:ascii="Times New Roman" w:hAnsi="Times New Roman" w:cs="Times New Roman"/>
          <w:bCs/>
          <w:color w:val="77206D" w:themeColor="accent5" w:themeShade="BF"/>
        </w:rPr>
        <w:t>. The author addressed this comment with the following actions:</w:t>
      </w:r>
    </w:p>
    <w:p w14:paraId="7D5183D3" w14:textId="393A1E57" w:rsidR="00641549" w:rsidRPr="005A5BA0" w:rsidRDefault="001740FA" w:rsidP="00C939D1">
      <w:pPr>
        <w:pStyle w:val="ListParagraph"/>
        <w:numPr>
          <w:ilvl w:val="0"/>
          <w:numId w:val="15"/>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The author removed the following paragraph:</w:t>
      </w:r>
    </w:p>
    <w:p w14:paraId="78278517" w14:textId="1A5F64CB" w:rsidR="0000736C" w:rsidRPr="005A5BA0" w:rsidRDefault="00E10D92" w:rsidP="00C939D1">
      <w:pPr>
        <w:pStyle w:val="ListParagraph"/>
        <w:numPr>
          <w:ilvl w:val="1"/>
          <w:numId w:val="15"/>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“Table 3 shows that the accounting in the firm selection implies that the sum of groups by year (i.e., exiting, surviving and entering establishments) is equal to the total number of establishments by year in the Economic Census. The 5-years gap in the microdata structure (Table 2) is a limitation for classifying entering, surviving and exiting establishments using the Economic Census. The reason is that the 5-years gap in the microdata structure can overestimate the number of entering and exiting establishments and underestimate the number of surviving establishments.”</w:t>
      </w:r>
    </w:p>
    <w:p w14:paraId="585DB574" w14:textId="4503D918" w:rsidR="001343AB" w:rsidRPr="005A5BA0" w:rsidRDefault="001343AB" w:rsidP="00C939D1">
      <w:pPr>
        <w:pStyle w:val="ListParagraph"/>
        <w:numPr>
          <w:ilvl w:val="0"/>
          <w:numId w:val="15"/>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wants to clarify that, according to </w:t>
      </w:r>
      <w:sdt>
        <w:sdtPr>
          <w:rPr>
            <w:rFonts w:ascii="Times New Roman" w:hAnsi="Times New Roman" w:cs="Times New Roman"/>
            <w:bCs/>
            <w:color w:val="77206D" w:themeColor="accent5" w:themeShade="BF"/>
          </w:rPr>
          <w:tag w:val="MENDELEY_CITATION_v3_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"/>
          <w:id w:val="-1550535167"/>
          <w:placeholder>
            <w:docPart w:val="DefaultPlaceholder_-1854013440"/>
          </w:placeholder>
        </w:sdtPr>
        <w:sdtContent>
          <w:r w:rsidR="003C0A51" w:rsidRPr="003C0A51">
            <w:rPr>
              <w:rFonts w:ascii="Times New Roman" w:hAnsi="Times New Roman" w:cs="Times New Roman"/>
              <w:bCs/>
              <w:color w:val="77206D"/>
            </w:rPr>
            <w:t>Foster et al. (2001)</w:t>
          </w:r>
        </w:sdtContent>
      </w:sdt>
      <w:r w:rsidR="008036CE">
        <w:rPr>
          <w:rFonts w:ascii="Times New Roman" w:hAnsi="Times New Roman" w:cs="Times New Roman"/>
          <w:bCs/>
          <w:color w:val="77206D" w:themeColor="accent5" w:themeShade="BF"/>
        </w:rPr>
        <w:t xml:space="preserve"> </w:t>
      </w:r>
      <w:r w:rsidRPr="005A5BA0">
        <w:rPr>
          <w:rFonts w:ascii="Times New Roman" w:hAnsi="Times New Roman" w:cs="Times New Roman"/>
          <w:bCs/>
          <w:color w:val="77206D" w:themeColor="accent5" w:themeShade="BF"/>
        </w:rPr>
        <w:t>, the data frequency matters for quantifying the effect of net entry on productivity growth.</w:t>
      </w:r>
      <w:r w:rsidR="00D974FB" w:rsidRPr="005A5BA0">
        <w:rPr>
          <w:rFonts w:ascii="Times New Roman" w:hAnsi="Times New Roman" w:cs="Times New Roman"/>
          <w:bCs/>
          <w:color w:val="77206D" w:themeColor="accent5" w:themeShade="BF"/>
        </w:rPr>
        <w:t xml:space="preserve"> The author included </w:t>
      </w:r>
      <w:r w:rsidR="00674830" w:rsidRPr="005A5BA0">
        <w:rPr>
          <w:rFonts w:ascii="Times New Roman" w:hAnsi="Times New Roman" w:cs="Times New Roman"/>
          <w:bCs/>
          <w:color w:val="77206D" w:themeColor="accent5" w:themeShade="BF"/>
        </w:rPr>
        <w:t xml:space="preserve">footnote </w:t>
      </w:r>
      <w:r w:rsidR="00AB15BA" w:rsidRPr="005A5BA0">
        <w:rPr>
          <w:rFonts w:ascii="Times New Roman" w:hAnsi="Times New Roman" w:cs="Times New Roman"/>
          <w:bCs/>
          <w:color w:val="77206D" w:themeColor="accent5" w:themeShade="BF"/>
        </w:rPr>
        <w:t>11</w:t>
      </w:r>
      <w:r w:rsidR="00AB0EF7" w:rsidRPr="005A5BA0">
        <w:rPr>
          <w:rFonts w:ascii="Times New Roman" w:hAnsi="Times New Roman" w:cs="Times New Roman"/>
          <w:bCs/>
          <w:color w:val="77206D" w:themeColor="accent5" w:themeShade="BF"/>
        </w:rPr>
        <w:t xml:space="preserve"> as follows:</w:t>
      </w:r>
    </w:p>
    <w:p w14:paraId="13CE9AFB" w14:textId="2DBB98FE" w:rsidR="00D70EEF" w:rsidRPr="005A5BA0" w:rsidRDefault="00297274" w:rsidP="00C939D1">
      <w:pPr>
        <w:pStyle w:val="ListParagraph"/>
        <w:numPr>
          <w:ilvl w:val="1"/>
          <w:numId w:val="15"/>
        </w:num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w:t>
      </w:r>
      <w:r w:rsidR="003141FF" w:rsidRPr="005A5BA0">
        <w:rPr>
          <w:rFonts w:ascii="Times New Roman" w:hAnsi="Times New Roman" w:cs="Times New Roman"/>
          <w:bCs/>
          <w:color w:val="77206D" w:themeColor="accent5" w:themeShade="BF"/>
        </w:rPr>
        <w:t xml:space="preserve">The time frequency of the data is an important characteristic for quantifying the contribution of net entry to productivity growth. </w:t>
      </w:r>
      <w:sdt>
        <w:sdtPr>
          <w:rPr>
            <w:rFonts w:ascii="Times New Roman" w:hAnsi="Times New Roman" w:cs="Times New Roman"/>
            <w:bCs/>
            <w:color w:val="77206D" w:themeColor="accent5" w:themeShade="BF"/>
          </w:rPr>
          <w:tag w:val="MENDELEY_CITATION_v3_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"/>
          <w:id w:val="-863354154"/>
          <w:placeholder>
            <w:docPart w:val="EE9A9F531EF74EAE8D612BBC25FF1990"/>
          </w:placeholder>
        </w:sdtPr>
        <w:sdtContent>
          <w:r w:rsidR="003C0A51" w:rsidRPr="003C0A51">
            <w:rPr>
              <w:rFonts w:ascii="Times New Roman" w:hAnsi="Times New Roman" w:cs="Times New Roman"/>
              <w:bCs/>
              <w:color w:val="77206D"/>
            </w:rPr>
            <w:t>Foster et al. (2001)</w:t>
          </w:r>
        </w:sdtContent>
      </w:sdt>
      <w:r w:rsidR="003141FF" w:rsidRPr="005A5BA0">
        <w:rPr>
          <w:rFonts w:ascii="Times New Roman" w:hAnsi="Times New Roman" w:cs="Times New Roman"/>
          <w:bCs/>
          <w:color w:val="77206D" w:themeColor="accent5" w:themeShade="BF"/>
        </w:rPr>
        <w:t xml:space="preserve"> </w:t>
      </w:r>
      <w:r w:rsidR="00801288" w:rsidRPr="005A5BA0">
        <w:rPr>
          <w:rFonts w:ascii="Times New Roman" w:hAnsi="Times New Roman" w:cs="Times New Roman"/>
          <w:bCs/>
          <w:color w:val="77206D" w:themeColor="accent5" w:themeShade="BF"/>
        </w:rPr>
        <w:t>note</w:t>
      </w:r>
      <w:r w:rsidR="003141FF" w:rsidRPr="005A5BA0">
        <w:rPr>
          <w:rFonts w:ascii="Times New Roman" w:hAnsi="Times New Roman" w:cs="Times New Roman"/>
          <w:bCs/>
          <w:color w:val="77206D" w:themeColor="accent5" w:themeShade="BF"/>
        </w:rPr>
        <w:t xml:space="preserve"> that studies using higher-frequency data (e.g., annual</w:t>
      </w:r>
      <w:r w:rsidR="007F0FCD" w:rsidRPr="005A5BA0">
        <w:rPr>
          <w:rFonts w:ascii="Times New Roman" w:hAnsi="Times New Roman" w:cs="Times New Roman"/>
          <w:bCs/>
          <w:color w:val="77206D" w:themeColor="accent5" w:themeShade="BF"/>
        </w:rPr>
        <w:t>ly</w:t>
      </w:r>
      <w:r w:rsidR="003141FF" w:rsidRPr="005A5BA0">
        <w:rPr>
          <w:rFonts w:ascii="Times New Roman" w:hAnsi="Times New Roman" w:cs="Times New Roman"/>
          <w:bCs/>
          <w:color w:val="77206D" w:themeColor="accent5" w:themeShade="BF"/>
        </w:rPr>
        <w:t xml:space="preserve">) typically find a relatively small contribution of net entry to aggregate productivity growth, </w:t>
      </w:r>
      <w:r w:rsidR="007F0FCD" w:rsidRPr="005A5BA0">
        <w:rPr>
          <w:rFonts w:ascii="Times New Roman" w:hAnsi="Times New Roman" w:cs="Times New Roman"/>
          <w:bCs/>
          <w:color w:val="77206D" w:themeColor="accent5" w:themeShade="BF"/>
        </w:rPr>
        <w:t>while</w:t>
      </w:r>
      <w:r w:rsidR="003141FF" w:rsidRPr="005A5BA0">
        <w:rPr>
          <w:rFonts w:ascii="Times New Roman" w:hAnsi="Times New Roman" w:cs="Times New Roman"/>
          <w:bCs/>
          <w:color w:val="77206D" w:themeColor="accent5" w:themeShade="BF"/>
        </w:rPr>
        <w:t xml:space="preserve"> studies using longer time horizons tend to find a larger </w:t>
      </w:r>
      <w:r w:rsidR="00CE5191" w:rsidRPr="005A5BA0">
        <w:rPr>
          <w:rFonts w:ascii="Times New Roman" w:hAnsi="Times New Roman" w:cs="Times New Roman"/>
          <w:bCs/>
          <w:color w:val="77206D" w:themeColor="accent5" w:themeShade="BF"/>
        </w:rPr>
        <w:t>contribution of</w:t>
      </w:r>
      <w:r w:rsidR="003141FF" w:rsidRPr="005A5BA0">
        <w:rPr>
          <w:rFonts w:ascii="Times New Roman" w:hAnsi="Times New Roman" w:cs="Times New Roman"/>
          <w:bCs/>
          <w:color w:val="77206D" w:themeColor="accent5" w:themeShade="BF"/>
        </w:rPr>
        <w:t xml:space="preserve"> net entry. </w:t>
      </w:r>
      <w:r w:rsidR="003561A5" w:rsidRPr="005A5BA0">
        <w:rPr>
          <w:rFonts w:ascii="Times New Roman" w:hAnsi="Times New Roman" w:cs="Times New Roman"/>
          <w:bCs/>
          <w:color w:val="77206D" w:themeColor="accent5" w:themeShade="BF"/>
        </w:rPr>
        <w:t xml:space="preserve"> Therefore, the low frequency of the Mexican Economic Census (i.e., </w:t>
      </w:r>
      <w:r w:rsidR="007E112D" w:rsidRPr="005A5BA0">
        <w:rPr>
          <w:rFonts w:ascii="Times New Roman" w:hAnsi="Times New Roman" w:cs="Times New Roman"/>
          <w:bCs/>
          <w:color w:val="77206D" w:themeColor="accent5" w:themeShade="BF"/>
        </w:rPr>
        <w:t>5-year</w:t>
      </w:r>
      <w:r w:rsidR="003561A5" w:rsidRPr="005A5BA0">
        <w:rPr>
          <w:rFonts w:ascii="Times New Roman" w:hAnsi="Times New Roman" w:cs="Times New Roman"/>
          <w:bCs/>
          <w:color w:val="77206D" w:themeColor="accent5" w:themeShade="BF"/>
        </w:rPr>
        <w:t xml:space="preserve"> gap) </w:t>
      </w:r>
      <w:r w:rsidR="00D47390" w:rsidRPr="005A5BA0">
        <w:rPr>
          <w:rFonts w:ascii="Times New Roman" w:hAnsi="Times New Roman" w:cs="Times New Roman"/>
          <w:bCs/>
          <w:color w:val="77206D" w:themeColor="accent5" w:themeShade="BF"/>
        </w:rPr>
        <w:t xml:space="preserve">can be a factor </w:t>
      </w:r>
      <w:r w:rsidR="00E81FBA" w:rsidRPr="005A5BA0">
        <w:rPr>
          <w:rFonts w:ascii="Times New Roman" w:hAnsi="Times New Roman" w:cs="Times New Roman"/>
          <w:bCs/>
          <w:color w:val="77206D" w:themeColor="accent5" w:themeShade="BF"/>
        </w:rPr>
        <w:t>to explain</w:t>
      </w:r>
      <w:r w:rsidR="003561A5" w:rsidRPr="005A5BA0">
        <w:rPr>
          <w:rFonts w:ascii="Times New Roman" w:hAnsi="Times New Roman" w:cs="Times New Roman"/>
          <w:bCs/>
          <w:color w:val="77206D" w:themeColor="accent5" w:themeShade="BF"/>
        </w:rPr>
        <w:t xml:space="preserve"> a larger </w:t>
      </w:r>
      <w:r w:rsidR="007E112D" w:rsidRPr="005A5BA0">
        <w:rPr>
          <w:rFonts w:ascii="Times New Roman" w:hAnsi="Times New Roman" w:cs="Times New Roman"/>
          <w:bCs/>
          <w:color w:val="77206D" w:themeColor="accent5" w:themeShade="BF"/>
        </w:rPr>
        <w:t>contribution</w:t>
      </w:r>
      <w:r w:rsidR="003561A5" w:rsidRPr="005A5BA0">
        <w:rPr>
          <w:rFonts w:ascii="Times New Roman" w:hAnsi="Times New Roman" w:cs="Times New Roman"/>
          <w:bCs/>
          <w:color w:val="77206D" w:themeColor="accent5" w:themeShade="BF"/>
        </w:rPr>
        <w:t xml:space="preserve"> of net entry in aggregate productivity growth.</w:t>
      </w:r>
      <w:r w:rsidR="00BC1CDC" w:rsidRPr="005A5BA0">
        <w:rPr>
          <w:rFonts w:ascii="Times New Roman" w:hAnsi="Times New Roman" w:cs="Times New Roman"/>
          <w:bCs/>
          <w:color w:val="77206D" w:themeColor="accent5" w:themeShade="BF"/>
        </w:rPr>
        <w:t>”</w:t>
      </w:r>
    </w:p>
    <w:p w14:paraId="53FDE6D3" w14:textId="77777777" w:rsidR="00D70EEF" w:rsidRPr="005A5BA0" w:rsidRDefault="00D70EEF" w:rsidP="00C939D1">
      <w:pPr>
        <w:spacing w:after="33" w:line="266" w:lineRule="auto"/>
        <w:jc w:val="both"/>
        <w:rPr>
          <w:rFonts w:ascii="Times New Roman" w:hAnsi="Times New Roman" w:cs="Times New Roman"/>
          <w:bCs/>
          <w:color w:val="77206D" w:themeColor="accent5" w:themeShade="BF"/>
        </w:rPr>
      </w:pPr>
    </w:p>
    <w:p w14:paraId="3E1C84CE"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Figure 1. Micro-aggregates tend to be noisier than aggregates estimated using other methods. This graph is hard to interpret given the overall variation. I cannot assess whether the quinquennial variation has any signal or most of it is noise. </w:t>
      </w:r>
    </w:p>
    <w:p w14:paraId="3B9A326C" w14:textId="77777777" w:rsidR="00BD7CCE" w:rsidRPr="004C778D" w:rsidRDefault="00BD7CCE" w:rsidP="00C939D1">
      <w:pPr>
        <w:spacing w:after="33" w:line="266" w:lineRule="auto"/>
        <w:jc w:val="both"/>
        <w:rPr>
          <w:rFonts w:ascii="Times New Roman" w:hAnsi="Times New Roman" w:cs="Times New Roman"/>
          <w:bCs/>
        </w:rPr>
      </w:pPr>
    </w:p>
    <w:p w14:paraId="3B475391" w14:textId="14C68FDF" w:rsidR="006A43D9" w:rsidRPr="005A5BA0" w:rsidRDefault="003B75F4"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agrees that the longer time frequency (i.e. quinquennial) may exhibit substantial variation in aggregate TFP. However, Figure 1 is relevant to the reader, as it descriptively illustrates </w:t>
      </w:r>
      <w:r w:rsidR="002A068C" w:rsidRPr="005A5BA0">
        <w:rPr>
          <w:rFonts w:ascii="Times New Roman" w:hAnsi="Times New Roman" w:cs="Times New Roman"/>
          <w:bCs/>
          <w:color w:val="77206D" w:themeColor="accent5" w:themeShade="BF"/>
        </w:rPr>
        <w:t>a fluctuating</w:t>
      </w:r>
      <w:r w:rsidRPr="005A5BA0">
        <w:rPr>
          <w:rFonts w:ascii="Times New Roman" w:hAnsi="Times New Roman" w:cs="Times New Roman"/>
          <w:bCs/>
          <w:color w:val="77206D" w:themeColor="accent5" w:themeShade="BF"/>
        </w:rPr>
        <w:t xml:space="preserve"> pattern of aggregate TFP at the national level. The author interprets this pattern as related to the business cycle</w:t>
      </w:r>
      <w:r w:rsidR="002A068C" w:rsidRPr="005A5BA0">
        <w:rPr>
          <w:rFonts w:ascii="Times New Roman" w:hAnsi="Times New Roman" w:cs="Times New Roman"/>
          <w:bCs/>
          <w:color w:val="77206D" w:themeColor="accent5" w:themeShade="BF"/>
        </w:rPr>
        <w:t xml:space="preserve"> </w:t>
      </w:r>
      <w:sdt>
        <w:sdtPr>
          <w:rPr>
            <w:rFonts w:ascii="Times New Roman" w:hAnsi="Times New Roman" w:cs="Times New Roman"/>
            <w:bCs/>
            <w:color w:val="77206D"/>
          </w:rPr>
          <w:tag w:val="MENDELEY_CITATION_v3_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"/>
          <w:id w:val="-2019682240"/>
          <w:placeholder>
            <w:docPart w:val="DefaultPlaceholder_-1854013440"/>
          </w:placeholder>
        </w:sdtPr>
        <w:sdtContent>
          <w:r w:rsidR="003C0A51" w:rsidRPr="003C0A51">
            <w:rPr>
              <w:rFonts w:ascii="Times New Roman" w:eastAsia="Times New Roman" w:hAnsi="Times New Roman" w:cs="Times New Roman"/>
              <w:color w:val="77206D"/>
            </w:rPr>
            <w:t>(Kydland &amp; Prescott, 1982)</w:t>
          </w:r>
        </w:sdtContent>
      </w:sdt>
      <w:r w:rsidRPr="005A5BA0">
        <w:rPr>
          <w:rFonts w:ascii="Times New Roman" w:hAnsi="Times New Roman" w:cs="Times New Roman"/>
          <w:bCs/>
          <w:color w:val="77206D" w:themeColor="accent5" w:themeShade="BF"/>
        </w:rPr>
        <w:t>, noting that aggregate TFP dropped during the 2008 financial crisis and declined further in 2023, which may reflect the effect of the Covid-19 crisis.</w:t>
      </w:r>
    </w:p>
    <w:p w14:paraId="6DBC342B" w14:textId="77777777" w:rsidR="00BD7CCE" w:rsidRPr="005A5BA0" w:rsidRDefault="00BD7CCE" w:rsidP="00C939D1">
      <w:pPr>
        <w:spacing w:after="33" w:line="266" w:lineRule="auto"/>
        <w:jc w:val="both"/>
        <w:rPr>
          <w:rFonts w:ascii="Times New Roman" w:hAnsi="Times New Roman" w:cs="Times New Roman"/>
          <w:bCs/>
          <w:color w:val="77206D" w:themeColor="accent5" w:themeShade="BF"/>
        </w:rPr>
      </w:pPr>
    </w:p>
    <w:p w14:paraId="671FB5E4"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 xml:space="preserve">Figures 2-5. Geographic variation is interesting but given previous remarks about estimation and measurement I am not sure what the figures imply. </w:t>
      </w:r>
    </w:p>
    <w:p w14:paraId="61597587" w14:textId="77777777" w:rsidR="002A7CA6" w:rsidRPr="004C778D" w:rsidRDefault="002A7CA6" w:rsidP="00C939D1">
      <w:pPr>
        <w:spacing w:after="33" w:line="266" w:lineRule="auto"/>
        <w:jc w:val="both"/>
        <w:rPr>
          <w:rFonts w:ascii="Times New Roman" w:hAnsi="Times New Roman" w:cs="Times New Roman"/>
          <w:bCs/>
        </w:rPr>
      </w:pPr>
    </w:p>
    <w:p w14:paraId="7B4BB954" w14:textId="397B04C3" w:rsidR="007950ED" w:rsidRPr="005A5BA0" w:rsidRDefault="00C45AB3" w:rsidP="00C939D1">
      <w:pPr>
        <w:spacing w:after="33" w:line="266" w:lineRule="auto"/>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clarifies how TFP estimates are measured in the Data </w:t>
      </w:r>
      <w:r w:rsidR="004502A3">
        <w:rPr>
          <w:rFonts w:ascii="Times New Roman" w:hAnsi="Times New Roman" w:cs="Times New Roman"/>
          <w:bCs/>
          <w:color w:val="77206D" w:themeColor="accent5" w:themeShade="BF"/>
        </w:rPr>
        <w:t>sub</w:t>
      </w:r>
      <w:r w:rsidRPr="005A5BA0">
        <w:rPr>
          <w:rFonts w:ascii="Times New Roman" w:hAnsi="Times New Roman" w:cs="Times New Roman"/>
          <w:bCs/>
          <w:color w:val="77206D" w:themeColor="accent5" w:themeShade="BF"/>
        </w:rPr>
        <w:t xml:space="preserve">section and in Appendix A. Furthermore, the methodology section explains how the weighted average TFP is calculated using normalised weights across subgroups. The author expects that this clarification, in response to previous comments, will give the </w:t>
      </w:r>
      <w:r w:rsidR="00DF62E7" w:rsidRPr="005A5BA0">
        <w:rPr>
          <w:rFonts w:ascii="Times New Roman" w:hAnsi="Times New Roman" w:cs="Times New Roman"/>
          <w:bCs/>
          <w:color w:val="77206D" w:themeColor="accent5" w:themeShade="BF"/>
        </w:rPr>
        <w:t>referee</w:t>
      </w:r>
      <w:r w:rsidRPr="005A5BA0">
        <w:rPr>
          <w:rFonts w:ascii="Times New Roman" w:hAnsi="Times New Roman" w:cs="Times New Roman"/>
          <w:bCs/>
          <w:color w:val="77206D" w:themeColor="accent5" w:themeShade="BF"/>
        </w:rPr>
        <w:t xml:space="preserve"> confidence that Figures 2-</w:t>
      </w:r>
      <w:r w:rsidR="00B72354" w:rsidRPr="005A5BA0">
        <w:rPr>
          <w:rFonts w:ascii="Times New Roman" w:hAnsi="Times New Roman" w:cs="Times New Roman"/>
          <w:bCs/>
          <w:color w:val="77206D" w:themeColor="accent5" w:themeShade="BF"/>
        </w:rPr>
        <w:t>4</w:t>
      </w:r>
      <w:r w:rsidRPr="005A5BA0">
        <w:rPr>
          <w:rFonts w:ascii="Times New Roman" w:hAnsi="Times New Roman" w:cs="Times New Roman"/>
          <w:bCs/>
          <w:color w:val="77206D" w:themeColor="accent5" w:themeShade="BF"/>
        </w:rPr>
        <w:t xml:space="preserve"> indicate TFP disparities across Mexican geographical locations. This evidence is particularly interesting because national statistics agencies provide few regional TFP estimates, and it can help design regional public policies to close regional TFP gaps.</w:t>
      </w:r>
      <w:r w:rsidR="00B72354" w:rsidRPr="005A5BA0">
        <w:rPr>
          <w:rFonts w:ascii="Times New Roman" w:hAnsi="Times New Roman" w:cs="Times New Roman"/>
          <w:bCs/>
          <w:color w:val="77206D" w:themeColor="accent5" w:themeShade="BF"/>
        </w:rPr>
        <w:t xml:space="preserve"> Figure 5 indicates the TFP differentials across </w:t>
      </w:r>
      <w:r w:rsidR="00644349" w:rsidRPr="005A5BA0">
        <w:rPr>
          <w:rFonts w:ascii="Times New Roman" w:hAnsi="Times New Roman" w:cs="Times New Roman"/>
          <w:bCs/>
          <w:color w:val="77206D" w:themeColor="accent5" w:themeShade="BF"/>
        </w:rPr>
        <w:t>economic sectors in Mexico.</w:t>
      </w:r>
    </w:p>
    <w:p w14:paraId="2E5922A2" w14:textId="77777777" w:rsidR="00751FEB" w:rsidRPr="005A5BA0" w:rsidRDefault="00751FEB" w:rsidP="00C939D1">
      <w:pPr>
        <w:spacing w:after="33" w:line="266" w:lineRule="auto"/>
        <w:jc w:val="both"/>
        <w:rPr>
          <w:rFonts w:ascii="Times New Roman" w:hAnsi="Times New Roman" w:cs="Times New Roman"/>
          <w:bCs/>
          <w:color w:val="77206D" w:themeColor="accent5" w:themeShade="BF"/>
        </w:rPr>
      </w:pPr>
    </w:p>
    <w:p w14:paraId="4691CA9D" w14:textId="77777777" w:rsidR="00672BEF" w:rsidRPr="004C778D" w:rsidRDefault="00672BEF" w:rsidP="00C939D1">
      <w:pPr>
        <w:numPr>
          <w:ilvl w:val="0"/>
          <w:numId w:val="1"/>
        </w:numPr>
        <w:spacing w:after="33" w:line="266" w:lineRule="auto"/>
        <w:ind w:hanging="360"/>
        <w:jc w:val="both"/>
        <w:rPr>
          <w:rFonts w:ascii="Times New Roman" w:hAnsi="Times New Roman" w:cs="Times New Roman"/>
          <w:bCs/>
        </w:rPr>
      </w:pPr>
      <w:r w:rsidRPr="004C778D">
        <w:rPr>
          <w:rFonts w:ascii="Times New Roman" w:hAnsi="Times New Roman" w:cs="Times New Roman"/>
          <w:bCs/>
        </w:rPr>
        <w:t>Decomposition results. Table 4 describes strange dynamics. “</w:t>
      </w:r>
      <w:proofErr w:type="gramStart"/>
      <w:r w:rsidRPr="004C778D">
        <w:rPr>
          <w:rFonts w:ascii="Times New Roman" w:hAnsi="Times New Roman" w:cs="Times New Roman"/>
          <w:bCs/>
        </w:rPr>
        <w:t>establishments</w:t>
      </w:r>
      <w:proofErr w:type="gramEnd"/>
      <w:r w:rsidRPr="004C778D">
        <w:rPr>
          <w:rFonts w:ascii="Times New Roman" w:hAnsi="Times New Roman" w:cs="Times New Roman"/>
          <w:bCs/>
        </w:rPr>
        <w:t xml:space="preserve"> with low TFP enter and remain in the market while establishments with positive TFP exit the Mexican market” is a very strange dynamic indeed. It is counterintuitive because low-productivity establishments can survive long if market selection does not work. The referee is left wondering whether there are problems with either measurement or estimation or both. </w:t>
      </w:r>
    </w:p>
    <w:p w14:paraId="6FB320B4" w14:textId="77777777" w:rsidR="00D6182C" w:rsidRPr="004C778D" w:rsidRDefault="00D6182C" w:rsidP="00C939D1">
      <w:pPr>
        <w:jc w:val="both"/>
        <w:rPr>
          <w:rFonts w:ascii="Times New Roman" w:hAnsi="Times New Roman" w:cs="Times New Roman"/>
          <w:bCs/>
        </w:rPr>
      </w:pPr>
    </w:p>
    <w:p w14:paraId="6D6314A2" w14:textId="4A07E7F8" w:rsidR="00EF7781" w:rsidRPr="005A5BA0" w:rsidRDefault="001B1FA5" w:rsidP="00C939D1">
      <w:pPr>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The author argues that the findings and their interpretation align with previous studies. For example, </w:t>
      </w:r>
      <w:sdt>
        <w:sdtPr>
          <w:rPr>
            <w:rFonts w:ascii="Times New Roman" w:hAnsi="Times New Roman" w:cs="Times New Roman"/>
            <w:bCs/>
            <w:color w:val="77206D" w:themeColor="accent5" w:themeShade="BF"/>
          </w:rPr>
          <w:tag w:val="MENDELEY_CITATION_v3_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"/>
          <w:id w:val="391937469"/>
          <w:placeholder>
            <w:docPart w:val="DefaultPlaceholder_-1854013440"/>
          </w:placeholder>
        </w:sdtPr>
        <w:sdtContent>
          <w:r w:rsidR="003C0A51" w:rsidRPr="003C0A51">
            <w:rPr>
              <w:rFonts w:ascii="Times New Roman" w:hAnsi="Times New Roman" w:cs="Times New Roman"/>
              <w:bCs/>
              <w:color w:val="77206D"/>
            </w:rPr>
            <w:t>Levy Algazi (2018)</w:t>
          </w:r>
        </w:sdtContent>
      </w:sdt>
      <w:r w:rsidR="00835BBF">
        <w:rPr>
          <w:rFonts w:ascii="Times New Roman" w:hAnsi="Times New Roman" w:cs="Times New Roman"/>
          <w:bCs/>
          <w:color w:val="77206D" w:themeColor="accent5" w:themeShade="BF"/>
        </w:rPr>
        <w:t xml:space="preserve"> </w:t>
      </w:r>
      <w:r w:rsidRPr="005A5BA0">
        <w:rPr>
          <w:rFonts w:ascii="Times New Roman" w:hAnsi="Times New Roman" w:cs="Times New Roman"/>
          <w:bCs/>
          <w:color w:val="77206D" w:themeColor="accent5" w:themeShade="BF"/>
        </w:rPr>
        <w:t xml:space="preserve"> claims that low-productivity firms enter the market in Mexico, while high-productivity firms exit. This type of market selection in Mexico has been labelled “dysfunctional firm dynamics” </w:t>
      </w:r>
      <w:sdt>
        <w:sdtPr>
          <w:rPr>
            <w:rFonts w:ascii="Times New Roman" w:hAnsi="Times New Roman" w:cs="Times New Roman"/>
            <w:bCs/>
            <w:color w:val="77206D" w:themeColor="accent5" w:themeShade="BF"/>
          </w:rPr>
          <w:tag w:val="MENDELEY_CITATION_v3_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"/>
          <w:id w:val="-1868130420"/>
          <w:placeholder>
            <w:docPart w:val="DefaultPlaceholder_-1854013440"/>
          </w:placeholder>
        </w:sdtPr>
        <w:sdtContent>
          <w:r w:rsidR="003C0A51" w:rsidRPr="003C0A51">
            <w:rPr>
              <w:rFonts w:ascii="Times New Roman" w:hAnsi="Times New Roman" w:cs="Times New Roman"/>
              <w:bCs/>
              <w:color w:val="77206D"/>
            </w:rPr>
            <w:t>(Ros-Bosch, 2019)</w:t>
          </w:r>
        </w:sdtContent>
      </w:sdt>
      <w:r w:rsidRPr="005A5BA0">
        <w:rPr>
          <w:rFonts w:ascii="Times New Roman" w:hAnsi="Times New Roman" w:cs="Times New Roman"/>
          <w:bCs/>
          <w:color w:val="77206D" w:themeColor="accent5" w:themeShade="BF"/>
        </w:rPr>
        <w:t>. Tables 3 and 5 also show that the period covering the 2008 crisis affected, to a greater extent, the contributions to TFP growth of survivors and net entrants. The interpretation is that the 2008 financial crisis affected the TFP growth of surviving firms, and they have not fully recovered since.</w:t>
      </w:r>
    </w:p>
    <w:p w14:paraId="1CB5DDB0" w14:textId="19B2FDE8" w:rsidR="00776377" w:rsidRPr="005A5BA0" w:rsidRDefault="00EF7781" w:rsidP="00C939D1">
      <w:pPr>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In addition, </w:t>
      </w:r>
      <w:r w:rsidR="00515EFD" w:rsidRPr="005A5BA0">
        <w:rPr>
          <w:rFonts w:ascii="Times New Roman" w:hAnsi="Times New Roman" w:cs="Times New Roman"/>
          <w:bCs/>
          <w:color w:val="77206D" w:themeColor="accent5" w:themeShade="BF"/>
        </w:rPr>
        <w:t xml:space="preserve">the author </w:t>
      </w:r>
      <w:r w:rsidR="00B10544" w:rsidRPr="005A5BA0">
        <w:rPr>
          <w:rFonts w:ascii="Times New Roman" w:hAnsi="Times New Roman" w:cs="Times New Roman"/>
          <w:bCs/>
          <w:color w:val="77206D" w:themeColor="accent5" w:themeShade="BF"/>
        </w:rPr>
        <w:t>provided the following clarification to the previous referee, and it</w:t>
      </w:r>
      <w:r w:rsidR="00D422F0" w:rsidRPr="005A5BA0">
        <w:rPr>
          <w:rFonts w:ascii="Times New Roman" w:hAnsi="Times New Roman" w:cs="Times New Roman"/>
          <w:bCs/>
          <w:color w:val="77206D" w:themeColor="accent5" w:themeShade="BF"/>
        </w:rPr>
        <w:t xml:space="preserve"> also applies to this comment</w:t>
      </w:r>
      <w:r w:rsidR="00FC3401" w:rsidRPr="005A5BA0">
        <w:rPr>
          <w:rFonts w:ascii="Times New Roman" w:hAnsi="Times New Roman" w:cs="Times New Roman"/>
          <w:bCs/>
          <w:color w:val="77206D" w:themeColor="accent5" w:themeShade="BF"/>
        </w:rPr>
        <w:t>.</w:t>
      </w:r>
    </w:p>
    <w:p w14:paraId="1449B48E" w14:textId="4CA04CA1" w:rsidR="00811576" w:rsidRPr="005A5BA0" w:rsidRDefault="00811576" w:rsidP="00C939D1">
      <w:pPr>
        <w:pStyle w:val="ListParagraph"/>
        <w:numPr>
          <w:ilvl w:val="0"/>
          <w:numId w:val="6"/>
        </w:numPr>
        <w:jc w:val="both"/>
        <w:rPr>
          <w:rFonts w:ascii="Times New Roman" w:hAnsi="Times New Roman" w:cs="Times New Roman"/>
          <w:bCs/>
          <w:color w:val="77206D" w:themeColor="accent5" w:themeShade="BF"/>
        </w:rPr>
      </w:pPr>
      <w:r w:rsidRPr="005A5BA0">
        <w:rPr>
          <w:rFonts w:ascii="Times New Roman" w:hAnsi="Times New Roman" w:cs="Times New Roman"/>
          <w:bCs/>
          <w:color w:val="77206D" w:themeColor="accent5" w:themeShade="BF"/>
        </w:rPr>
        <w:t xml:space="preserve">To give certainty to the </w:t>
      </w:r>
      <w:r w:rsidR="00B10544" w:rsidRPr="005A5BA0">
        <w:rPr>
          <w:rFonts w:ascii="Times New Roman" w:hAnsi="Times New Roman" w:cs="Times New Roman"/>
          <w:bCs/>
          <w:color w:val="77206D" w:themeColor="accent5" w:themeShade="BF"/>
        </w:rPr>
        <w:t>referee</w:t>
      </w:r>
      <w:r w:rsidRPr="005A5BA0">
        <w:rPr>
          <w:rFonts w:ascii="Times New Roman" w:hAnsi="Times New Roman" w:cs="Times New Roman"/>
          <w:bCs/>
          <w:color w:val="77206D" w:themeColor="accent5" w:themeShade="BF"/>
        </w:rPr>
        <w:t xml:space="preserve"> that the </w:t>
      </w:r>
      <w:sdt>
        <w:sdtPr>
          <w:rPr>
            <w:rFonts w:ascii="Times New Roman" w:hAnsi="Times New Roman" w:cs="Times New Roman"/>
            <w:color w:val="77206D" w:themeColor="accent5" w:themeShade="BF"/>
          </w:rPr>
          <w:tag w:val="MENDELEY_CITATION_v3_eyJjaXRhdGlvbklEIjoiTUVOREVMRVlfQ0lUQVRJT05fMmZjOGI4Y2UtNWFhOS00YTU0LWFkZGItYmRkMGZiZDQ4MTVi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
          <w:id w:val="747780023"/>
          <w:placeholder>
            <w:docPart w:val="FF5FBC0DB3EF4B579EC77C27E58B2015"/>
          </w:placeholder>
        </w:sdtPr>
        <w:sdtContent>
          <w:r w:rsidR="003C0A51" w:rsidRPr="003C0A51">
            <w:rPr>
              <w:rFonts w:ascii="Times New Roman" w:hAnsi="Times New Roman" w:cs="Times New Roman"/>
              <w:color w:val="78206E"/>
            </w:rPr>
            <w:t>Haltiwanger (1997)</w:t>
          </w:r>
        </w:sdtContent>
      </w:sdt>
      <w:r w:rsidR="000A0313" w:rsidRPr="00C2537B">
        <w:rPr>
          <w:rFonts w:ascii="Times New Roman" w:hAnsi="Times New Roman" w:cs="Times New Roman"/>
          <w:color w:val="77206D" w:themeColor="accent5" w:themeShade="BF"/>
        </w:rPr>
        <w:t xml:space="preserve"> </w:t>
      </w:r>
      <w:r w:rsidR="000A0313">
        <w:rPr>
          <w:rFonts w:ascii="Times New Roman" w:hAnsi="Times New Roman" w:cs="Times New Roman"/>
          <w:color w:val="77206D" w:themeColor="accent5" w:themeShade="BF"/>
        </w:rPr>
        <w:t xml:space="preserve">and </w:t>
      </w:r>
      <w:sdt>
        <w:sdtPr>
          <w:rPr>
            <w:rFonts w:ascii="Times New Roman" w:hAnsi="Times New Roman" w:cs="Times New Roman"/>
            <w:color w:val="78206E"/>
          </w:rPr>
          <w:tag w:val="MENDELEY_CITATION_v3_eyJjaXRhdGlvbklEIjoiTUVOREVMRVlfQ0lUQVRJT05fZDUyNDUwNjAtNDQ5ZC00MWJkLTgzYzktMTZlYjM3NGNiYTBi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
          <w:id w:val="-1429266610"/>
          <w:placeholder>
            <w:docPart w:val="A32CDF74B8D1409A980623F421D268ED"/>
          </w:placeholder>
        </w:sdtPr>
        <w:sdtContent>
          <w:r w:rsidR="003C0A51" w:rsidRPr="003C0A51">
            <w:rPr>
              <w:rFonts w:ascii="Times New Roman" w:eastAsia="Times New Roman" w:hAnsi="Times New Roman" w:cs="Times New Roman"/>
              <w:color w:val="78206E"/>
            </w:rPr>
            <w:t>Melitz &amp; Polanec (2015)</w:t>
          </w:r>
        </w:sdtContent>
      </w:sdt>
      <w:r w:rsidRPr="005A5BA0">
        <w:rPr>
          <w:rFonts w:ascii="Times New Roman" w:hAnsi="Times New Roman" w:cs="Times New Roman"/>
          <w:bCs/>
          <w:color w:val="77206D" w:themeColor="accent5" w:themeShade="BF"/>
        </w:rPr>
        <w:t xml:space="preserve"> decompositions of TFP growth are correctly applied, the author has included in the appendix of this letter the comparison between the weighted TFP in first differences that approximates TFP growth (column 2) and the sum of the terms of the decomposition of TFP growth (column 3) in Tables A1 and A2. The comparison shows that the numbers in columns 2 and 3 of Tables A1 and A2 are equivalent, indicating that the TFP growth decomposition methodologies were implemented correctly.</w:t>
      </w:r>
    </w:p>
    <w:p w14:paraId="5FDC84DF" w14:textId="77777777" w:rsidR="00561472" w:rsidRPr="00AF7AE3" w:rsidRDefault="002B4048" w:rsidP="004C778D">
      <w:pPr>
        <w:rPr>
          <w:rFonts w:ascii="Times New Roman" w:hAnsi="Times New Roman" w:cs="Times New Roman"/>
        </w:rPr>
      </w:pPr>
      <w:r w:rsidRPr="00AF7AE3">
        <w:rPr>
          <w:rFonts w:ascii="Times New Roman" w:hAnsi="Times New Roman" w:cs="Times New Roman"/>
        </w:rPr>
        <w:t>---</w:t>
      </w:r>
      <w:r w:rsidRPr="00AF7AE3">
        <w:rPr>
          <w:rFonts w:ascii="Times New Roman" w:hAnsi="Times New Roman" w:cs="Times New Roman"/>
        </w:rPr>
        <w:br/>
      </w:r>
      <w:r w:rsidRPr="00AF7AE3">
        <w:rPr>
          <w:rFonts w:ascii="Times New Roman" w:hAnsi="Times New Roman" w:cs="Times New Roman"/>
        </w:rPr>
        <w:br/>
      </w:r>
      <w:r w:rsidRPr="004C778D">
        <w:rPr>
          <w:rFonts w:ascii="Times New Roman" w:hAnsi="Times New Roman" w:cs="Times New Roman"/>
        </w:rPr>
        <w:t>Minor Issues</w:t>
      </w:r>
      <w:r w:rsidRPr="004C778D">
        <w:rPr>
          <w:rFonts w:ascii="Times New Roman" w:hAnsi="Times New Roman" w:cs="Times New Roman"/>
        </w:rPr>
        <w:br/>
      </w:r>
      <w:r w:rsidRPr="00AF7AE3">
        <w:rPr>
          <w:rFonts w:ascii="Times New Roman" w:hAnsi="Times New Roman" w:cs="Times New Roman"/>
        </w:rPr>
        <w:br/>
        <w:t>- Equation (7): Use t−kt−k instead of t−1t−1 for consistency with the dynamic specification.</w:t>
      </w:r>
    </w:p>
    <w:p w14:paraId="43C1E666" w14:textId="0221A70E" w:rsidR="00673F88" w:rsidRPr="00AF7AE3" w:rsidRDefault="00561472" w:rsidP="00C939D1">
      <w:pPr>
        <w:jc w:val="both"/>
        <w:rPr>
          <w:rFonts w:ascii="Times New Roman" w:hAnsi="Times New Roman" w:cs="Times New Roman"/>
        </w:rPr>
      </w:pPr>
      <w:r w:rsidRPr="005A5BA0">
        <w:rPr>
          <w:rFonts w:ascii="Times New Roman" w:hAnsi="Times New Roman" w:cs="Times New Roman"/>
          <w:color w:val="77206D" w:themeColor="accent5" w:themeShade="BF"/>
        </w:rPr>
        <w:t xml:space="preserve">The </w:t>
      </w:r>
      <w:r w:rsidR="00D86FC7" w:rsidRPr="005A5BA0">
        <w:rPr>
          <w:rFonts w:ascii="Times New Roman" w:hAnsi="Times New Roman" w:cs="Times New Roman"/>
          <w:color w:val="77206D" w:themeColor="accent5" w:themeShade="BF"/>
        </w:rPr>
        <w:t xml:space="preserve">author explains that the data used has a </w:t>
      </w:r>
      <w:r w:rsidR="00961DE7" w:rsidRPr="005A5BA0">
        <w:rPr>
          <w:rFonts w:ascii="Times New Roman" w:hAnsi="Times New Roman" w:cs="Times New Roman"/>
          <w:color w:val="77206D" w:themeColor="accent5" w:themeShade="BF"/>
        </w:rPr>
        <w:t>5-year</w:t>
      </w:r>
      <w:r w:rsidR="00D86FC7" w:rsidRPr="005A5BA0">
        <w:rPr>
          <w:rFonts w:ascii="Times New Roman" w:hAnsi="Times New Roman" w:cs="Times New Roman"/>
          <w:color w:val="77206D" w:themeColor="accent5" w:themeShade="BF"/>
        </w:rPr>
        <w:t xml:space="preserve"> gap. Then, </w:t>
      </w:r>
      <w:r w:rsidR="00E21A28" w:rsidRPr="005A5BA0">
        <w:rPr>
          <w:rFonts w:ascii="Times New Roman" w:hAnsi="Times New Roman" w:cs="Times New Roman"/>
          <w:color w:val="77206D" w:themeColor="accent5" w:themeShade="BF"/>
        </w:rPr>
        <w:t xml:space="preserve">it is </w:t>
      </w:r>
      <w:r w:rsidR="00961DE7" w:rsidRPr="005A5BA0">
        <w:rPr>
          <w:rFonts w:ascii="Times New Roman" w:hAnsi="Times New Roman" w:cs="Times New Roman"/>
          <w:color w:val="77206D" w:themeColor="accent5" w:themeShade="BF"/>
        </w:rPr>
        <w:t>more precise to use t-k to note that k represents the 5-year</w:t>
      </w:r>
      <w:r w:rsidR="00E21A28" w:rsidRPr="005A5BA0">
        <w:rPr>
          <w:rFonts w:ascii="Times New Roman" w:hAnsi="Times New Roman" w:cs="Times New Roman"/>
          <w:color w:val="77206D" w:themeColor="accent5" w:themeShade="BF"/>
        </w:rPr>
        <w:t xml:space="preserve"> gap.</w:t>
      </w:r>
      <w:r w:rsidR="00EA6BBF" w:rsidRPr="005A5BA0">
        <w:rPr>
          <w:rFonts w:ascii="Times New Roman" w:hAnsi="Times New Roman" w:cs="Times New Roman"/>
          <w:color w:val="77206D" w:themeColor="accent5" w:themeShade="BF"/>
        </w:rPr>
        <w:t xml:space="preserve"> This is the </w:t>
      </w:r>
      <w:r w:rsidR="00961DE7" w:rsidRPr="005A5BA0">
        <w:rPr>
          <w:rFonts w:ascii="Times New Roman" w:hAnsi="Times New Roman" w:cs="Times New Roman"/>
          <w:color w:val="77206D" w:themeColor="accent5" w:themeShade="BF"/>
        </w:rPr>
        <w:t>explanation for equation (6) on page 7.</w:t>
      </w:r>
      <w:r w:rsidR="002B4048" w:rsidRPr="005A5BA0">
        <w:rPr>
          <w:rFonts w:ascii="Times New Roman" w:hAnsi="Times New Roman" w:cs="Times New Roman"/>
          <w:color w:val="77206D" w:themeColor="accent5" w:themeShade="BF"/>
        </w:rPr>
        <w:br/>
      </w:r>
      <w:r w:rsidR="002B4048" w:rsidRPr="00AF7AE3">
        <w:rPr>
          <w:rFonts w:ascii="Times New Roman" w:hAnsi="Times New Roman" w:cs="Times New Roman"/>
        </w:rPr>
        <w:t>   </w:t>
      </w:r>
      <w:r w:rsidR="002B4048" w:rsidRPr="00AF7AE3">
        <w:rPr>
          <w:rFonts w:ascii="Times New Roman" w:hAnsi="Times New Roman" w:cs="Times New Roman"/>
        </w:rPr>
        <w:br/>
        <w:t>- Page 4, Line 20: </w:t>
      </w:r>
      <w:proofErr w:type="spellStart"/>
      <w:r w:rsidR="002B4048" w:rsidRPr="00AF7AE3">
        <w:rPr>
          <w:rFonts w:ascii="Times New Roman" w:hAnsi="Times New Roman" w:cs="Times New Roman"/>
        </w:rPr>
        <w:t>Dosi</w:t>
      </w:r>
      <w:proofErr w:type="spellEnd"/>
      <w:r w:rsidR="002B4048" w:rsidRPr="00AF7AE3">
        <w:rPr>
          <w:rFonts w:ascii="Times New Roman" w:hAnsi="Times New Roman" w:cs="Times New Roman"/>
        </w:rPr>
        <w:t xml:space="preserve"> et al. (2021) propose an alternative weighting </w:t>
      </w:r>
      <w:proofErr w:type="gramStart"/>
      <w:r w:rsidR="002B4048" w:rsidRPr="00AF7AE3">
        <w:rPr>
          <w:rFonts w:ascii="Times New Roman" w:hAnsi="Times New Roman" w:cs="Times New Roman"/>
        </w:rPr>
        <w:t>schemes</w:t>
      </w:r>
      <w:proofErr w:type="gramEnd"/>
      <w:r w:rsidR="002B4048" w:rsidRPr="00AF7AE3">
        <w:rPr>
          <w:rFonts w:ascii="Times New Roman" w:hAnsi="Times New Roman" w:cs="Times New Roman"/>
        </w:rPr>
        <w:t>.</w:t>
      </w:r>
    </w:p>
    <w:p w14:paraId="27326A90" w14:textId="2022AD94" w:rsidR="000C57DD" w:rsidRPr="00AF7AE3" w:rsidRDefault="0094594F" w:rsidP="00C939D1">
      <w:pPr>
        <w:spacing w:after="0"/>
        <w:jc w:val="both"/>
        <w:rPr>
          <w:rFonts w:ascii="Times New Roman" w:hAnsi="Times New Roman" w:cs="Times New Roman"/>
        </w:rPr>
      </w:pPr>
      <w:r w:rsidRPr="00FE124E">
        <w:rPr>
          <w:rFonts w:ascii="Times New Roman" w:hAnsi="Times New Roman" w:cs="Times New Roman"/>
          <w:color w:val="77206D" w:themeColor="accent5" w:themeShade="BF"/>
        </w:rPr>
        <w:t xml:space="preserve">The author thanks the referee for highlighting the work of </w:t>
      </w:r>
      <w:sdt>
        <w:sdtPr>
          <w:rPr>
            <w:rFonts w:ascii="Times New Roman" w:hAnsi="Times New Roman" w:cs="Times New Roman"/>
            <w:color w:val="77206D" w:themeColor="accent5" w:themeShade="BF"/>
          </w:rPr>
          <w:tag w:val="MENDELEY_CITATION_v3_eyJjaXRhdGlvbklEIjoiTUVOREVMRVlfQ0lUQVRJT05fYjEwOTQ5ZDgtZTMxMi00ODUyLTgxN2ItODRkN2UzNDg5YWI1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2031099946"/>
          <w:placeholder>
            <w:docPart w:val="DefaultPlaceholder_-1854013440"/>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003C0A51">
        <w:rPr>
          <w:rFonts w:ascii="Times New Roman" w:hAnsi="Times New Roman" w:cs="Times New Roman"/>
          <w:color w:val="77206D" w:themeColor="accent5" w:themeShade="BF"/>
        </w:rPr>
        <w:t xml:space="preserve"> </w:t>
      </w:r>
      <w:r w:rsidRPr="00FE124E">
        <w:rPr>
          <w:rFonts w:ascii="Times New Roman" w:hAnsi="Times New Roman" w:cs="Times New Roman"/>
          <w:color w:val="77206D" w:themeColor="accent5" w:themeShade="BF"/>
        </w:rPr>
        <w:t xml:space="preserve">, which the author was not aware of. In fact, </w:t>
      </w:r>
      <w:sdt>
        <w:sdtPr>
          <w:rPr>
            <w:rFonts w:ascii="Times New Roman" w:hAnsi="Times New Roman" w:cs="Times New Roman"/>
            <w:color w:val="77206D" w:themeColor="accent5" w:themeShade="BF"/>
          </w:rPr>
          <w:tag w:val="MENDELEY_CITATION_v3_eyJjaXRhdGlvbklEIjoiTUVOREVMRVlfQ0lUQVRJT05fYTA4ZmQ3NmMtZDlkZi00NmMxLTkwY2YtNDFkMjAxNDFhZjRi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279227484"/>
          <w:placeholder>
            <w:docPart w:val="2C9DC5126FA84B9386FB1B431351D88B"/>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propose an alternative methodology for computing Aggregate Productivity (AP) and Aggregate Productivity Growth (APG). However, this weighting scheme is </w:t>
      </w:r>
      <w:r w:rsidRPr="00FE124E">
        <w:rPr>
          <w:rFonts w:ascii="Times New Roman" w:hAnsi="Times New Roman" w:cs="Times New Roman"/>
          <w:color w:val="77206D" w:themeColor="accent5" w:themeShade="BF"/>
        </w:rPr>
        <w:lastRenderedPageBreak/>
        <w:t xml:space="preserve">incompatible with combining it with TFP at the establishment level. Thus, this weighting scheme cannot be applied to measure aggregate TFP. The author included this explanation on page 7. </w:t>
      </w:r>
      <w:r w:rsidR="006576C1" w:rsidRPr="00FE124E">
        <w:rPr>
          <w:rFonts w:ascii="Times New Roman" w:hAnsi="Times New Roman" w:cs="Times New Roman"/>
          <w:color w:val="77206D" w:themeColor="accent5" w:themeShade="BF"/>
        </w:rPr>
        <w:t>In addition, t</w:t>
      </w:r>
      <w:r w:rsidRPr="00FE124E">
        <w:rPr>
          <w:rFonts w:ascii="Times New Roman" w:hAnsi="Times New Roman" w:cs="Times New Roman"/>
          <w:color w:val="77206D" w:themeColor="accent5" w:themeShade="BF"/>
        </w:rPr>
        <w:t>he author provides a more detailed explanation of th</w:t>
      </w:r>
      <w:r w:rsidR="006576C1" w:rsidRPr="00FE124E">
        <w:rPr>
          <w:rFonts w:ascii="Times New Roman" w:hAnsi="Times New Roman" w:cs="Times New Roman"/>
          <w:color w:val="77206D" w:themeColor="accent5" w:themeShade="BF"/>
        </w:rPr>
        <w:t>is</w:t>
      </w:r>
      <w:r w:rsidRPr="00FE124E">
        <w:rPr>
          <w:rFonts w:ascii="Times New Roman" w:hAnsi="Times New Roman" w:cs="Times New Roman"/>
          <w:color w:val="77206D" w:themeColor="accent5" w:themeShade="BF"/>
        </w:rPr>
        <w:t xml:space="preserve"> incompatibility as follows:</w:t>
      </w:r>
    </w:p>
    <w:p w14:paraId="00B0BDB6" w14:textId="1441464B" w:rsidR="00673F88" w:rsidRPr="00FE124E" w:rsidRDefault="00673F88" w:rsidP="00C939D1">
      <w:pPr>
        <w:spacing w:after="0"/>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 </w:t>
      </w:r>
    </w:p>
    <w:p w14:paraId="176A9CC0" w14:textId="77777777" w:rsidR="00673F88" w:rsidRPr="00FE124E" w:rsidRDefault="00673F88" w:rsidP="00C939D1">
      <w:pPr>
        <w:pStyle w:val="ListParagraph"/>
        <w:numPr>
          <w:ilvl w:val="0"/>
          <w:numId w:val="2"/>
        </w:numPr>
        <w:spacing w:line="278" w:lineRule="auto"/>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Description of the methodology to measure alternative weights (using inputs).</w:t>
      </w:r>
    </w:p>
    <w:p w14:paraId="700C3CFA" w14:textId="36F14D93" w:rsidR="00673F88" w:rsidRPr="00FE124E" w:rsidRDefault="00000000" w:rsidP="00C939D1">
      <w:pPr>
        <w:jc w:val="both"/>
        <w:rPr>
          <w:rFonts w:ascii="Times New Roman" w:hAnsi="Times New Roman" w:cs="Times New Roman"/>
          <w:color w:val="77206D" w:themeColor="accent5" w:themeShade="BF"/>
        </w:rPr>
      </w:pPr>
      <w:sdt>
        <w:sdtPr>
          <w:rPr>
            <w:rFonts w:ascii="Times New Roman" w:hAnsi="Times New Roman" w:cs="Times New Roman"/>
            <w:color w:val="77206D" w:themeColor="accent5" w:themeShade="BF"/>
          </w:rPr>
          <w:tag w:val="MENDELEY_CITATION_v3_eyJjaXRhdGlvbklEIjoiTUVOREVMRVlfQ0lUQVRJT05fM2RhM2E4NTMtNmVlOC00NTNjLTgwYTktOGM0Nzc3ZmNkZjM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966086516"/>
          <w:placeholder>
            <w:docPart w:val="F22B97ABDC6742D688126549C064ABB4"/>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00673F88" w:rsidRPr="00FE124E">
        <w:rPr>
          <w:rFonts w:ascii="Times New Roman" w:hAnsi="Times New Roman" w:cs="Times New Roman"/>
          <w:color w:val="77206D" w:themeColor="accent5" w:themeShade="BF"/>
        </w:rPr>
        <w:t xml:space="preserve"> consider two key factors in calculating Aggregated Productivity (AP) and Aggregated Productivity Growth (APG): summation and weights.  Summation implies that AP, </w:t>
      </w:r>
      <w:r w:rsidR="00CA6383" w:rsidRPr="00FE124E">
        <w:rPr>
          <w:rFonts w:ascii="Times New Roman" w:hAnsi="Times New Roman" w:cs="Times New Roman"/>
          <w:color w:val="77206D" w:themeColor="accent5" w:themeShade="BF"/>
        </w:rPr>
        <w:t>calculated as a weighted average of productivity across firms, may not equal the productivity measure</w:t>
      </w:r>
      <w:r w:rsidR="00673F88" w:rsidRPr="00FE124E">
        <w:rPr>
          <w:rFonts w:ascii="Times New Roman" w:hAnsi="Times New Roman" w:cs="Times New Roman"/>
          <w:color w:val="77206D" w:themeColor="accent5" w:themeShade="BF"/>
        </w:rPr>
        <w:t xml:space="preserve"> from an aggregate production function. Regarding the weights, </w:t>
      </w:r>
      <w:sdt>
        <w:sdtPr>
          <w:rPr>
            <w:rFonts w:ascii="Times New Roman" w:hAnsi="Times New Roman" w:cs="Times New Roman"/>
            <w:color w:val="77206D" w:themeColor="accent5" w:themeShade="BF"/>
          </w:rPr>
          <w:tag w:val="MENDELEY_CITATION_v3_eyJjaXRhdGlvbklEIjoiTUVOREVMRVlfQ0lUQVRJT05fNDcwNTg3ZmMtYWI3Mi00ZDM0LWI2ZTQtY2U3Y2NjM2E3ZjVl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694806453"/>
          <w:placeholder>
            <w:docPart w:val="F23F78BC4C02428B8606F018930E310E"/>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00673F88" w:rsidRPr="00FE124E">
        <w:rPr>
          <w:rFonts w:ascii="Times New Roman" w:hAnsi="Times New Roman" w:cs="Times New Roman"/>
          <w:color w:val="77206D" w:themeColor="accent5" w:themeShade="BF"/>
        </w:rPr>
        <w:t xml:space="preserve"> suggest that </w:t>
      </w:r>
      <w:r w:rsidR="00CA6383" w:rsidRPr="00FE124E">
        <w:rPr>
          <w:rFonts w:ascii="Times New Roman" w:hAnsi="Times New Roman" w:cs="Times New Roman"/>
          <w:color w:val="77206D" w:themeColor="accent5" w:themeShade="BF"/>
        </w:rPr>
        <w:t>output-oriented weights can yield a higher AP than input-oriented weights</w:t>
      </w:r>
      <w:r w:rsidR="00673F88" w:rsidRPr="00FE124E">
        <w:rPr>
          <w:rFonts w:ascii="Times New Roman" w:hAnsi="Times New Roman" w:cs="Times New Roman"/>
          <w:color w:val="77206D" w:themeColor="accent5" w:themeShade="BF"/>
        </w:rPr>
        <w:t xml:space="preserve">. </w:t>
      </w:r>
    </w:p>
    <w:p w14:paraId="208C3640" w14:textId="64706F6F" w:rsidR="00673F88" w:rsidRPr="00FE124E" w:rsidRDefault="00673F88" w:rsidP="00C939D1">
      <w:pPr>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For that reason, </w:t>
      </w:r>
      <w:sdt>
        <w:sdtPr>
          <w:rPr>
            <w:rFonts w:ascii="Times New Roman" w:hAnsi="Times New Roman" w:cs="Times New Roman"/>
            <w:color w:val="77206D" w:themeColor="accent5" w:themeShade="BF"/>
          </w:rPr>
          <w:tag w:val="MENDELEY_CITATION_v3_eyJjaXRhdGlvbklEIjoiTUVOREVMRVlfQ0lUQVRJT05fM2IwNGNjMDMtNTU4NC00ZjA5LTk5MGEtNjE4MDk5NGFlODVm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58196883"/>
          <w:placeholder>
            <w:docPart w:val="B03B68556B2E4916B4F31B0C0B8BDD72"/>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propose a methodology that uses input-oriented weights to compute AP.  In addition, </w:t>
      </w:r>
      <w:sdt>
        <w:sdtPr>
          <w:rPr>
            <w:rFonts w:ascii="Times New Roman" w:hAnsi="Times New Roman" w:cs="Times New Roman"/>
            <w:color w:val="77206D" w:themeColor="accent5" w:themeShade="BF"/>
          </w:rPr>
          <w:tag w:val="MENDELEY_CITATION_v3_eyJjaXRhdGlvbklEIjoiTUVOREVMRVlfQ0lUQVRJT05fMTFmNzljNWYtZWIwYS00MmM3LWJiYjktMDllMzY3YjA2Mjg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453047034"/>
          <w:placeholder>
            <w:docPart w:val="7DE5F6CF17084436B9EA69C6FC22199F"/>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propose a firm-level productivity metric computed directly from firms' output–input vectors using a geometric approach (without imposing a production function). The resulting productivity metric, denoted by </w:t>
      </w:r>
      <w:proofErr w:type="spellStart"/>
      <w:proofErr w:type="gramStart"/>
      <w:r w:rsidRPr="00FE124E">
        <w:rPr>
          <w:rFonts w:ascii="Times New Roman" w:hAnsi="Times New Roman" w:cs="Times New Roman"/>
          <w:color w:val="77206D" w:themeColor="accent5" w:themeShade="BF"/>
        </w:rPr>
        <w:t>tg</w:t>
      </w:r>
      <w:proofErr w:type="spellEnd"/>
      <w:r w:rsidRPr="00FE124E">
        <w:rPr>
          <w:rFonts w:ascii="Times New Roman" w:hAnsi="Times New Roman" w:cs="Times New Roman"/>
          <w:color w:val="77206D" w:themeColor="accent5" w:themeShade="BF"/>
        </w:rPr>
        <w:t>(</w:t>
      </w:r>
      <w:proofErr w:type="gramEnd"/>
      <w:r w:rsidRPr="00FE124E">
        <w:rPr>
          <w:rFonts w:ascii="Times New Roman" w:hAnsi="Times New Roman" w:cs="Times New Roman"/>
          <w:color w:val="77206D" w:themeColor="accent5" w:themeShade="BF"/>
        </w:rPr>
        <w:t xml:space="preserve">) in the paper, is derived from the tangent of the output-inputs vectors. Then, the productivity metric </w:t>
      </w:r>
      <w:proofErr w:type="spellStart"/>
      <w:proofErr w:type="gramStart"/>
      <w:r w:rsidRPr="00FE124E">
        <w:rPr>
          <w:rFonts w:ascii="Times New Roman" w:hAnsi="Times New Roman" w:cs="Times New Roman"/>
          <w:color w:val="77206D" w:themeColor="accent5" w:themeShade="BF"/>
        </w:rPr>
        <w:t>tg</w:t>
      </w:r>
      <w:proofErr w:type="spellEnd"/>
      <w:r w:rsidRPr="00FE124E">
        <w:rPr>
          <w:rFonts w:ascii="Times New Roman" w:hAnsi="Times New Roman" w:cs="Times New Roman"/>
          <w:color w:val="77206D" w:themeColor="accent5" w:themeShade="BF"/>
        </w:rPr>
        <w:t>(</w:t>
      </w:r>
      <w:proofErr w:type="gramEnd"/>
      <w:r w:rsidRPr="00FE124E">
        <w:rPr>
          <w:rFonts w:ascii="Times New Roman" w:hAnsi="Times New Roman" w:cs="Times New Roman"/>
          <w:color w:val="77206D" w:themeColor="accent5" w:themeShade="BF"/>
        </w:rPr>
        <w:t xml:space="preserve">) can be interpreted as a tangential-based measure of productivity. Finally, </w:t>
      </w:r>
      <w:sdt>
        <w:sdtPr>
          <w:rPr>
            <w:rFonts w:ascii="Times New Roman" w:hAnsi="Times New Roman" w:cs="Times New Roman"/>
            <w:color w:val="77206D" w:themeColor="accent5" w:themeShade="BF"/>
          </w:rPr>
          <w:tag w:val="MENDELEY_CITATION_v3_eyJjaXRhdGlvbklEIjoiTUVOREVMRVlfQ0lUQVRJT05fNzNhYzk5Y2ItZjk3ZS00MDU2LWFlNjMtNWM1Zjk0NWIzODUy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461147748"/>
          <w:placeholder>
            <w:docPart w:val="CCA61C8C1E584916A761B0033E302EEB"/>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combine the weight inputs-based and the productivity measure </w:t>
      </w:r>
      <w:proofErr w:type="spellStart"/>
      <w:proofErr w:type="gramStart"/>
      <w:r w:rsidRPr="00FE124E">
        <w:rPr>
          <w:rFonts w:ascii="Times New Roman" w:hAnsi="Times New Roman" w:cs="Times New Roman"/>
          <w:color w:val="77206D" w:themeColor="accent5" w:themeShade="BF"/>
        </w:rPr>
        <w:t>tg</w:t>
      </w:r>
      <w:proofErr w:type="spellEnd"/>
      <w:r w:rsidRPr="00FE124E">
        <w:rPr>
          <w:rFonts w:ascii="Times New Roman" w:hAnsi="Times New Roman" w:cs="Times New Roman"/>
          <w:color w:val="77206D" w:themeColor="accent5" w:themeShade="BF"/>
        </w:rPr>
        <w:t>(</w:t>
      </w:r>
      <w:proofErr w:type="gramEnd"/>
      <w:r w:rsidRPr="00FE124E">
        <w:rPr>
          <w:rFonts w:ascii="Times New Roman" w:hAnsi="Times New Roman" w:cs="Times New Roman"/>
          <w:color w:val="77206D" w:themeColor="accent5" w:themeShade="BF"/>
        </w:rPr>
        <w:t>) to calculate AP and APG.</w:t>
      </w:r>
    </w:p>
    <w:p w14:paraId="3E09F504" w14:textId="7161341C" w:rsidR="00673F88" w:rsidRPr="00FE124E" w:rsidRDefault="00673F88" w:rsidP="00C939D1">
      <w:pPr>
        <w:pStyle w:val="ListParagraph"/>
        <w:numPr>
          <w:ilvl w:val="0"/>
          <w:numId w:val="2"/>
        </w:numPr>
        <w:spacing w:line="278" w:lineRule="auto"/>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Lack of comparability between the methodology that proposes weights with input orientation </w:t>
      </w:r>
      <w:sdt>
        <w:sdtPr>
          <w:rPr>
            <w:rFonts w:ascii="Times New Roman" w:hAnsi="Times New Roman" w:cs="Times New Roman"/>
            <w:color w:val="77206D" w:themeColor="accent5" w:themeShade="BF"/>
          </w:rPr>
          <w:tag w:val="MENDELEY_CITATION_v3_eyJjaXRhdGlvbklEIjoiTUVOREVMRVlfQ0lUQVRJT05fZjJjZGEzMzItYWVhNi00ODQzLTk2ODYtZWY2OGU3OWI5OGZi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222676566"/>
          <w:placeholder>
            <w:docPart w:val="C17BBF5CA88C478CA4BCA7833EB0FFE8"/>
          </w:placeholder>
        </w:sdtPr>
        <w:sdtContent>
          <w:r w:rsidR="003C0A51" w:rsidRPr="003C0A51">
            <w:rPr>
              <w:rFonts w:ascii="Times New Roman" w:hAnsi="Times New Roman" w:cs="Times New Roman"/>
              <w:color w:val="77206D"/>
            </w:rPr>
            <w:t>Dosi et al. (2021)</w:t>
          </w:r>
        </w:sdtContent>
      </w:sdt>
      <w:r w:rsidRPr="00FE124E">
        <w:rPr>
          <w:rFonts w:ascii="Times New Roman" w:hAnsi="Times New Roman" w:cs="Times New Roman"/>
          <w:color w:val="77206D" w:themeColor="accent5" w:themeShade="BF"/>
        </w:rPr>
        <w:t>, and this paper.</w:t>
      </w:r>
    </w:p>
    <w:p w14:paraId="1F096409" w14:textId="77E8F3CB" w:rsidR="00673F88" w:rsidRPr="00FE124E" w:rsidRDefault="00673F88" w:rsidP="00C939D1">
      <w:pPr>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If </w:t>
      </w:r>
      <w:r w:rsidR="00F43F2D" w:rsidRPr="00FE124E">
        <w:rPr>
          <w:rFonts w:ascii="Times New Roman" w:hAnsi="Times New Roman" w:cs="Times New Roman"/>
          <w:color w:val="77206D" w:themeColor="accent5" w:themeShade="BF"/>
        </w:rPr>
        <w:t>it is suggested</w:t>
      </w:r>
      <w:r w:rsidRPr="00FE124E">
        <w:rPr>
          <w:rFonts w:ascii="Times New Roman" w:hAnsi="Times New Roman" w:cs="Times New Roman"/>
          <w:color w:val="77206D" w:themeColor="accent5" w:themeShade="BF"/>
        </w:rPr>
        <w:t xml:space="preserve"> to apply the methodology of </w:t>
      </w:r>
      <w:sdt>
        <w:sdtPr>
          <w:rPr>
            <w:rFonts w:ascii="Times New Roman" w:hAnsi="Times New Roman" w:cs="Times New Roman"/>
            <w:color w:val="77206D" w:themeColor="accent5" w:themeShade="BF"/>
          </w:rPr>
          <w:tag w:val="MENDELEY_CITATION_v3_eyJjaXRhdGlvbklEIjoiTUVOREVMRVlfQ0lUQVRJT05fY2Q4ZTg5NTMtNDYyOC00YjUxLWE0NTctY2IwY2UwZGZlZjQ2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409815246"/>
          <w:placeholder>
            <w:docPart w:val="9093F49835634DB7863612E4CCE96E3A"/>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to compare AP and APG with the specification in this paper, this is not possible because the methodologies are not comparable and could lead to discrepancies in the computation of AP and APG. This paper calculates AP and APG using TFP and output-based weights, which is not comparable to the use of input-based weights and the tangential-based productivity measure as </w:t>
      </w:r>
      <w:sdt>
        <w:sdtPr>
          <w:rPr>
            <w:rFonts w:ascii="Times New Roman" w:hAnsi="Times New Roman" w:cs="Times New Roman"/>
            <w:color w:val="77206D" w:themeColor="accent5" w:themeShade="BF"/>
          </w:rPr>
          <w:tag w:val="MENDELEY_CITATION_v3_eyJjaXRhdGlvbklEIjoiTUVOREVMRVlfQ0lUQVRJT05fYTkzODc0ODAtMzYzNy00NTc4LTlhYjMtMzQ3MDBlYmI3ZGE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862389304"/>
          <w:placeholder>
            <w:docPart w:val="E8DD803A6B2040EC88B3F7E3C520F06F"/>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proposed.</w:t>
      </w:r>
    </w:p>
    <w:p w14:paraId="464F6EFB" w14:textId="0A52EEA7" w:rsidR="00673F88" w:rsidRPr="00FE124E" w:rsidRDefault="00673F88" w:rsidP="00C939D1">
      <w:pPr>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The author replicated some results presented in </w:t>
      </w:r>
      <w:sdt>
        <w:sdtPr>
          <w:rPr>
            <w:rFonts w:ascii="Times New Roman" w:hAnsi="Times New Roman" w:cs="Times New Roman"/>
            <w:color w:val="77206D" w:themeColor="accent5" w:themeShade="BF"/>
          </w:rPr>
          <w:tag w:val="MENDELEY_CITATION_v3_eyJjaXRhdGlvbklEIjoiTUVOREVMRVlfQ0lUQVRJT05fZTE3NjNjMzktYjA5MS00ZmE3LWE5NWQtY2Q2MmY5MzUyYjcy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534495880"/>
          <w:placeholder>
            <w:docPart w:val="E285B7ADF2C0443392333B79B45672AE"/>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(see Tables 1-3 in the attached Excel file). </w:t>
      </w:r>
      <w:r w:rsidR="00BE1291" w:rsidRPr="00FE124E">
        <w:rPr>
          <w:rFonts w:ascii="Times New Roman" w:hAnsi="Times New Roman" w:cs="Times New Roman"/>
          <w:color w:val="77206D" w:themeColor="accent5" w:themeShade="BF"/>
        </w:rPr>
        <w:t xml:space="preserve">When </w:t>
      </w:r>
      <w:sdt>
        <w:sdtPr>
          <w:rPr>
            <w:rFonts w:ascii="Times New Roman" w:hAnsi="Times New Roman" w:cs="Times New Roman"/>
            <w:color w:val="77206D" w:themeColor="accent5" w:themeShade="BF"/>
          </w:rPr>
          <w:tag w:val="MENDELEY_CITATION_v3_eyJjaXRhdGlvbklEIjoiTUVOREVMRVlfQ0lUQVRJT05fZDBiMjZhMzMtYWZhNy00ZmMwLTg3MTYtNzE1MjAwYjU1Mzc0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74384352"/>
          <w:placeholder>
            <w:docPart w:val="73F13DF9C38C4774BD862616AD6AF586"/>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00BE1291" w:rsidRPr="00FE124E">
        <w:rPr>
          <w:rFonts w:ascii="Times New Roman" w:hAnsi="Times New Roman" w:cs="Times New Roman"/>
          <w:color w:val="77206D" w:themeColor="accent5" w:themeShade="BF"/>
        </w:rPr>
        <w:t xml:space="preserve"> apply their methodology to calculate AP and APG using a combination of output-based and TFP weights (Table 4 in the attached Excel file), AP and APG differ from results obtained</w:t>
      </w:r>
      <w:r w:rsidRPr="00FE124E">
        <w:rPr>
          <w:rFonts w:ascii="Times New Roman" w:hAnsi="Times New Roman" w:cs="Times New Roman"/>
          <w:color w:val="77206D" w:themeColor="accent5" w:themeShade="BF"/>
        </w:rPr>
        <w:t xml:space="preserve"> using input-based weights and the productivity metric </w:t>
      </w:r>
      <w:proofErr w:type="spellStart"/>
      <w:proofErr w:type="gramStart"/>
      <w:r w:rsidRPr="00FE124E">
        <w:rPr>
          <w:rFonts w:ascii="Times New Roman" w:hAnsi="Times New Roman" w:cs="Times New Roman"/>
          <w:color w:val="77206D" w:themeColor="accent5" w:themeShade="BF"/>
        </w:rPr>
        <w:t>tg</w:t>
      </w:r>
      <w:proofErr w:type="spellEnd"/>
      <w:r w:rsidRPr="00FE124E">
        <w:rPr>
          <w:rFonts w:ascii="Times New Roman" w:hAnsi="Times New Roman" w:cs="Times New Roman"/>
          <w:color w:val="77206D" w:themeColor="accent5" w:themeShade="BF"/>
        </w:rPr>
        <w:t>(</w:t>
      </w:r>
      <w:proofErr w:type="gramEnd"/>
      <w:r w:rsidRPr="00FE124E">
        <w:rPr>
          <w:rFonts w:ascii="Times New Roman" w:hAnsi="Times New Roman" w:cs="Times New Roman"/>
          <w:color w:val="77206D" w:themeColor="accent5" w:themeShade="BF"/>
        </w:rPr>
        <w:t xml:space="preserve">). For that reason, the author states that the methodology </w:t>
      </w:r>
      <w:r w:rsidR="007008C4" w:rsidRPr="00FE124E">
        <w:rPr>
          <w:rFonts w:ascii="Times New Roman" w:hAnsi="Times New Roman" w:cs="Times New Roman"/>
          <w:color w:val="77206D" w:themeColor="accent5" w:themeShade="BF"/>
        </w:rPr>
        <w:t xml:space="preserve">of </w:t>
      </w:r>
      <w:sdt>
        <w:sdtPr>
          <w:rPr>
            <w:rFonts w:ascii="Times New Roman" w:hAnsi="Times New Roman" w:cs="Times New Roman"/>
            <w:color w:val="77206D" w:themeColor="accent5" w:themeShade="BF"/>
          </w:rPr>
          <w:tag w:val="MENDELEY_CITATION_v3_eyJjaXRhdGlvbklEIjoiTUVOREVMRVlfQ0lUQVRJT05fZTU5OTBjODMtMGU1NC00YmJkLWEwNzUtOWMzMjM4YjA2ZTZj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571281980"/>
          <w:placeholder>
            <w:docPart w:val="D4DDCBF65228456E95A0874F61496ECD"/>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Pr="00FE124E">
        <w:rPr>
          <w:rFonts w:ascii="Times New Roman" w:hAnsi="Times New Roman" w:cs="Times New Roman"/>
          <w:color w:val="77206D" w:themeColor="accent5" w:themeShade="BF"/>
        </w:rPr>
        <w:t xml:space="preserve"> is specifically designed for </w:t>
      </w:r>
      <w:r w:rsidR="00BE1291" w:rsidRPr="00FE124E">
        <w:rPr>
          <w:rFonts w:ascii="Times New Roman" w:hAnsi="Times New Roman" w:cs="Times New Roman"/>
          <w:color w:val="77206D" w:themeColor="accent5" w:themeShade="BF"/>
        </w:rPr>
        <w:t xml:space="preserve">input-based weights and the metric </w:t>
      </w:r>
      <w:proofErr w:type="spellStart"/>
      <w:proofErr w:type="gramStart"/>
      <w:r w:rsidR="00BE1291" w:rsidRPr="00FE124E">
        <w:rPr>
          <w:rFonts w:ascii="Times New Roman" w:hAnsi="Times New Roman" w:cs="Times New Roman"/>
          <w:color w:val="77206D" w:themeColor="accent5" w:themeShade="BF"/>
        </w:rPr>
        <w:t>tg</w:t>
      </w:r>
      <w:proofErr w:type="spellEnd"/>
      <w:r w:rsidR="00BE1291" w:rsidRPr="00FE124E">
        <w:rPr>
          <w:rFonts w:ascii="Times New Roman" w:hAnsi="Times New Roman" w:cs="Times New Roman"/>
          <w:color w:val="77206D" w:themeColor="accent5" w:themeShade="BF"/>
        </w:rPr>
        <w:t>(</w:t>
      </w:r>
      <w:proofErr w:type="gramEnd"/>
      <w:r w:rsidR="00BE1291" w:rsidRPr="00FE124E">
        <w:rPr>
          <w:rFonts w:ascii="Times New Roman" w:hAnsi="Times New Roman" w:cs="Times New Roman"/>
          <w:color w:val="77206D" w:themeColor="accent5" w:themeShade="BF"/>
        </w:rPr>
        <w:t>), which is not comparable to the specifications for measuring</w:t>
      </w:r>
      <w:r w:rsidRPr="00FE124E">
        <w:rPr>
          <w:rFonts w:ascii="Times New Roman" w:hAnsi="Times New Roman" w:cs="Times New Roman"/>
          <w:color w:val="77206D" w:themeColor="accent5" w:themeShade="BF"/>
        </w:rPr>
        <w:t xml:space="preserve"> AP and APG in this paper, which uses output-based weights and TFP. </w:t>
      </w:r>
    </w:p>
    <w:p w14:paraId="7061787C" w14:textId="34962529" w:rsidR="00673F88" w:rsidRPr="00FE124E" w:rsidRDefault="00673F88" w:rsidP="00C939D1">
      <w:pPr>
        <w:pStyle w:val="ListParagraph"/>
        <w:numPr>
          <w:ilvl w:val="0"/>
          <w:numId w:val="2"/>
        </w:numPr>
        <w:spacing w:line="278" w:lineRule="auto"/>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Conclusion: recognition of </w:t>
      </w:r>
      <w:r w:rsidR="008C00E5" w:rsidRPr="00FE124E">
        <w:rPr>
          <w:rFonts w:ascii="Times New Roman" w:hAnsi="Times New Roman" w:cs="Times New Roman"/>
          <w:color w:val="77206D" w:themeColor="accent5" w:themeShade="BF"/>
        </w:rPr>
        <w:t>an alternative weight</w:t>
      </w:r>
      <w:r w:rsidRPr="00FE124E">
        <w:rPr>
          <w:rFonts w:ascii="Times New Roman" w:hAnsi="Times New Roman" w:cs="Times New Roman"/>
          <w:color w:val="77206D" w:themeColor="accent5" w:themeShade="BF"/>
        </w:rPr>
        <w:t xml:space="preserve"> </w:t>
      </w:r>
      <w:r w:rsidR="007F542F" w:rsidRPr="00FE124E">
        <w:rPr>
          <w:rFonts w:ascii="Times New Roman" w:hAnsi="Times New Roman" w:cs="Times New Roman"/>
          <w:color w:val="77206D" w:themeColor="accent5" w:themeShade="BF"/>
        </w:rPr>
        <w:t xml:space="preserve">scheme </w:t>
      </w:r>
      <w:r w:rsidRPr="00FE124E">
        <w:rPr>
          <w:rFonts w:ascii="Times New Roman" w:hAnsi="Times New Roman" w:cs="Times New Roman"/>
          <w:color w:val="77206D" w:themeColor="accent5" w:themeShade="BF"/>
        </w:rPr>
        <w:t xml:space="preserve">but incomparability </w:t>
      </w:r>
      <w:r w:rsidR="00771117" w:rsidRPr="00FE124E">
        <w:rPr>
          <w:rFonts w:ascii="Times New Roman" w:hAnsi="Times New Roman" w:cs="Times New Roman"/>
          <w:color w:val="77206D" w:themeColor="accent5" w:themeShade="BF"/>
        </w:rPr>
        <w:t xml:space="preserve">of that scheme </w:t>
      </w:r>
      <w:r w:rsidRPr="00FE124E">
        <w:rPr>
          <w:rFonts w:ascii="Times New Roman" w:hAnsi="Times New Roman" w:cs="Times New Roman"/>
          <w:color w:val="77206D" w:themeColor="accent5" w:themeShade="BF"/>
        </w:rPr>
        <w:t>to the methodology proposed in this paper.</w:t>
      </w:r>
    </w:p>
    <w:p w14:paraId="087945D2" w14:textId="3D1C6E0C" w:rsidR="008B6B33" w:rsidRPr="00FE124E" w:rsidRDefault="00673F88" w:rsidP="00C939D1">
      <w:pPr>
        <w:spacing w:after="0"/>
        <w:jc w:val="both"/>
        <w:rPr>
          <w:rFonts w:ascii="Times New Roman" w:hAnsi="Times New Roman" w:cs="Times New Roman"/>
          <w:color w:val="77206D" w:themeColor="accent5" w:themeShade="BF"/>
        </w:rPr>
      </w:pPr>
      <w:r w:rsidRPr="00FE124E">
        <w:rPr>
          <w:rFonts w:ascii="Times New Roman" w:hAnsi="Times New Roman" w:cs="Times New Roman"/>
          <w:color w:val="77206D" w:themeColor="accent5" w:themeShade="BF"/>
        </w:rPr>
        <w:t xml:space="preserve">The author considers </w:t>
      </w:r>
      <w:r w:rsidR="00F416BF" w:rsidRPr="00FE124E">
        <w:rPr>
          <w:rFonts w:ascii="Times New Roman" w:hAnsi="Times New Roman" w:cs="Times New Roman"/>
          <w:color w:val="77206D" w:themeColor="accent5" w:themeShade="BF"/>
        </w:rPr>
        <w:t xml:space="preserve">the referee's suggestion to include the reference to </w:t>
      </w:r>
      <w:sdt>
        <w:sdtPr>
          <w:rPr>
            <w:rFonts w:ascii="Times New Roman" w:hAnsi="Times New Roman" w:cs="Times New Roman"/>
            <w:color w:val="77206D" w:themeColor="accent5" w:themeShade="BF"/>
          </w:rPr>
          <w:tag w:val="MENDELEY_CITATION_v3_eyJjaXRhdGlvbklEIjoiTUVOREVMRVlfQ0lUQVRJT05fNTJkMmNiNDItYjc5OS00YjBmLWEwODctM2I1YjExOTc1OGJm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1342898371"/>
          <w:placeholder>
            <w:docPart w:val="1EF7F7F9FBF14967ADD4330622D278C2"/>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00F416BF" w:rsidRPr="00FE124E">
        <w:rPr>
          <w:rFonts w:ascii="Times New Roman" w:hAnsi="Times New Roman" w:cs="Times New Roman"/>
          <w:color w:val="77206D" w:themeColor="accent5" w:themeShade="BF"/>
        </w:rPr>
        <w:t xml:space="preserve"> relevant</w:t>
      </w:r>
      <w:r w:rsidR="00B32E10" w:rsidRPr="00FE124E">
        <w:rPr>
          <w:rFonts w:ascii="Times New Roman" w:hAnsi="Times New Roman" w:cs="Times New Roman"/>
          <w:color w:val="77206D" w:themeColor="accent5" w:themeShade="BF"/>
        </w:rPr>
        <w:t xml:space="preserve">, as </w:t>
      </w:r>
      <w:r w:rsidR="00F416BF" w:rsidRPr="00FE124E">
        <w:rPr>
          <w:rFonts w:ascii="Times New Roman" w:hAnsi="Times New Roman" w:cs="Times New Roman"/>
          <w:color w:val="77206D" w:themeColor="accent5" w:themeShade="BF"/>
        </w:rPr>
        <w:t>this paper contributes</w:t>
      </w:r>
      <w:r w:rsidR="00B32E10" w:rsidRPr="00FE124E">
        <w:rPr>
          <w:rFonts w:ascii="Times New Roman" w:hAnsi="Times New Roman" w:cs="Times New Roman"/>
          <w:color w:val="77206D" w:themeColor="accent5" w:themeShade="BF"/>
        </w:rPr>
        <w:t xml:space="preserve"> alternative methods and variables for computing</w:t>
      </w:r>
      <w:r w:rsidRPr="00FE124E">
        <w:rPr>
          <w:rFonts w:ascii="Times New Roman" w:hAnsi="Times New Roman" w:cs="Times New Roman"/>
          <w:color w:val="77206D" w:themeColor="accent5" w:themeShade="BF"/>
        </w:rPr>
        <w:t xml:space="preserve"> AP and APG</w:t>
      </w:r>
      <w:r w:rsidR="00603266" w:rsidRPr="00FE124E">
        <w:rPr>
          <w:rFonts w:ascii="Times New Roman" w:hAnsi="Times New Roman" w:cs="Times New Roman"/>
          <w:color w:val="77206D" w:themeColor="accent5" w:themeShade="BF"/>
        </w:rPr>
        <w:t xml:space="preserve">. </w:t>
      </w:r>
      <w:r w:rsidR="00B32E10" w:rsidRPr="00FE124E">
        <w:rPr>
          <w:rFonts w:ascii="Times New Roman" w:hAnsi="Times New Roman" w:cs="Times New Roman"/>
          <w:color w:val="77206D" w:themeColor="accent5" w:themeShade="BF"/>
        </w:rPr>
        <w:t xml:space="preserve">However, </w:t>
      </w:r>
      <w:sdt>
        <w:sdtPr>
          <w:rPr>
            <w:rFonts w:ascii="Times New Roman" w:hAnsi="Times New Roman" w:cs="Times New Roman"/>
            <w:color w:val="77206D" w:themeColor="accent5" w:themeShade="BF"/>
          </w:rPr>
          <w:tag w:val="MENDELEY_CITATION_v3_eyJjaXRhdGlvbklEIjoiTUVOREVMRVlfQ0lUQVRJT05fYTc3MTg3NjgtOTM1Zi00MGRjLWFlMGUtMTM0OTg4MTBjOWIy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658385958"/>
          <w:placeholder>
            <w:docPart w:val="1DB2AE90FC5B4AC3969926D4A0640AE2"/>
          </w:placeholder>
        </w:sdtPr>
        <w:sdtContent>
          <w:proofErr w:type="spellStart"/>
          <w:r w:rsidR="003C0A51" w:rsidRPr="003C0A51">
            <w:rPr>
              <w:rFonts w:ascii="Times New Roman" w:hAnsi="Times New Roman" w:cs="Times New Roman"/>
              <w:color w:val="77206D"/>
            </w:rPr>
            <w:t>Dosi</w:t>
          </w:r>
          <w:proofErr w:type="spellEnd"/>
          <w:r w:rsidR="003C0A51" w:rsidRPr="003C0A51">
            <w:rPr>
              <w:rFonts w:ascii="Times New Roman" w:hAnsi="Times New Roman" w:cs="Times New Roman"/>
              <w:color w:val="77206D"/>
            </w:rPr>
            <w:t xml:space="preserve"> et al. (2021)</w:t>
          </w:r>
        </w:sdtContent>
      </w:sdt>
      <w:r w:rsidR="00FC2BBB" w:rsidRPr="00FE124E">
        <w:rPr>
          <w:rFonts w:ascii="Times New Roman" w:hAnsi="Times New Roman" w:cs="Times New Roman"/>
          <w:color w:val="77206D" w:themeColor="accent5" w:themeShade="BF"/>
        </w:rPr>
        <w:t xml:space="preserve"> cannot be applied to compute AP and APG </w:t>
      </w:r>
      <w:r w:rsidR="00F57051" w:rsidRPr="00FE124E">
        <w:rPr>
          <w:rFonts w:ascii="Times New Roman" w:hAnsi="Times New Roman" w:cs="Times New Roman"/>
          <w:color w:val="77206D" w:themeColor="accent5" w:themeShade="BF"/>
        </w:rPr>
        <w:t>using</w:t>
      </w:r>
      <w:r w:rsidR="007715BA" w:rsidRPr="00FE124E">
        <w:rPr>
          <w:rFonts w:ascii="Times New Roman" w:hAnsi="Times New Roman" w:cs="Times New Roman"/>
          <w:color w:val="77206D" w:themeColor="accent5" w:themeShade="BF"/>
        </w:rPr>
        <w:t xml:space="preserve"> </w:t>
      </w:r>
      <w:r w:rsidR="00F57051" w:rsidRPr="00FE124E">
        <w:rPr>
          <w:rFonts w:ascii="Times New Roman" w:hAnsi="Times New Roman" w:cs="Times New Roman"/>
          <w:color w:val="77206D" w:themeColor="accent5" w:themeShade="BF"/>
        </w:rPr>
        <w:t xml:space="preserve">weights with </w:t>
      </w:r>
      <w:r w:rsidR="00750E86" w:rsidRPr="00FE124E">
        <w:rPr>
          <w:rFonts w:ascii="Times New Roman" w:hAnsi="Times New Roman" w:cs="Times New Roman"/>
          <w:color w:val="77206D" w:themeColor="accent5" w:themeShade="BF"/>
        </w:rPr>
        <w:t>out</w:t>
      </w:r>
      <w:r w:rsidR="00F57051" w:rsidRPr="00FE124E">
        <w:rPr>
          <w:rFonts w:ascii="Times New Roman" w:hAnsi="Times New Roman" w:cs="Times New Roman"/>
          <w:color w:val="77206D" w:themeColor="accent5" w:themeShade="BF"/>
        </w:rPr>
        <w:t xml:space="preserve">put orientation and </w:t>
      </w:r>
      <w:r w:rsidR="00750E86" w:rsidRPr="00FE124E">
        <w:rPr>
          <w:rFonts w:ascii="Times New Roman" w:hAnsi="Times New Roman" w:cs="Times New Roman"/>
          <w:color w:val="77206D" w:themeColor="accent5" w:themeShade="BF"/>
        </w:rPr>
        <w:t>TFP</w:t>
      </w:r>
      <w:r w:rsidR="00F416BF" w:rsidRPr="00FE124E">
        <w:rPr>
          <w:rFonts w:ascii="Times New Roman" w:hAnsi="Times New Roman" w:cs="Times New Roman"/>
          <w:color w:val="77206D" w:themeColor="accent5" w:themeShade="BF"/>
        </w:rPr>
        <w:t>,</w:t>
      </w:r>
      <w:r w:rsidR="00750E86" w:rsidRPr="00FE124E">
        <w:rPr>
          <w:rFonts w:ascii="Times New Roman" w:hAnsi="Times New Roman" w:cs="Times New Roman"/>
          <w:color w:val="77206D" w:themeColor="accent5" w:themeShade="BF"/>
        </w:rPr>
        <w:t xml:space="preserve"> as this paper proposes.</w:t>
      </w:r>
      <w:r w:rsidR="00873B14" w:rsidRPr="00FE124E">
        <w:rPr>
          <w:rFonts w:ascii="Times New Roman" w:hAnsi="Times New Roman" w:cs="Times New Roman"/>
          <w:color w:val="77206D" w:themeColor="accent5" w:themeShade="BF"/>
        </w:rPr>
        <w:t xml:space="preserve"> As a result, the methodology of this paper and the </w:t>
      </w:r>
      <w:r w:rsidR="006B0ABB" w:rsidRPr="00FE124E">
        <w:rPr>
          <w:rFonts w:ascii="Times New Roman" w:hAnsi="Times New Roman" w:cs="Times New Roman"/>
          <w:color w:val="77206D" w:themeColor="accent5" w:themeShade="BF"/>
        </w:rPr>
        <w:t xml:space="preserve">one proposed by </w:t>
      </w:r>
      <w:sdt>
        <w:sdtPr>
          <w:rPr>
            <w:rFonts w:ascii="Times New Roman" w:hAnsi="Times New Roman" w:cs="Times New Roman"/>
            <w:color w:val="77206D" w:themeColor="accent5" w:themeShade="BF"/>
          </w:rPr>
          <w:tag w:val="MENDELEY_CITATION_v3_eyJjaXRhdGlvbklEIjoiTUVOREVMRVlfQ0lUQVRJT05fMjkzZThmZTctMmE0MS00MGYzLWI1YzEtMzdjOWJjNDc2YTc4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
          <w:id w:val="449441533"/>
          <w:placeholder>
            <w:docPart w:val="316C1098014347A5A7F7E45094F7140F"/>
          </w:placeholder>
        </w:sdtPr>
        <w:sdtContent>
          <w:r w:rsidR="003C0A51" w:rsidRPr="003C0A51">
            <w:rPr>
              <w:rFonts w:ascii="Times New Roman" w:hAnsi="Times New Roman" w:cs="Times New Roman"/>
              <w:color w:val="77206D"/>
            </w:rPr>
            <w:t>Dosi et al. (2021)</w:t>
          </w:r>
        </w:sdtContent>
      </w:sdt>
      <w:r w:rsidR="006B0ABB" w:rsidRPr="00FE124E">
        <w:rPr>
          <w:rFonts w:ascii="Times New Roman" w:hAnsi="Times New Roman" w:cs="Times New Roman"/>
          <w:color w:val="77206D" w:themeColor="accent5" w:themeShade="BF"/>
        </w:rPr>
        <w:t xml:space="preserve"> are not comparable. </w:t>
      </w:r>
    </w:p>
    <w:p w14:paraId="732793B7" w14:textId="77777777" w:rsidR="0096696D" w:rsidRPr="00AF7AE3" w:rsidRDefault="002B4048" w:rsidP="00C939D1">
      <w:pPr>
        <w:jc w:val="both"/>
        <w:rPr>
          <w:rFonts w:ascii="Times New Roman" w:hAnsi="Times New Roman" w:cs="Times New Roman"/>
        </w:rPr>
      </w:pPr>
      <w:r w:rsidRPr="00AF7AE3">
        <w:rPr>
          <w:rFonts w:ascii="Times New Roman" w:hAnsi="Times New Roman" w:cs="Times New Roman"/>
        </w:rPr>
        <w:br/>
        <w:t xml:space="preserve">- Figures: Ensure </w:t>
      </w:r>
      <w:proofErr w:type="spellStart"/>
      <w:r w:rsidRPr="00AF7AE3">
        <w:rPr>
          <w:rFonts w:ascii="Times New Roman" w:hAnsi="Times New Roman" w:cs="Times New Roman"/>
        </w:rPr>
        <w:t>color</w:t>
      </w:r>
      <w:proofErr w:type="spellEnd"/>
      <w:r w:rsidRPr="00AF7AE3">
        <w:rPr>
          <w:rFonts w:ascii="Times New Roman" w:hAnsi="Times New Roman" w:cs="Times New Roman"/>
        </w:rPr>
        <w:t>-dependent elements (e.g., red for negative growth in Figures) are distinguishable in grayscale.</w:t>
      </w:r>
    </w:p>
    <w:p w14:paraId="2EEBEF04" w14:textId="42237159" w:rsidR="00715568" w:rsidRPr="00AF7AE3" w:rsidRDefault="0096696D" w:rsidP="00C939D1">
      <w:pPr>
        <w:jc w:val="both"/>
        <w:rPr>
          <w:rFonts w:ascii="Times New Roman" w:hAnsi="Times New Roman" w:cs="Times New Roman"/>
        </w:rPr>
      </w:pPr>
      <w:r w:rsidRPr="00FE124E">
        <w:rPr>
          <w:rFonts w:ascii="Times New Roman" w:hAnsi="Times New Roman" w:cs="Times New Roman"/>
          <w:color w:val="77206D" w:themeColor="accent5" w:themeShade="BF"/>
        </w:rPr>
        <w:t xml:space="preserve">The author printed </w:t>
      </w:r>
      <w:r w:rsidR="00B26C91" w:rsidRPr="00FE124E">
        <w:rPr>
          <w:rFonts w:ascii="Times New Roman" w:hAnsi="Times New Roman" w:cs="Times New Roman"/>
          <w:color w:val="77206D" w:themeColor="accent5" w:themeShade="BF"/>
        </w:rPr>
        <w:t>the document</w:t>
      </w:r>
      <w:r w:rsidR="00EA096E" w:rsidRPr="00FE124E">
        <w:rPr>
          <w:rFonts w:ascii="Times New Roman" w:hAnsi="Times New Roman" w:cs="Times New Roman"/>
          <w:color w:val="77206D" w:themeColor="accent5" w:themeShade="BF"/>
        </w:rPr>
        <w:t>, and the red for negative growth is distinguishable in grayscale.</w:t>
      </w:r>
      <w:r w:rsidR="002B4048" w:rsidRPr="00FE124E">
        <w:rPr>
          <w:rFonts w:ascii="Times New Roman" w:hAnsi="Times New Roman" w:cs="Times New Roman"/>
          <w:color w:val="77206D" w:themeColor="accent5" w:themeShade="BF"/>
        </w:rPr>
        <w:br/>
      </w:r>
      <w:r w:rsidR="002B4048" w:rsidRPr="00AF7AE3">
        <w:rPr>
          <w:rFonts w:ascii="Times New Roman" w:hAnsi="Times New Roman" w:cs="Times New Roman"/>
        </w:rPr>
        <w:br/>
        <w:t>There is additional documentation related to this decision letter. To access the file(s), please click the link below. You may also login to the system and click the 'View Attachments' link in the Action column..</w:t>
      </w:r>
      <w:r w:rsidR="002B4048" w:rsidRPr="00AF7AE3">
        <w:rPr>
          <w:rFonts w:ascii="Times New Roman" w:hAnsi="Times New Roman" w:cs="Times New Roman"/>
        </w:rPr>
        <w:br/>
      </w:r>
      <w:hyperlink r:id="rId8" w:tgtFrame="_blank" w:tooltip="Original URL: https://www.editorialmanager.com/jibe/l.asp?i=89659&amp;l=XKTUCJR6. Click or tap if you trust this link." w:history="1">
        <w:r w:rsidR="002B4048" w:rsidRPr="00AF7AE3">
          <w:rPr>
            <w:rStyle w:val="Hyperlink"/>
            <w:rFonts w:ascii="Times New Roman" w:hAnsi="Times New Roman" w:cs="Times New Roman"/>
          </w:rPr>
          <w:t>https://eur03.safelinks.protection.outlook.com/?url=https%3A%2F%2Fwww.editorialmanager.com%2Fjibe%2Fl.asp%3Fi%3D89659%26l%3DXKTUCJR6&amp;data=05%7C02%7Calejandro.ramirez-guerra%40newcastle.ac.uk%7C629adf788a414890d51c08dd83f064af%7C9c5012c9b61644c2a91766814fbe3e87%7C1%7C0%7C638811790967961512%7CUnknown%7CTWFpbGZsb3d8eyJFbXB0eU1hcGkiOnRydWUsIlYiOiIwLjAuMDAwMCIsIlAiOiJXaW4zMiIsIkFOIjoiTWFpbCIsIldUIjoyfQ%3D%3D%7C0%7C%7C%7C&amp;sdata=Mut15Bk9ZVK5Kdw6Dd3cNSKUyvLBinQYxJcGJHtYwbI%3D&amp;reserved=0</w:t>
        </w:r>
      </w:hyperlink>
      <w:r w:rsidR="002B4048" w:rsidRPr="00AF7AE3">
        <w:rPr>
          <w:rFonts w:ascii="Times New Roman" w:hAnsi="Times New Roman" w:cs="Times New Roman"/>
        </w:rPr>
        <w:br/>
      </w:r>
    </w:p>
    <w:p w14:paraId="18624C19" w14:textId="5F36EB06" w:rsidR="004C04CA" w:rsidRPr="00306790" w:rsidRDefault="001660D0" w:rsidP="00C939D1">
      <w:pPr>
        <w:jc w:val="both"/>
        <w:rPr>
          <w:rFonts w:ascii="Times New Roman" w:hAnsi="Times New Roman" w:cs="Times New Roman"/>
          <w:color w:val="77206D" w:themeColor="accent5" w:themeShade="BF"/>
          <w:lang w:val="es-MX"/>
        </w:rPr>
      </w:pPr>
      <w:proofErr w:type="spellStart"/>
      <w:r w:rsidRPr="00306790">
        <w:rPr>
          <w:rFonts w:ascii="Times New Roman" w:hAnsi="Times New Roman" w:cs="Times New Roman"/>
          <w:color w:val="77206D" w:themeColor="accent5" w:themeShade="BF"/>
          <w:lang w:val="es-MX"/>
        </w:rPr>
        <w:t>References</w:t>
      </w:r>
      <w:proofErr w:type="spellEnd"/>
    </w:p>
    <w:sdt>
      <w:sdtPr>
        <w:rPr>
          <w:rFonts w:ascii="Times New Roman" w:hAnsi="Times New Roman" w:cs="Times New Roman"/>
          <w:color w:val="000000"/>
        </w:rPr>
        <w:tag w:val="MENDELEY_BIBLIOGRAPHY"/>
        <w:id w:val="1682003851"/>
        <w:placeholder>
          <w:docPart w:val="DefaultPlaceholder_-1854013440"/>
        </w:placeholder>
      </w:sdtPr>
      <w:sdtContent>
        <w:p w14:paraId="48F77320" w14:textId="77777777" w:rsidR="0061746C" w:rsidRPr="0061746C" w:rsidRDefault="0061746C">
          <w:pPr>
            <w:autoSpaceDE w:val="0"/>
            <w:autoSpaceDN w:val="0"/>
            <w:ind w:hanging="480"/>
            <w:divId w:val="327904977"/>
            <w:rPr>
              <w:rFonts w:ascii="Times New Roman" w:eastAsia="Times New Roman" w:hAnsi="Times New Roman" w:cs="Times New Roman"/>
              <w:color w:val="000000"/>
              <w:szCs w:val="24"/>
            </w:rPr>
          </w:pPr>
          <w:proofErr w:type="spellStart"/>
          <w:r w:rsidRPr="0061746C">
            <w:rPr>
              <w:rFonts w:ascii="Times New Roman" w:eastAsia="Times New Roman" w:hAnsi="Times New Roman" w:cs="Times New Roman"/>
              <w:color w:val="000000"/>
              <w:lang w:val="es-MX"/>
            </w:rPr>
            <w:t>Dias</w:t>
          </w:r>
          <w:proofErr w:type="spellEnd"/>
          <w:r w:rsidRPr="0061746C">
            <w:rPr>
              <w:rFonts w:ascii="Times New Roman" w:eastAsia="Times New Roman" w:hAnsi="Times New Roman" w:cs="Times New Roman"/>
              <w:color w:val="000000"/>
              <w:lang w:val="es-MX"/>
            </w:rPr>
            <w:t xml:space="preserve">, D. A., &amp; Robalo, C. (2021). </w:t>
          </w:r>
          <w:r w:rsidRPr="0061746C">
            <w:rPr>
              <w:rFonts w:ascii="Times New Roman" w:eastAsia="Times New Roman" w:hAnsi="Times New Roman" w:cs="Times New Roman"/>
              <w:color w:val="000000"/>
            </w:rPr>
            <w:t xml:space="preserve">From micro to macro: a note on the analysis of aggregate productivity dynamics using firm-level data. </w:t>
          </w:r>
          <w:r w:rsidRPr="0061746C">
            <w:rPr>
              <w:rFonts w:ascii="Times New Roman" w:eastAsia="Times New Roman" w:hAnsi="Times New Roman" w:cs="Times New Roman"/>
              <w:i/>
              <w:iCs/>
              <w:color w:val="000000"/>
            </w:rPr>
            <w:t>Journal of Productivity Analysis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56</w:t>
          </w:r>
          <w:r w:rsidRPr="0061746C">
            <w:rPr>
              <w:rFonts w:ascii="Times New Roman" w:eastAsia="Times New Roman" w:hAnsi="Times New Roman" w:cs="Times New Roman"/>
              <w:color w:val="000000"/>
            </w:rPr>
            <w:t>(1), 1–14.</w:t>
          </w:r>
        </w:p>
        <w:p w14:paraId="58086EDC" w14:textId="77777777" w:rsidR="0061746C" w:rsidRPr="0061746C" w:rsidRDefault="0061746C">
          <w:pPr>
            <w:autoSpaceDE w:val="0"/>
            <w:autoSpaceDN w:val="0"/>
            <w:ind w:hanging="480"/>
            <w:divId w:val="1274484556"/>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Dosi, G., Grazzi, M., Li, L., Marengo, L., &amp; </w:t>
          </w:r>
          <w:proofErr w:type="spellStart"/>
          <w:r w:rsidRPr="0061746C">
            <w:rPr>
              <w:rFonts w:ascii="Times New Roman" w:eastAsia="Times New Roman" w:hAnsi="Times New Roman" w:cs="Times New Roman"/>
              <w:color w:val="000000"/>
            </w:rPr>
            <w:t>Settepanella</w:t>
          </w:r>
          <w:proofErr w:type="spellEnd"/>
          <w:r w:rsidRPr="0061746C">
            <w:rPr>
              <w:rFonts w:ascii="Times New Roman" w:eastAsia="Times New Roman" w:hAnsi="Times New Roman" w:cs="Times New Roman"/>
              <w:color w:val="000000"/>
            </w:rPr>
            <w:t xml:space="preserve">, S. (2021). Productivity Decomposition in Heterogeneous Industries. </w:t>
          </w:r>
          <w:r w:rsidRPr="0061746C">
            <w:rPr>
              <w:rFonts w:ascii="Times New Roman" w:eastAsia="Times New Roman" w:hAnsi="Times New Roman" w:cs="Times New Roman"/>
              <w:i/>
              <w:iCs/>
              <w:color w:val="000000"/>
            </w:rPr>
            <w:t>Journal of Industrial Economics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69</w:t>
          </w:r>
          <w:r w:rsidRPr="0061746C">
            <w:rPr>
              <w:rFonts w:ascii="Times New Roman" w:eastAsia="Times New Roman" w:hAnsi="Times New Roman" w:cs="Times New Roman"/>
              <w:color w:val="000000"/>
            </w:rPr>
            <w:t>(3), 615–652. https://doi.org/10.1111/joie.12252</w:t>
          </w:r>
        </w:p>
        <w:p w14:paraId="5691DEC3" w14:textId="77777777" w:rsidR="0061746C" w:rsidRPr="0061746C" w:rsidRDefault="0061746C">
          <w:pPr>
            <w:autoSpaceDE w:val="0"/>
            <w:autoSpaceDN w:val="0"/>
            <w:ind w:hanging="480"/>
            <w:divId w:val="177014051"/>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Foster, L., Haltiwanger, J. C., &amp; Krizan, C. J. (2001). Aggregate productivity growth: Lessons from microeconomic evidence. In </w:t>
          </w:r>
          <w:r w:rsidRPr="0061746C">
            <w:rPr>
              <w:rFonts w:ascii="Times New Roman" w:eastAsia="Times New Roman" w:hAnsi="Times New Roman" w:cs="Times New Roman"/>
              <w:i/>
              <w:iCs/>
              <w:color w:val="000000"/>
            </w:rPr>
            <w:t>New developments in productivity analysis</w:t>
          </w:r>
          <w:r w:rsidRPr="0061746C">
            <w:rPr>
              <w:rFonts w:ascii="Times New Roman" w:eastAsia="Times New Roman" w:hAnsi="Times New Roman" w:cs="Times New Roman"/>
              <w:color w:val="000000"/>
            </w:rPr>
            <w:t xml:space="preserve"> (pp. 303–372). University of Chicago Press.</w:t>
          </w:r>
        </w:p>
        <w:p w14:paraId="351BCDCF" w14:textId="77777777" w:rsidR="0061746C" w:rsidRPr="0061746C" w:rsidRDefault="0061746C">
          <w:pPr>
            <w:autoSpaceDE w:val="0"/>
            <w:autoSpaceDN w:val="0"/>
            <w:ind w:hanging="480"/>
            <w:divId w:val="988707140"/>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Foster, L., Haltiwanger, J., &amp; Syverson, C. (2008). Reallocation, firm turnover, and efficiency: Selection on productivity or profitability. </w:t>
          </w:r>
          <w:r w:rsidRPr="0061746C">
            <w:rPr>
              <w:rFonts w:ascii="Times New Roman" w:eastAsia="Times New Roman" w:hAnsi="Times New Roman" w:cs="Times New Roman"/>
              <w:i/>
              <w:iCs/>
              <w:color w:val="000000"/>
            </w:rPr>
            <w:t>American Economic Review</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98</w:t>
          </w:r>
          <w:r w:rsidRPr="0061746C">
            <w:rPr>
              <w:rFonts w:ascii="Times New Roman" w:eastAsia="Times New Roman" w:hAnsi="Times New Roman" w:cs="Times New Roman"/>
              <w:color w:val="000000"/>
            </w:rPr>
            <w:t>(1), 394–425.</w:t>
          </w:r>
        </w:p>
        <w:p w14:paraId="06B3586B" w14:textId="77777777" w:rsidR="0061746C" w:rsidRPr="0061746C" w:rsidRDefault="0061746C">
          <w:pPr>
            <w:autoSpaceDE w:val="0"/>
            <w:autoSpaceDN w:val="0"/>
            <w:ind w:hanging="480"/>
            <w:divId w:val="1070538805"/>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Haltiwanger, J. (1997). </w:t>
          </w:r>
          <w:r w:rsidRPr="0061746C">
            <w:rPr>
              <w:rFonts w:ascii="Times New Roman" w:eastAsia="Times New Roman" w:hAnsi="Times New Roman" w:cs="Times New Roman"/>
              <w:i/>
              <w:iCs/>
              <w:color w:val="000000"/>
            </w:rPr>
            <w:t>Measuring and Analysing Aggregate Fluctuations: The Importance of Building from Microeconomic Evidence”, Federal Reserve Bank of St. Louis Economic Review, January/February</w:t>
          </w:r>
          <w:r w:rsidRPr="0061746C">
            <w:rPr>
              <w:rFonts w:ascii="Times New Roman" w:eastAsia="Times New Roman" w:hAnsi="Times New Roman" w:cs="Times New Roman"/>
              <w:color w:val="000000"/>
            </w:rPr>
            <w:t>. https://files.stlouisfed.org/files/htdocs/publications/review/97/05/9705jh.pdf</w:t>
          </w:r>
        </w:p>
        <w:p w14:paraId="2953A8A9" w14:textId="77777777" w:rsidR="0061746C" w:rsidRPr="0061746C" w:rsidRDefault="0061746C">
          <w:pPr>
            <w:autoSpaceDE w:val="0"/>
            <w:autoSpaceDN w:val="0"/>
            <w:ind w:hanging="480"/>
            <w:divId w:val="170224468"/>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Harris, R. (2021). The importance of spatial differences in total factor productivity: New Zealand, 2001–16. </w:t>
          </w:r>
          <w:r w:rsidRPr="0061746C">
            <w:rPr>
              <w:rFonts w:ascii="Times New Roman" w:eastAsia="Times New Roman" w:hAnsi="Times New Roman" w:cs="Times New Roman"/>
              <w:i/>
              <w:iCs/>
              <w:color w:val="000000"/>
            </w:rPr>
            <w:t>Regional Studies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55</w:t>
          </w:r>
          <w:r w:rsidRPr="0061746C">
            <w:rPr>
              <w:rFonts w:ascii="Times New Roman" w:eastAsia="Times New Roman" w:hAnsi="Times New Roman" w:cs="Times New Roman"/>
              <w:color w:val="000000"/>
            </w:rPr>
            <w:t>(7), 1209–1227.</w:t>
          </w:r>
        </w:p>
        <w:p w14:paraId="097A202F" w14:textId="77777777" w:rsidR="0061746C" w:rsidRPr="0061746C" w:rsidRDefault="0061746C">
          <w:pPr>
            <w:autoSpaceDE w:val="0"/>
            <w:autoSpaceDN w:val="0"/>
            <w:ind w:hanging="480"/>
            <w:divId w:val="1319846892"/>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Harris, R., &amp; Moffat, J. (2019). The decline of British manufacturing, 1973–2012: the role of total factor productivity. </w:t>
          </w:r>
          <w:r w:rsidRPr="0061746C">
            <w:rPr>
              <w:rFonts w:ascii="Times New Roman" w:eastAsia="Times New Roman" w:hAnsi="Times New Roman" w:cs="Times New Roman"/>
              <w:i/>
              <w:iCs/>
              <w:color w:val="000000"/>
            </w:rPr>
            <w:t>National Institute Economic Review</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247</w:t>
          </w:r>
          <w:r w:rsidRPr="0061746C">
            <w:rPr>
              <w:rFonts w:ascii="Times New Roman" w:eastAsia="Times New Roman" w:hAnsi="Times New Roman" w:cs="Times New Roman"/>
              <w:color w:val="000000"/>
            </w:rPr>
            <w:t>, R19–R31.</w:t>
          </w:r>
        </w:p>
        <w:p w14:paraId="2D3154D0" w14:textId="77777777" w:rsidR="0061746C" w:rsidRPr="0061746C" w:rsidRDefault="0061746C">
          <w:pPr>
            <w:autoSpaceDE w:val="0"/>
            <w:autoSpaceDN w:val="0"/>
            <w:ind w:hanging="480"/>
            <w:divId w:val="742993661"/>
            <w:rPr>
              <w:rFonts w:ascii="Times New Roman" w:eastAsia="Times New Roman" w:hAnsi="Times New Roman" w:cs="Times New Roman"/>
              <w:color w:val="000000"/>
            </w:rPr>
          </w:pPr>
          <w:proofErr w:type="spellStart"/>
          <w:r w:rsidRPr="0061746C">
            <w:rPr>
              <w:rFonts w:ascii="Times New Roman" w:eastAsia="Times New Roman" w:hAnsi="Times New Roman" w:cs="Times New Roman"/>
              <w:color w:val="000000"/>
            </w:rPr>
            <w:t>Hopenhayn</w:t>
          </w:r>
          <w:proofErr w:type="spellEnd"/>
          <w:r w:rsidRPr="0061746C">
            <w:rPr>
              <w:rFonts w:ascii="Times New Roman" w:eastAsia="Times New Roman" w:hAnsi="Times New Roman" w:cs="Times New Roman"/>
              <w:color w:val="000000"/>
            </w:rPr>
            <w:t xml:space="preserve">, H. A. (1992). Entry, exit, and firm dynamics in long run equilibrium. </w:t>
          </w:r>
          <w:proofErr w:type="spellStart"/>
          <w:r w:rsidRPr="0061746C">
            <w:rPr>
              <w:rFonts w:ascii="Times New Roman" w:eastAsia="Times New Roman" w:hAnsi="Times New Roman" w:cs="Times New Roman"/>
              <w:i/>
              <w:iCs/>
              <w:color w:val="000000"/>
            </w:rPr>
            <w:t>Econometrica</w:t>
          </w:r>
          <w:proofErr w:type="spellEnd"/>
          <w:r w:rsidRPr="0061746C">
            <w:rPr>
              <w:rFonts w:ascii="Times New Roman" w:eastAsia="Times New Roman" w:hAnsi="Times New Roman" w:cs="Times New Roman"/>
              <w:i/>
              <w:iCs/>
              <w:color w:val="000000"/>
            </w:rPr>
            <w:t>: Journal of the Econometric Society</w:t>
          </w:r>
          <w:r w:rsidRPr="0061746C">
            <w:rPr>
              <w:rFonts w:ascii="Times New Roman" w:eastAsia="Times New Roman" w:hAnsi="Times New Roman" w:cs="Times New Roman"/>
              <w:color w:val="000000"/>
            </w:rPr>
            <w:t>, 1127–1150.</w:t>
          </w:r>
        </w:p>
        <w:p w14:paraId="588F69B5" w14:textId="77777777" w:rsidR="0061746C" w:rsidRPr="0061746C" w:rsidRDefault="0061746C">
          <w:pPr>
            <w:autoSpaceDE w:val="0"/>
            <w:autoSpaceDN w:val="0"/>
            <w:ind w:hanging="480"/>
            <w:divId w:val="1576476143"/>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Hsieh, C.-T., &amp; Klenow, P. J. (2009). Misallocation and manufacturing TFP in China and India. </w:t>
          </w:r>
          <w:r w:rsidRPr="0061746C">
            <w:rPr>
              <w:rFonts w:ascii="Times New Roman" w:eastAsia="Times New Roman" w:hAnsi="Times New Roman" w:cs="Times New Roman"/>
              <w:i/>
              <w:iCs/>
              <w:color w:val="000000"/>
            </w:rPr>
            <w:t>The Quarterly Journal of Economics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124</w:t>
          </w:r>
          <w:r w:rsidRPr="0061746C">
            <w:rPr>
              <w:rFonts w:ascii="Times New Roman" w:eastAsia="Times New Roman" w:hAnsi="Times New Roman" w:cs="Times New Roman"/>
              <w:color w:val="000000"/>
            </w:rPr>
            <w:t>(4), 1403–1448.</w:t>
          </w:r>
        </w:p>
        <w:p w14:paraId="10D71CCC" w14:textId="77777777" w:rsidR="0061746C" w:rsidRPr="0061746C" w:rsidRDefault="0061746C">
          <w:pPr>
            <w:autoSpaceDE w:val="0"/>
            <w:autoSpaceDN w:val="0"/>
            <w:ind w:hanging="480"/>
            <w:divId w:val="1822967043"/>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Jovanovic, B. (1982). Selection and the Evolution of Industry. </w:t>
          </w:r>
          <w:proofErr w:type="spellStart"/>
          <w:r w:rsidRPr="0061746C">
            <w:rPr>
              <w:rFonts w:ascii="Times New Roman" w:eastAsia="Times New Roman" w:hAnsi="Times New Roman" w:cs="Times New Roman"/>
              <w:i/>
              <w:iCs/>
              <w:color w:val="000000"/>
            </w:rPr>
            <w:t>Econometrica</w:t>
          </w:r>
          <w:proofErr w:type="spellEnd"/>
          <w:r w:rsidRPr="0061746C">
            <w:rPr>
              <w:rFonts w:ascii="Times New Roman" w:eastAsia="Times New Roman" w:hAnsi="Times New Roman" w:cs="Times New Roman"/>
              <w:i/>
              <w:iCs/>
              <w:color w:val="000000"/>
            </w:rPr>
            <w:t>: Journal of the Econometric Society</w:t>
          </w:r>
          <w:r w:rsidRPr="0061746C">
            <w:rPr>
              <w:rFonts w:ascii="Times New Roman" w:eastAsia="Times New Roman" w:hAnsi="Times New Roman" w:cs="Times New Roman"/>
              <w:color w:val="000000"/>
            </w:rPr>
            <w:t>, 649–670.</w:t>
          </w:r>
        </w:p>
        <w:p w14:paraId="277881FF" w14:textId="77777777" w:rsidR="0061746C" w:rsidRPr="0061746C" w:rsidRDefault="0061746C">
          <w:pPr>
            <w:autoSpaceDE w:val="0"/>
            <w:autoSpaceDN w:val="0"/>
            <w:ind w:hanging="480"/>
            <w:divId w:val="1583686581"/>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Kauma, B., &amp; Mion, G. (2026). Regional Productivity Differences in the UK and France: From the Micro to the Macro. </w:t>
          </w:r>
          <w:r w:rsidRPr="0061746C">
            <w:rPr>
              <w:rFonts w:ascii="Times New Roman" w:eastAsia="Times New Roman" w:hAnsi="Times New Roman" w:cs="Times New Roman"/>
              <w:i/>
              <w:iCs/>
              <w:color w:val="000000"/>
            </w:rPr>
            <w:t>Oxford Bulletin of Economics and Statistics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88</w:t>
          </w:r>
          <w:r w:rsidRPr="0061746C">
            <w:rPr>
              <w:rFonts w:ascii="Times New Roman" w:eastAsia="Times New Roman" w:hAnsi="Times New Roman" w:cs="Times New Roman"/>
              <w:color w:val="000000"/>
            </w:rPr>
            <w:t>(2), 275–290. https://doi.org/10.1111/obes.12689</w:t>
          </w:r>
        </w:p>
        <w:p w14:paraId="551FDCD7" w14:textId="77777777" w:rsidR="0061746C" w:rsidRPr="0061746C" w:rsidRDefault="0061746C">
          <w:pPr>
            <w:autoSpaceDE w:val="0"/>
            <w:autoSpaceDN w:val="0"/>
            <w:ind w:hanging="480"/>
            <w:divId w:val="1792286151"/>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Klette, T. J., &amp; </w:t>
          </w:r>
          <w:proofErr w:type="spellStart"/>
          <w:r w:rsidRPr="0061746C">
            <w:rPr>
              <w:rFonts w:ascii="Times New Roman" w:eastAsia="Times New Roman" w:hAnsi="Times New Roman" w:cs="Times New Roman"/>
              <w:color w:val="000000"/>
            </w:rPr>
            <w:t>Griliches</w:t>
          </w:r>
          <w:proofErr w:type="spellEnd"/>
          <w:r w:rsidRPr="0061746C">
            <w:rPr>
              <w:rFonts w:ascii="Times New Roman" w:eastAsia="Times New Roman" w:hAnsi="Times New Roman" w:cs="Times New Roman"/>
              <w:color w:val="000000"/>
            </w:rPr>
            <w:t xml:space="preserve">, Z. (1996). The inconsistency of common scale estimators when output prices are unobserved and endogenous. </w:t>
          </w:r>
          <w:r w:rsidRPr="0061746C">
            <w:rPr>
              <w:rFonts w:ascii="Times New Roman" w:eastAsia="Times New Roman" w:hAnsi="Times New Roman" w:cs="Times New Roman"/>
              <w:i/>
              <w:iCs/>
              <w:color w:val="000000"/>
            </w:rPr>
            <w:t>Journal of Applied Econometrics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11</w:t>
          </w:r>
          <w:r w:rsidRPr="0061746C">
            <w:rPr>
              <w:rFonts w:ascii="Times New Roman" w:eastAsia="Times New Roman" w:hAnsi="Times New Roman" w:cs="Times New Roman"/>
              <w:color w:val="000000"/>
            </w:rPr>
            <w:t>(4), 343–361.</w:t>
          </w:r>
        </w:p>
        <w:p w14:paraId="42680FB4" w14:textId="77777777" w:rsidR="0061746C" w:rsidRPr="0061746C" w:rsidRDefault="0061746C">
          <w:pPr>
            <w:autoSpaceDE w:val="0"/>
            <w:autoSpaceDN w:val="0"/>
            <w:ind w:hanging="480"/>
            <w:divId w:val="67306667"/>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Kydland, F. E., &amp; Prescott, E. C. (1982). Time to build and aggregate fluctuations. </w:t>
          </w:r>
          <w:proofErr w:type="spellStart"/>
          <w:r w:rsidRPr="0061746C">
            <w:rPr>
              <w:rFonts w:ascii="Times New Roman" w:eastAsia="Times New Roman" w:hAnsi="Times New Roman" w:cs="Times New Roman"/>
              <w:i/>
              <w:iCs/>
              <w:color w:val="000000"/>
            </w:rPr>
            <w:t>Econometrica</w:t>
          </w:r>
          <w:proofErr w:type="spellEnd"/>
          <w:r w:rsidRPr="0061746C">
            <w:rPr>
              <w:rFonts w:ascii="Times New Roman" w:eastAsia="Times New Roman" w:hAnsi="Times New Roman" w:cs="Times New Roman"/>
              <w:i/>
              <w:iCs/>
              <w:color w:val="000000"/>
            </w:rPr>
            <w:t>: Journal of the Econometric Society</w:t>
          </w:r>
          <w:r w:rsidRPr="0061746C">
            <w:rPr>
              <w:rFonts w:ascii="Times New Roman" w:eastAsia="Times New Roman" w:hAnsi="Times New Roman" w:cs="Times New Roman"/>
              <w:color w:val="000000"/>
            </w:rPr>
            <w:t>, 1345–1370.</w:t>
          </w:r>
        </w:p>
        <w:p w14:paraId="2D2F3FF0" w14:textId="77777777" w:rsidR="0061746C" w:rsidRPr="0061746C" w:rsidRDefault="0061746C">
          <w:pPr>
            <w:autoSpaceDE w:val="0"/>
            <w:autoSpaceDN w:val="0"/>
            <w:ind w:hanging="480"/>
            <w:divId w:val="813722403"/>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Levy Algazi, S. (2018). </w:t>
          </w:r>
          <w:r w:rsidRPr="0061746C">
            <w:rPr>
              <w:rFonts w:ascii="Times New Roman" w:eastAsia="Times New Roman" w:hAnsi="Times New Roman" w:cs="Times New Roman"/>
              <w:i/>
              <w:iCs/>
              <w:color w:val="000000"/>
            </w:rPr>
            <w:t>Under-rewarded efforts: The elusive quest for prosperity in Mexico</w:t>
          </w:r>
          <w:r w:rsidRPr="0061746C">
            <w:rPr>
              <w:rFonts w:ascii="Times New Roman" w:eastAsia="Times New Roman" w:hAnsi="Times New Roman" w:cs="Times New Roman"/>
              <w:color w:val="000000"/>
            </w:rPr>
            <w:t>. Inter-American Development Bank. https://doi.org/10.18235/0001189</w:t>
          </w:r>
        </w:p>
        <w:p w14:paraId="08B4A1F9" w14:textId="77777777" w:rsidR="0061746C" w:rsidRPr="0061746C" w:rsidRDefault="0061746C">
          <w:pPr>
            <w:autoSpaceDE w:val="0"/>
            <w:autoSpaceDN w:val="0"/>
            <w:ind w:hanging="480"/>
            <w:divId w:val="382097496"/>
            <w:rPr>
              <w:rFonts w:ascii="Times New Roman" w:eastAsia="Times New Roman" w:hAnsi="Times New Roman" w:cs="Times New Roman"/>
              <w:color w:val="000000"/>
            </w:rPr>
          </w:pPr>
          <w:r w:rsidRPr="0061746C">
            <w:rPr>
              <w:rFonts w:ascii="Times New Roman" w:eastAsia="Times New Roman" w:hAnsi="Times New Roman" w:cs="Times New Roman"/>
              <w:color w:val="000000"/>
            </w:rPr>
            <w:lastRenderedPageBreak/>
            <w:t xml:space="preserve">Melitz, M. J., &amp; Polanec, S. (2015). Dynamic Olley-Pakes productivity decomposition with entry and exit. </w:t>
          </w:r>
          <w:r w:rsidRPr="0061746C">
            <w:rPr>
              <w:rFonts w:ascii="Times New Roman" w:eastAsia="Times New Roman" w:hAnsi="Times New Roman" w:cs="Times New Roman"/>
              <w:i/>
              <w:iCs/>
              <w:color w:val="000000"/>
            </w:rPr>
            <w:t>The Rand Journal of Economics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46</w:t>
          </w:r>
          <w:r w:rsidRPr="0061746C">
            <w:rPr>
              <w:rFonts w:ascii="Times New Roman" w:eastAsia="Times New Roman" w:hAnsi="Times New Roman" w:cs="Times New Roman"/>
              <w:color w:val="000000"/>
            </w:rPr>
            <w:t>(2), 362–375.</w:t>
          </w:r>
        </w:p>
        <w:p w14:paraId="14B68163" w14:textId="77777777" w:rsidR="0061746C" w:rsidRPr="0061746C" w:rsidRDefault="0061746C">
          <w:pPr>
            <w:autoSpaceDE w:val="0"/>
            <w:autoSpaceDN w:val="0"/>
            <w:ind w:hanging="480"/>
            <w:divId w:val="747729931"/>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Padilla-Perez, R., &amp; Villarreal, F. G. (2017). Structural change and productivity growth in Mexico, 1990–2014. </w:t>
          </w:r>
          <w:r w:rsidRPr="0061746C">
            <w:rPr>
              <w:rFonts w:ascii="Times New Roman" w:eastAsia="Times New Roman" w:hAnsi="Times New Roman" w:cs="Times New Roman"/>
              <w:i/>
              <w:iCs/>
              <w:color w:val="000000"/>
            </w:rPr>
            <w:t>Structural Change and Economic Dynamics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41</w:t>
          </w:r>
          <w:r w:rsidRPr="0061746C">
            <w:rPr>
              <w:rFonts w:ascii="Times New Roman" w:eastAsia="Times New Roman" w:hAnsi="Times New Roman" w:cs="Times New Roman"/>
              <w:color w:val="000000"/>
            </w:rPr>
            <w:t>, 53–63.</w:t>
          </w:r>
        </w:p>
        <w:p w14:paraId="388E61B9" w14:textId="77777777" w:rsidR="0061746C" w:rsidRPr="0061746C" w:rsidRDefault="0061746C">
          <w:pPr>
            <w:autoSpaceDE w:val="0"/>
            <w:autoSpaceDN w:val="0"/>
            <w:ind w:hanging="480"/>
            <w:divId w:val="1958636297"/>
            <w:rPr>
              <w:rFonts w:ascii="Times New Roman" w:eastAsia="Times New Roman" w:hAnsi="Times New Roman" w:cs="Times New Roman"/>
              <w:color w:val="000000"/>
              <w:lang w:val="es-MX"/>
            </w:rPr>
          </w:pPr>
          <w:r w:rsidRPr="0061746C">
            <w:rPr>
              <w:rFonts w:ascii="Times New Roman" w:eastAsia="Times New Roman" w:hAnsi="Times New Roman" w:cs="Times New Roman"/>
              <w:color w:val="000000"/>
            </w:rPr>
            <w:t xml:space="preserve">Restuccia, D., &amp; Rogerson, R. (2008). Policy distortions and aggregate productivity with heterogeneous establishments. </w:t>
          </w:r>
          <w:proofErr w:type="spellStart"/>
          <w:r w:rsidRPr="0061746C">
            <w:rPr>
              <w:rFonts w:ascii="Times New Roman" w:eastAsia="Times New Roman" w:hAnsi="Times New Roman" w:cs="Times New Roman"/>
              <w:i/>
              <w:iCs/>
              <w:color w:val="000000"/>
              <w:lang w:val="es-MX"/>
            </w:rPr>
            <w:t>Review</w:t>
          </w:r>
          <w:proofErr w:type="spellEnd"/>
          <w:r w:rsidRPr="0061746C">
            <w:rPr>
              <w:rFonts w:ascii="Times New Roman" w:eastAsia="Times New Roman" w:hAnsi="Times New Roman" w:cs="Times New Roman"/>
              <w:i/>
              <w:iCs/>
              <w:color w:val="000000"/>
              <w:lang w:val="es-MX"/>
            </w:rPr>
            <w:t xml:space="preserve"> of </w:t>
          </w:r>
          <w:proofErr w:type="spellStart"/>
          <w:r w:rsidRPr="0061746C">
            <w:rPr>
              <w:rFonts w:ascii="Times New Roman" w:eastAsia="Times New Roman" w:hAnsi="Times New Roman" w:cs="Times New Roman"/>
              <w:i/>
              <w:iCs/>
              <w:color w:val="000000"/>
              <w:lang w:val="es-MX"/>
            </w:rPr>
            <w:t>Economic</w:t>
          </w:r>
          <w:proofErr w:type="spellEnd"/>
          <w:r w:rsidRPr="0061746C">
            <w:rPr>
              <w:rFonts w:ascii="Times New Roman" w:eastAsia="Times New Roman" w:hAnsi="Times New Roman" w:cs="Times New Roman"/>
              <w:i/>
              <w:iCs/>
              <w:color w:val="000000"/>
              <w:lang w:val="es-MX"/>
            </w:rPr>
            <w:t xml:space="preserve"> Dynamics</w:t>
          </w:r>
          <w:r w:rsidRPr="0061746C">
            <w:rPr>
              <w:rFonts w:ascii="Times New Roman" w:eastAsia="Times New Roman" w:hAnsi="Times New Roman" w:cs="Times New Roman"/>
              <w:color w:val="000000"/>
              <w:lang w:val="es-MX"/>
            </w:rPr>
            <w:t xml:space="preserve">, </w:t>
          </w:r>
          <w:r w:rsidRPr="0061746C">
            <w:rPr>
              <w:rFonts w:ascii="Times New Roman" w:eastAsia="Times New Roman" w:hAnsi="Times New Roman" w:cs="Times New Roman"/>
              <w:i/>
              <w:iCs/>
              <w:color w:val="000000"/>
              <w:lang w:val="es-MX"/>
            </w:rPr>
            <w:t>11</w:t>
          </w:r>
          <w:r w:rsidRPr="0061746C">
            <w:rPr>
              <w:rFonts w:ascii="Times New Roman" w:eastAsia="Times New Roman" w:hAnsi="Times New Roman" w:cs="Times New Roman"/>
              <w:color w:val="000000"/>
              <w:lang w:val="es-MX"/>
            </w:rPr>
            <w:t>(4), 707–720.</w:t>
          </w:r>
        </w:p>
        <w:p w14:paraId="4947B6DF" w14:textId="77777777" w:rsidR="0061746C" w:rsidRPr="0061746C" w:rsidRDefault="0061746C">
          <w:pPr>
            <w:autoSpaceDE w:val="0"/>
            <w:autoSpaceDN w:val="0"/>
            <w:ind w:hanging="480"/>
            <w:divId w:val="1568802648"/>
            <w:rPr>
              <w:rFonts w:ascii="Times New Roman" w:eastAsia="Times New Roman" w:hAnsi="Times New Roman" w:cs="Times New Roman"/>
              <w:color w:val="000000"/>
            </w:rPr>
          </w:pPr>
          <w:r w:rsidRPr="0061746C">
            <w:rPr>
              <w:rFonts w:ascii="Times New Roman" w:eastAsia="Times New Roman" w:hAnsi="Times New Roman" w:cs="Times New Roman"/>
              <w:color w:val="000000"/>
              <w:lang w:val="es-MX"/>
            </w:rPr>
            <w:t xml:space="preserve">Ros-Bosch, J. (2019). Dinámica empresarial disfuncional y productividad estancada: una reseña del nuevo libro de Santiago Levy. </w:t>
          </w:r>
          <w:proofErr w:type="spellStart"/>
          <w:r w:rsidRPr="0061746C">
            <w:rPr>
              <w:rFonts w:ascii="Times New Roman" w:eastAsia="Times New Roman" w:hAnsi="Times New Roman" w:cs="Times New Roman"/>
              <w:i/>
              <w:iCs/>
              <w:color w:val="000000"/>
            </w:rPr>
            <w:t>Econom</w:t>
          </w:r>
          <w:proofErr w:type="spellEnd"/>
          <w:r w:rsidRPr="0061746C">
            <w:rPr>
              <w:rFonts w:ascii="Times New Roman" w:eastAsia="Times New Roman" w:hAnsi="Times New Roman" w:cs="Times New Roman"/>
              <w:i/>
              <w:iCs/>
              <w:color w:val="000000"/>
            </w:rPr>
            <w:t>\’\</w:t>
          </w:r>
          <w:proofErr w:type="spellStart"/>
          <w:r w:rsidRPr="0061746C">
            <w:rPr>
              <w:rFonts w:ascii="Times New Roman" w:eastAsia="Times New Roman" w:hAnsi="Times New Roman" w:cs="Times New Roman"/>
              <w:i/>
              <w:iCs/>
              <w:color w:val="000000"/>
            </w:rPr>
            <w:t>ia</w:t>
          </w:r>
          <w:proofErr w:type="spellEnd"/>
          <w:r w:rsidRPr="0061746C">
            <w:rPr>
              <w:rFonts w:ascii="Times New Roman" w:eastAsia="Times New Roman" w:hAnsi="Times New Roman" w:cs="Times New Roman"/>
              <w:i/>
              <w:iCs/>
              <w:color w:val="000000"/>
            </w:rPr>
            <w:t xml:space="preserve"> UNAM</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16</w:t>
          </w:r>
          <w:r w:rsidRPr="0061746C">
            <w:rPr>
              <w:rFonts w:ascii="Times New Roman" w:eastAsia="Times New Roman" w:hAnsi="Times New Roman" w:cs="Times New Roman"/>
              <w:color w:val="000000"/>
            </w:rPr>
            <w:t>(46), 270–283.</w:t>
          </w:r>
        </w:p>
        <w:p w14:paraId="5F3F597C" w14:textId="77777777" w:rsidR="0061746C" w:rsidRPr="0061746C" w:rsidRDefault="0061746C">
          <w:pPr>
            <w:autoSpaceDE w:val="0"/>
            <w:autoSpaceDN w:val="0"/>
            <w:ind w:hanging="480"/>
            <w:divId w:val="310643613"/>
            <w:rPr>
              <w:rFonts w:ascii="Times New Roman" w:eastAsia="Times New Roman" w:hAnsi="Times New Roman" w:cs="Times New Roman"/>
              <w:color w:val="000000"/>
            </w:rPr>
          </w:pPr>
          <w:r w:rsidRPr="0061746C">
            <w:rPr>
              <w:rFonts w:ascii="Times New Roman" w:eastAsia="Times New Roman" w:hAnsi="Times New Roman" w:cs="Times New Roman"/>
              <w:color w:val="000000"/>
            </w:rPr>
            <w:t xml:space="preserve">Wooldridge, J. M. (2009). On estimating firm-level production functions using proxy variables to control for </w:t>
          </w:r>
          <w:proofErr w:type="spellStart"/>
          <w:r w:rsidRPr="0061746C">
            <w:rPr>
              <w:rFonts w:ascii="Times New Roman" w:eastAsia="Times New Roman" w:hAnsi="Times New Roman" w:cs="Times New Roman"/>
              <w:color w:val="000000"/>
            </w:rPr>
            <w:t>unobservables</w:t>
          </w:r>
          <w:proofErr w:type="spellEnd"/>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Economics Letters</w:t>
          </w:r>
          <w:r w:rsidRPr="0061746C">
            <w:rPr>
              <w:rFonts w:ascii="Times New Roman" w:eastAsia="Times New Roman" w:hAnsi="Times New Roman" w:cs="Times New Roman"/>
              <w:color w:val="000000"/>
            </w:rPr>
            <w:t xml:space="preserve">, </w:t>
          </w:r>
          <w:r w:rsidRPr="0061746C">
            <w:rPr>
              <w:rFonts w:ascii="Times New Roman" w:eastAsia="Times New Roman" w:hAnsi="Times New Roman" w:cs="Times New Roman"/>
              <w:i/>
              <w:iCs/>
              <w:color w:val="000000"/>
            </w:rPr>
            <w:t>104</w:t>
          </w:r>
          <w:r w:rsidRPr="0061746C">
            <w:rPr>
              <w:rFonts w:ascii="Times New Roman" w:eastAsia="Times New Roman" w:hAnsi="Times New Roman" w:cs="Times New Roman"/>
              <w:color w:val="000000"/>
            </w:rPr>
            <w:t>(3), 112–114.</w:t>
          </w:r>
        </w:p>
        <w:p w14:paraId="70127AE4" w14:textId="1C58C709" w:rsidR="0061746C" w:rsidRDefault="0061746C" w:rsidP="00C939D1">
          <w:pPr>
            <w:jc w:val="both"/>
            <w:rPr>
              <w:rFonts w:ascii="Times New Roman" w:hAnsi="Times New Roman" w:cs="Times New Roman"/>
            </w:rPr>
          </w:pPr>
          <w:r w:rsidRPr="0061746C">
            <w:rPr>
              <w:rFonts w:ascii="Times New Roman" w:eastAsia="Times New Roman" w:hAnsi="Times New Roman" w:cs="Times New Roman"/>
              <w:color w:val="000000"/>
            </w:rPr>
            <w:t> </w:t>
          </w:r>
        </w:p>
      </w:sdtContent>
    </w:sdt>
    <w:p w14:paraId="543818F5" w14:textId="312EEBA2" w:rsidR="006D13B8" w:rsidRPr="00AF7AE3" w:rsidRDefault="006D13B8" w:rsidP="00C939D1">
      <w:pPr>
        <w:jc w:val="both"/>
        <w:rPr>
          <w:rFonts w:ascii="Times New Roman" w:hAnsi="Times New Roman" w:cs="Times New Roman"/>
        </w:rPr>
      </w:pPr>
      <w:r w:rsidRPr="0061746C">
        <w:rPr>
          <w:rFonts w:ascii="Times New Roman" w:hAnsi="Times New Roman" w:cs="Times New Roman"/>
          <w:color w:val="77206D" w:themeColor="accent5" w:themeShade="BF"/>
        </w:rPr>
        <w:t>Appendix</w:t>
      </w:r>
    </w:p>
    <w:p w14:paraId="2885A8E5" w14:textId="55B8524F" w:rsidR="00362D46" w:rsidRPr="00AF7AE3" w:rsidRDefault="000519EC" w:rsidP="00C939D1">
      <w:pPr>
        <w:jc w:val="both"/>
        <w:rPr>
          <w:rFonts w:ascii="Times New Roman" w:hAnsi="Times New Roman" w:cs="Times New Roman"/>
        </w:rPr>
      </w:pPr>
      <w:r w:rsidRPr="00AF7AE3">
        <w:rPr>
          <w:rFonts w:ascii="Times New Roman" w:hAnsi="Times New Roman" w:cs="Times New Roman"/>
        </w:rPr>
        <w:t>Table A</w:t>
      </w:r>
      <w:r w:rsidR="000969C0" w:rsidRPr="00AF7AE3">
        <w:rPr>
          <w:rFonts w:ascii="Times New Roman" w:hAnsi="Times New Roman" w:cs="Times New Roman"/>
        </w:rPr>
        <w:t>1</w:t>
      </w:r>
      <w:r w:rsidRPr="00AF7AE3">
        <w:rPr>
          <w:rFonts w:ascii="Times New Roman" w:hAnsi="Times New Roman" w:cs="Times New Roman"/>
        </w:rPr>
        <w:t xml:space="preserve">. Weighted average (ln) TFP and Melitz &amp; Polanec (2015) decomposition of TFP growth in Mexico, 1998-2023. </w:t>
      </w:r>
      <w:r w:rsidRPr="00AF7AE3">
        <w:rPr>
          <w:rFonts w:ascii="Times New Roman" w:hAnsi="Times New Roman" w:cs="Times New Roman"/>
          <w:vertAlign w:val="superscript"/>
        </w:rPr>
        <w:t>a/</w:t>
      </w:r>
    </w:p>
    <w:tbl>
      <w:tblPr>
        <w:tblW w:w="5967" w:type="pct"/>
        <w:tblInd w:w="-709" w:type="dxa"/>
        <w:tblLayout w:type="fixed"/>
        <w:tblLook w:val="04A0" w:firstRow="1" w:lastRow="0" w:firstColumn="1" w:lastColumn="0" w:noHBand="0" w:noVBand="1"/>
      </w:tblPr>
      <w:tblGrid>
        <w:gridCol w:w="1263"/>
        <w:gridCol w:w="1119"/>
        <w:gridCol w:w="1655"/>
        <w:gridCol w:w="1726"/>
        <w:gridCol w:w="959"/>
        <w:gridCol w:w="838"/>
        <w:gridCol w:w="948"/>
        <w:gridCol w:w="991"/>
        <w:gridCol w:w="709"/>
        <w:gridCol w:w="564"/>
      </w:tblGrid>
      <w:tr w:rsidR="009C27A2" w:rsidRPr="00FF7C55" w14:paraId="3361061C" w14:textId="77777777" w:rsidTr="00BC51AA">
        <w:trPr>
          <w:trHeight w:val="240"/>
        </w:trPr>
        <w:tc>
          <w:tcPr>
            <w:tcW w:w="586" w:type="pct"/>
            <w:vMerge w:val="restart"/>
            <w:tcBorders>
              <w:top w:val="single" w:sz="4" w:space="0" w:color="auto"/>
              <w:left w:val="nil"/>
              <w:bottom w:val="single" w:sz="4" w:space="0" w:color="000000"/>
              <w:right w:val="nil"/>
            </w:tcBorders>
            <w:shd w:val="clear" w:color="000000" w:fill="FFFFFF"/>
            <w:noWrap/>
            <w:vAlign w:val="center"/>
            <w:hideMark/>
          </w:tcPr>
          <w:p w14:paraId="7E3B3B3C"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Period</w:t>
            </w:r>
          </w:p>
        </w:tc>
        <w:tc>
          <w:tcPr>
            <w:tcW w:w="519" w:type="pct"/>
            <w:tcBorders>
              <w:top w:val="single" w:sz="4" w:space="0" w:color="auto"/>
              <w:left w:val="nil"/>
              <w:bottom w:val="nil"/>
              <w:right w:val="nil"/>
            </w:tcBorders>
            <w:shd w:val="clear" w:color="000000" w:fill="FFFFFF"/>
            <w:noWrap/>
            <w:vAlign w:val="center"/>
            <w:hideMark/>
          </w:tcPr>
          <w:p w14:paraId="415C5CBD"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(1)</w:t>
            </w:r>
          </w:p>
        </w:tc>
        <w:tc>
          <w:tcPr>
            <w:tcW w:w="768" w:type="pct"/>
            <w:tcBorders>
              <w:top w:val="single" w:sz="4" w:space="0" w:color="auto"/>
              <w:left w:val="nil"/>
              <w:bottom w:val="nil"/>
              <w:right w:val="nil"/>
            </w:tcBorders>
            <w:shd w:val="clear" w:color="000000" w:fill="FFFFFF"/>
            <w:noWrap/>
            <w:vAlign w:val="center"/>
            <w:hideMark/>
          </w:tcPr>
          <w:p w14:paraId="0F5EA6E4"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2)=Δ(</w:t>
            </w:r>
            <w:proofErr w:type="gramEnd"/>
            <w:r w:rsidRPr="00FF7C55">
              <w:rPr>
                <w:rFonts w:ascii="Times New Roman" w:eastAsia="Times New Roman" w:hAnsi="Times New Roman" w:cs="Times New Roman"/>
                <w:b/>
                <w:bCs/>
                <w:color w:val="000000"/>
                <w:sz w:val="16"/>
                <w:szCs w:val="16"/>
                <w:lang w:eastAsia="en-GB"/>
              </w:rPr>
              <w:t>1)/5 years</w:t>
            </w:r>
          </w:p>
        </w:tc>
        <w:tc>
          <w:tcPr>
            <w:tcW w:w="801" w:type="pct"/>
            <w:tcBorders>
              <w:top w:val="single" w:sz="4" w:space="0" w:color="auto"/>
              <w:left w:val="nil"/>
              <w:bottom w:val="nil"/>
              <w:right w:val="nil"/>
            </w:tcBorders>
            <w:shd w:val="clear" w:color="000000" w:fill="FFFFFF"/>
            <w:noWrap/>
            <w:vAlign w:val="center"/>
            <w:hideMark/>
          </w:tcPr>
          <w:p w14:paraId="3D351F57"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3)=</w:t>
            </w:r>
            <w:proofErr w:type="gramEnd"/>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4)+(</w:t>
            </w:r>
            <w:proofErr w:type="gramEnd"/>
            <w:r w:rsidRPr="00FF7C55">
              <w:rPr>
                <w:rFonts w:ascii="Times New Roman" w:eastAsia="Times New Roman" w:hAnsi="Times New Roman" w:cs="Times New Roman"/>
                <w:b/>
                <w:bCs/>
                <w:color w:val="000000"/>
                <w:sz w:val="16"/>
                <w:szCs w:val="16"/>
                <w:lang w:eastAsia="en-GB"/>
              </w:rPr>
              <w:t>7)</w:t>
            </w:r>
          </w:p>
        </w:tc>
        <w:tc>
          <w:tcPr>
            <w:tcW w:w="445" w:type="pct"/>
            <w:tcBorders>
              <w:top w:val="single" w:sz="4" w:space="0" w:color="auto"/>
              <w:left w:val="nil"/>
              <w:bottom w:val="nil"/>
              <w:right w:val="nil"/>
            </w:tcBorders>
            <w:shd w:val="clear" w:color="000000" w:fill="FFFFFF"/>
            <w:noWrap/>
            <w:vAlign w:val="center"/>
            <w:hideMark/>
          </w:tcPr>
          <w:p w14:paraId="3A003462"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4)=</w:t>
            </w:r>
            <w:proofErr w:type="gramEnd"/>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5)+(</w:t>
            </w:r>
            <w:proofErr w:type="gramEnd"/>
            <w:r w:rsidRPr="00FF7C55">
              <w:rPr>
                <w:rFonts w:ascii="Times New Roman" w:eastAsia="Times New Roman" w:hAnsi="Times New Roman" w:cs="Times New Roman"/>
                <w:b/>
                <w:bCs/>
                <w:color w:val="000000"/>
                <w:sz w:val="16"/>
                <w:szCs w:val="16"/>
                <w:lang w:eastAsia="en-GB"/>
              </w:rPr>
              <w:t>6)</w:t>
            </w:r>
          </w:p>
        </w:tc>
        <w:tc>
          <w:tcPr>
            <w:tcW w:w="389" w:type="pct"/>
            <w:tcBorders>
              <w:top w:val="single" w:sz="4" w:space="0" w:color="auto"/>
              <w:left w:val="nil"/>
              <w:bottom w:val="nil"/>
              <w:right w:val="nil"/>
            </w:tcBorders>
            <w:shd w:val="clear" w:color="000000" w:fill="FFFFFF"/>
            <w:noWrap/>
            <w:vAlign w:val="center"/>
            <w:hideMark/>
          </w:tcPr>
          <w:p w14:paraId="34E65D08"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(5)</w:t>
            </w:r>
          </w:p>
        </w:tc>
        <w:tc>
          <w:tcPr>
            <w:tcW w:w="440" w:type="pct"/>
            <w:tcBorders>
              <w:top w:val="single" w:sz="4" w:space="0" w:color="auto"/>
              <w:left w:val="nil"/>
              <w:bottom w:val="nil"/>
              <w:right w:val="nil"/>
            </w:tcBorders>
            <w:shd w:val="clear" w:color="000000" w:fill="FFFFFF"/>
            <w:noWrap/>
            <w:vAlign w:val="center"/>
            <w:hideMark/>
          </w:tcPr>
          <w:p w14:paraId="048BD60D"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(6)</w:t>
            </w:r>
          </w:p>
        </w:tc>
        <w:tc>
          <w:tcPr>
            <w:tcW w:w="460" w:type="pct"/>
            <w:tcBorders>
              <w:top w:val="single" w:sz="4" w:space="0" w:color="auto"/>
              <w:left w:val="nil"/>
              <w:bottom w:val="nil"/>
              <w:right w:val="nil"/>
            </w:tcBorders>
            <w:shd w:val="clear" w:color="000000" w:fill="FFFFFF"/>
            <w:noWrap/>
            <w:vAlign w:val="center"/>
            <w:hideMark/>
          </w:tcPr>
          <w:p w14:paraId="039F518C"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7)=</w:t>
            </w:r>
            <w:proofErr w:type="gramEnd"/>
            <w:r w:rsidRPr="00FF7C55">
              <w:rPr>
                <w:rFonts w:ascii="Times New Roman" w:eastAsia="Times New Roman" w:hAnsi="Times New Roman" w:cs="Times New Roman"/>
                <w:b/>
                <w:bCs/>
                <w:color w:val="000000"/>
                <w:sz w:val="16"/>
                <w:szCs w:val="16"/>
                <w:lang w:eastAsia="en-GB"/>
              </w:rPr>
              <w:t>(8)-(9)</w:t>
            </w:r>
          </w:p>
        </w:tc>
        <w:tc>
          <w:tcPr>
            <w:tcW w:w="329" w:type="pct"/>
            <w:tcBorders>
              <w:top w:val="single" w:sz="4" w:space="0" w:color="auto"/>
              <w:left w:val="nil"/>
              <w:bottom w:val="nil"/>
              <w:right w:val="nil"/>
            </w:tcBorders>
            <w:shd w:val="clear" w:color="000000" w:fill="FFFFFF"/>
            <w:noWrap/>
            <w:vAlign w:val="center"/>
            <w:hideMark/>
          </w:tcPr>
          <w:p w14:paraId="12080A68"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(8)</w:t>
            </w:r>
          </w:p>
        </w:tc>
        <w:tc>
          <w:tcPr>
            <w:tcW w:w="262" w:type="pct"/>
            <w:tcBorders>
              <w:top w:val="single" w:sz="4" w:space="0" w:color="auto"/>
              <w:left w:val="nil"/>
              <w:bottom w:val="nil"/>
              <w:right w:val="nil"/>
            </w:tcBorders>
            <w:shd w:val="clear" w:color="000000" w:fill="FFFFFF"/>
            <w:noWrap/>
            <w:vAlign w:val="center"/>
            <w:hideMark/>
          </w:tcPr>
          <w:p w14:paraId="5983E124"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(9)</w:t>
            </w:r>
          </w:p>
        </w:tc>
      </w:tr>
      <w:tr w:rsidR="009C27A2" w:rsidRPr="00FF7C55" w14:paraId="6C371325" w14:textId="77777777" w:rsidTr="00BC51AA">
        <w:trPr>
          <w:trHeight w:val="496"/>
        </w:trPr>
        <w:tc>
          <w:tcPr>
            <w:tcW w:w="586" w:type="pct"/>
            <w:vMerge/>
            <w:tcBorders>
              <w:top w:val="single" w:sz="4" w:space="0" w:color="auto"/>
              <w:left w:val="nil"/>
              <w:bottom w:val="single" w:sz="4" w:space="0" w:color="000000"/>
              <w:right w:val="nil"/>
            </w:tcBorders>
            <w:vAlign w:val="center"/>
            <w:hideMark/>
          </w:tcPr>
          <w:p w14:paraId="2C342675"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p>
        </w:tc>
        <w:tc>
          <w:tcPr>
            <w:tcW w:w="519" w:type="pct"/>
            <w:tcBorders>
              <w:top w:val="nil"/>
              <w:left w:val="nil"/>
              <w:bottom w:val="single" w:sz="4" w:space="0" w:color="auto"/>
              <w:right w:val="nil"/>
            </w:tcBorders>
            <w:shd w:val="clear" w:color="000000" w:fill="FFFFFF"/>
            <w:noWrap/>
            <w:vAlign w:val="center"/>
            <w:hideMark/>
          </w:tcPr>
          <w:p w14:paraId="67B41883"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 xml:space="preserve">Weighted average ln TFP </w:t>
            </w:r>
          </w:p>
        </w:tc>
        <w:tc>
          <w:tcPr>
            <w:tcW w:w="768" w:type="pct"/>
            <w:tcBorders>
              <w:top w:val="nil"/>
              <w:left w:val="nil"/>
              <w:bottom w:val="single" w:sz="4" w:space="0" w:color="auto"/>
              <w:right w:val="nil"/>
            </w:tcBorders>
            <w:shd w:val="clear" w:color="000000" w:fill="FFFFFF"/>
            <w:noWrap/>
            <w:vAlign w:val="center"/>
            <w:hideMark/>
          </w:tcPr>
          <w:p w14:paraId="031D5AC5"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TFP growth (%) annual (from column 1)</w:t>
            </w:r>
          </w:p>
        </w:tc>
        <w:tc>
          <w:tcPr>
            <w:tcW w:w="801" w:type="pct"/>
            <w:tcBorders>
              <w:top w:val="nil"/>
              <w:left w:val="nil"/>
              <w:bottom w:val="single" w:sz="4" w:space="0" w:color="auto"/>
              <w:right w:val="nil"/>
            </w:tcBorders>
            <w:shd w:val="clear" w:color="000000" w:fill="FFFFFF"/>
            <w:noWrap/>
            <w:vAlign w:val="center"/>
            <w:hideMark/>
          </w:tcPr>
          <w:p w14:paraId="182FF0BD"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TFP growth (%) annual (from decomposition)</w:t>
            </w:r>
          </w:p>
        </w:tc>
        <w:tc>
          <w:tcPr>
            <w:tcW w:w="445" w:type="pct"/>
            <w:tcBorders>
              <w:top w:val="nil"/>
              <w:left w:val="nil"/>
              <w:bottom w:val="single" w:sz="4" w:space="0" w:color="auto"/>
              <w:right w:val="nil"/>
            </w:tcBorders>
            <w:shd w:val="clear" w:color="000000" w:fill="FFFFFF"/>
            <w:noWrap/>
            <w:vAlign w:val="center"/>
            <w:hideMark/>
          </w:tcPr>
          <w:p w14:paraId="02334CD8"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Surviving</w:t>
            </w:r>
          </w:p>
        </w:tc>
        <w:tc>
          <w:tcPr>
            <w:tcW w:w="389" w:type="pct"/>
            <w:tcBorders>
              <w:top w:val="nil"/>
              <w:left w:val="nil"/>
              <w:bottom w:val="single" w:sz="4" w:space="0" w:color="auto"/>
              <w:right w:val="nil"/>
            </w:tcBorders>
            <w:shd w:val="clear" w:color="000000" w:fill="FFFFFF"/>
            <w:noWrap/>
            <w:vAlign w:val="center"/>
            <w:hideMark/>
          </w:tcPr>
          <w:p w14:paraId="0517BE35"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Surviving (within)</w:t>
            </w:r>
          </w:p>
        </w:tc>
        <w:tc>
          <w:tcPr>
            <w:tcW w:w="440" w:type="pct"/>
            <w:tcBorders>
              <w:top w:val="nil"/>
              <w:left w:val="nil"/>
              <w:bottom w:val="single" w:sz="4" w:space="0" w:color="auto"/>
              <w:right w:val="nil"/>
            </w:tcBorders>
            <w:shd w:val="clear" w:color="000000" w:fill="FFFFFF"/>
            <w:noWrap/>
            <w:vAlign w:val="center"/>
            <w:hideMark/>
          </w:tcPr>
          <w:p w14:paraId="7AE8B285"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Surviving (between)</w:t>
            </w:r>
          </w:p>
        </w:tc>
        <w:tc>
          <w:tcPr>
            <w:tcW w:w="460" w:type="pct"/>
            <w:tcBorders>
              <w:top w:val="nil"/>
              <w:left w:val="nil"/>
              <w:bottom w:val="single" w:sz="4" w:space="0" w:color="auto"/>
              <w:right w:val="nil"/>
            </w:tcBorders>
            <w:shd w:val="clear" w:color="000000" w:fill="FFFFFF"/>
            <w:noWrap/>
            <w:vAlign w:val="center"/>
            <w:hideMark/>
          </w:tcPr>
          <w:p w14:paraId="4C15A326"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Net entrants</w:t>
            </w:r>
          </w:p>
        </w:tc>
        <w:tc>
          <w:tcPr>
            <w:tcW w:w="329" w:type="pct"/>
            <w:tcBorders>
              <w:top w:val="nil"/>
              <w:left w:val="nil"/>
              <w:bottom w:val="single" w:sz="4" w:space="0" w:color="auto"/>
              <w:right w:val="nil"/>
            </w:tcBorders>
            <w:shd w:val="clear" w:color="000000" w:fill="FFFFFF"/>
            <w:noWrap/>
            <w:vAlign w:val="center"/>
            <w:hideMark/>
          </w:tcPr>
          <w:p w14:paraId="7520C9AF"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Entering</w:t>
            </w:r>
          </w:p>
        </w:tc>
        <w:tc>
          <w:tcPr>
            <w:tcW w:w="262" w:type="pct"/>
            <w:tcBorders>
              <w:top w:val="nil"/>
              <w:left w:val="nil"/>
              <w:bottom w:val="single" w:sz="4" w:space="0" w:color="auto"/>
              <w:right w:val="nil"/>
            </w:tcBorders>
            <w:shd w:val="clear" w:color="000000" w:fill="FFFFFF"/>
            <w:noWrap/>
            <w:vAlign w:val="center"/>
            <w:hideMark/>
          </w:tcPr>
          <w:p w14:paraId="05E63976" w14:textId="77777777" w:rsidR="009C27A2" w:rsidRPr="00FF7C55" w:rsidRDefault="009C27A2"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Exiting</w:t>
            </w:r>
          </w:p>
        </w:tc>
      </w:tr>
      <w:tr w:rsidR="002D2167" w:rsidRPr="00FF7C55" w14:paraId="214C23D8" w14:textId="77777777" w:rsidTr="00BC51AA">
        <w:trPr>
          <w:trHeight w:val="240"/>
        </w:trPr>
        <w:tc>
          <w:tcPr>
            <w:tcW w:w="586" w:type="pct"/>
            <w:tcBorders>
              <w:top w:val="nil"/>
              <w:left w:val="nil"/>
              <w:bottom w:val="nil"/>
              <w:right w:val="nil"/>
            </w:tcBorders>
            <w:shd w:val="clear" w:color="000000" w:fill="D9D9D9"/>
            <w:noWrap/>
            <w:vAlign w:val="center"/>
            <w:hideMark/>
          </w:tcPr>
          <w:p w14:paraId="17E663E3" w14:textId="77777777" w:rsidR="002D2167" w:rsidRPr="00FF7C55" w:rsidRDefault="002D2167"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1993-1998</w:t>
            </w:r>
          </w:p>
        </w:tc>
        <w:tc>
          <w:tcPr>
            <w:tcW w:w="519" w:type="pct"/>
            <w:tcBorders>
              <w:top w:val="nil"/>
              <w:left w:val="nil"/>
              <w:bottom w:val="nil"/>
              <w:right w:val="nil"/>
            </w:tcBorders>
            <w:shd w:val="clear" w:color="000000" w:fill="D9D9D9"/>
            <w:noWrap/>
            <w:vAlign w:val="center"/>
            <w:hideMark/>
          </w:tcPr>
          <w:p w14:paraId="7C92AF3D" w14:textId="058B9719"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-1.06</w:t>
            </w:r>
          </w:p>
        </w:tc>
        <w:tc>
          <w:tcPr>
            <w:tcW w:w="768" w:type="pct"/>
            <w:tcBorders>
              <w:top w:val="nil"/>
              <w:left w:val="nil"/>
              <w:bottom w:val="nil"/>
              <w:right w:val="nil"/>
            </w:tcBorders>
            <w:shd w:val="clear" w:color="000000" w:fill="D9D9D9"/>
            <w:noWrap/>
            <w:vAlign w:val="center"/>
            <w:hideMark/>
          </w:tcPr>
          <w:p w14:paraId="2259A4B5" w14:textId="7521A157"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801" w:type="pct"/>
            <w:tcBorders>
              <w:top w:val="nil"/>
              <w:left w:val="nil"/>
              <w:bottom w:val="nil"/>
              <w:right w:val="nil"/>
            </w:tcBorders>
            <w:shd w:val="clear" w:color="000000" w:fill="D9D9D9"/>
            <w:noWrap/>
            <w:vAlign w:val="center"/>
            <w:hideMark/>
          </w:tcPr>
          <w:p w14:paraId="64107CCF" w14:textId="393BDBF7"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445" w:type="pct"/>
            <w:tcBorders>
              <w:top w:val="nil"/>
              <w:left w:val="nil"/>
              <w:bottom w:val="nil"/>
              <w:right w:val="nil"/>
            </w:tcBorders>
            <w:shd w:val="clear" w:color="000000" w:fill="D9D9D9"/>
            <w:noWrap/>
            <w:vAlign w:val="center"/>
            <w:hideMark/>
          </w:tcPr>
          <w:p w14:paraId="6790EEDC" w14:textId="6A683B70"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389" w:type="pct"/>
            <w:tcBorders>
              <w:top w:val="nil"/>
              <w:left w:val="nil"/>
              <w:bottom w:val="nil"/>
              <w:right w:val="nil"/>
            </w:tcBorders>
            <w:shd w:val="clear" w:color="000000" w:fill="D9D9D9"/>
            <w:noWrap/>
            <w:vAlign w:val="center"/>
            <w:hideMark/>
          </w:tcPr>
          <w:p w14:paraId="3E2849B6" w14:textId="64FC18A9"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440" w:type="pct"/>
            <w:tcBorders>
              <w:top w:val="nil"/>
              <w:left w:val="nil"/>
              <w:bottom w:val="nil"/>
              <w:right w:val="nil"/>
            </w:tcBorders>
            <w:shd w:val="clear" w:color="000000" w:fill="D9D9D9"/>
            <w:noWrap/>
            <w:vAlign w:val="center"/>
            <w:hideMark/>
          </w:tcPr>
          <w:p w14:paraId="2AA09227" w14:textId="77C6A13A"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460" w:type="pct"/>
            <w:tcBorders>
              <w:top w:val="nil"/>
              <w:left w:val="nil"/>
              <w:bottom w:val="nil"/>
              <w:right w:val="nil"/>
            </w:tcBorders>
            <w:shd w:val="clear" w:color="000000" w:fill="D9D9D9"/>
            <w:noWrap/>
            <w:vAlign w:val="center"/>
            <w:hideMark/>
          </w:tcPr>
          <w:p w14:paraId="6D139D22" w14:textId="75F3C912"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329" w:type="pct"/>
            <w:tcBorders>
              <w:top w:val="nil"/>
              <w:left w:val="nil"/>
              <w:bottom w:val="nil"/>
              <w:right w:val="nil"/>
            </w:tcBorders>
            <w:shd w:val="clear" w:color="000000" w:fill="D9D9D9"/>
            <w:noWrap/>
            <w:vAlign w:val="center"/>
            <w:hideMark/>
          </w:tcPr>
          <w:p w14:paraId="24801FAF" w14:textId="53B4DEBB"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c>
          <w:tcPr>
            <w:tcW w:w="262" w:type="pct"/>
            <w:tcBorders>
              <w:top w:val="nil"/>
              <w:left w:val="nil"/>
              <w:bottom w:val="nil"/>
              <w:right w:val="nil"/>
            </w:tcBorders>
            <w:shd w:val="clear" w:color="000000" w:fill="D9D9D9"/>
            <w:noWrap/>
            <w:vAlign w:val="center"/>
            <w:hideMark/>
          </w:tcPr>
          <w:p w14:paraId="624C39A4" w14:textId="6F92513E"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w:t>
            </w:r>
          </w:p>
        </w:tc>
      </w:tr>
      <w:tr w:rsidR="002D2167" w:rsidRPr="00FF7C55" w14:paraId="573A6AE6" w14:textId="77777777" w:rsidTr="00BC51AA">
        <w:trPr>
          <w:trHeight w:val="240"/>
        </w:trPr>
        <w:tc>
          <w:tcPr>
            <w:tcW w:w="586" w:type="pct"/>
            <w:tcBorders>
              <w:top w:val="nil"/>
              <w:left w:val="nil"/>
              <w:bottom w:val="nil"/>
              <w:right w:val="nil"/>
            </w:tcBorders>
            <w:shd w:val="clear" w:color="000000" w:fill="FFFFFF"/>
            <w:noWrap/>
            <w:vAlign w:val="center"/>
            <w:hideMark/>
          </w:tcPr>
          <w:p w14:paraId="0107D217" w14:textId="77777777" w:rsidR="002D2167" w:rsidRPr="00FF7C55" w:rsidRDefault="002D2167"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1998-2003</w:t>
            </w:r>
          </w:p>
        </w:tc>
        <w:tc>
          <w:tcPr>
            <w:tcW w:w="519" w:type="pct"/>
            <w:tcBorders>
              <w:top w:val="nil"/>
              <w:left w:val="nil"/>
              <w:bottom w:val="nil"/>
              <w:right w:val="nil"/>
            </w:tcBorders>
            <w:shd w:val="clear" w:color="000000" w:fill="FFFFFF"/>
            <w:noWrap/>
            <w:vAlign w:val="center"/>
            <w:hideMark/>
          </w:tcPr>
          <w:p w14:paraId="24136DCF" w14:textId="4DA4A67F"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-0.81</w:t>
            </w:r>
          </w:p>
        </w:tc>
        <w:tc>
          <w:tcPr>
            <w:tcW w:w="768" w:type="pct"/>
            <w:tcBorders>
              <w:top w:val="nil"/>
              <w:left w:val="nil"/>
              <w:bottom w:val="nil"/>
              <w:right w:val="nil"/>
            </w:tcBorders>
            <w:shd w:val="clear" w:color="000000" w:fill="FFFFFF"/>
            <w:noWrap/>
            <w:vAlign w:val="center"/>
            <w:hideMark/>
          </w:tcPr>
          <w:p w14:paraId="1868738C" w14:textId="0ED38913"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4.90 </w:t>
            </w:r>
          </w:p>
        </w:tc>
        <w:tc>
          <w:tcPr>
            <w:tcW w:w="801" w:type="pct"/>
            <w:tcBorders>
              <w:top w:val="nil"/>
              <w:left w:val="nil"/>
              <w:bottom w:val="nil"/>
              <w:right w:val="nil"/>
            </w:tcBorders>
            <w:shd w:val="clear" w:color="000000" w:fill="FFFFFF"/>
            <w:noWrap/>
            <w:vAlign w:val="center"/>
            <w:hideMark/>
          </w:tcPr>
          <w:p w14:paraId="7A257C90" w14:textId="474E9631"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4.90 </w:t>
            </w:r>
          </w:p>
        </w:tc>
        <w:tc>
          <w:tcPr>
            <w:tcW w:w="445" w:type="pct"/>
            <w:tcBorders>
              <w:top w:val="nil"/>
              <w:left w:val="nil"/>
              <w:bottom w:val="nil"/>
              <w:right w:val="nil"/>
            </w:tcBorders>
            <w:shd w:val="clear" w:color="000000" w:fill="FFFFFF"/>
            <w:noWrap/>
            <w:vAlign w:val="center"/>
            <w:hideMark/>
          </w:tcPr>
          <w:p w14:paraId="0B289970" w14:textId="5DC28646"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0.87 </w:t>
            </w:r>
          </w:p>
        </w:tc>
        <w:tc>
          <w:tcPr>
            <w:tcW w:w="389" w:type="pct"/>
            <w:tcBorders>
              <w:top w:val="nil"/>
              <w:left w:val="nil"/>
              <w:bottom w:val="nil"/>
              <w:right w:val="nil"/>
            </w:tcBorders>
            <w:shd w:val="clear" w:color="000000" w:fill="FFFFFF"/>
            <w:noWrap/>
            <w:vAlign w:val="center"/>
            <w:hideMark/>
          </w:tcPr>
          <w:p w14:paraId="2F9315F6" w14:textId="1E7855FD"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-0.11 </w:t>
            </w:r>
          </w:p>
        </w:tc>
        <w:tc>
          <w:tcPr>
            <w:tcW w:w="440" w:type="pct"/>
            <w:tcBorders>
              <w:top w:val="nil"/>
              <w:left w:val="nil"/>
              <w:bottom w:val="nil"/>
              <w:right w:val="nil"/>
            </w:tcBorders>
            <w:shd w:val="clear" w:color="000000" w:fill="FFFFFF"/>
            <w:noWrap/>
            <w:vAlign w:val="center"/>
            <w:hideMark/>
          </w:tcPr>
          <w:p w14:paraId="38BE41A7" w14:textId="330D53D4"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0.98 </w:t>
            </w:r>
          </w:p>
        </w:tc>
        <w:tc>
          <w:tcPr>
            <w:tcW w:w="460" w:type="pct"/>
            <w:tcBorders>
              <w:top w:val="nil"/>
              <w:left w:val="nil"/>
              <w:bottom w:val="nil"/>
              <w:right w:val="nil"/>
            </w:tcBorders>
            <w:shd w:val="clear" w:color="000000" w:fill="FFFFFF"/>
            <w:noWrap/>
            <w:vAlign w:val="center"/>
            <w:hideMark/>
          </w:tcPr>
          <w:p w14:paraId="75E981DA" w14:textId="7269162B"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4.03 </w:t>
            </w:r>
          </w:p>
        </w:tc>
        <w:tc>
          <w:tcPr>
            <w:tcW w:w="329" w:type="pct"/>
            <w:tcBorders>
              <w:top w:val="nil"/>
              <w:left w:val="nil"/>
              <w:bottom w:val="nil"/>
              <w:right w:val="nil"/>
            </w:tcBorders>
            <w:shd w:val="clear" w:color="000000" w:fill="FFFFFF"/>
            <w:noWrap/>
            <w:vAlign w:val="center"/>
            <w:hideMark/>
          </w:tcPr>
          <w:p w14:paraId="1A276E66" w14:textId="25757DFD"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3.92 </w:t>
            </w:r>
          </w:p>
        </w:tc>
        <w:tc>
          <w:tcPr>
            <w:tcW w:w="262" w:type="pct"/>
            <w:tcBorders>
              <w:top w:val="nil"/>
              <w:left w:val="nil"/>
              <w:bottom w:val="nil"/>
              <w:right w:val="nil"/>
            </w:tcBorders>
            <w:shd w:val="clear" w:color="000000" w:fill="FFFFFF"/>
            <w:noWrap/>
            <w:vAlign w:val="center"/>
            <w:hideMark/>
          </w:tcPr>
          <w:p w14:paraId="75C30F9A" w14:textId="6B79DCEF"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-0.10 </w:t>
            </w:r>
          </w:p>
        </w:tc>
      </w:tr>
      <w:tr w:rsidR="002D2167" w:rsidRPr="00FF7C55" w14:paraId="19F0CB27" w14:textId="77777777" w:rsidTr="00BC51AA">
        <w:trPr>
          <w:trHeight w:val="240"/>
        </w:trPr>
        <w:tc>
          <w:tcPr>
            <w:tcW w:w="586" w:type="pct"/>
            <w:tcBorders>
              <w:top w:val="nil"/>
              <w:left w:val="nil"/>
              <w:bottom w:val="nil"/>
              <w:right w:val="nil"/>
            </w:tcBorders>
            <w:shd w:val="clear" w:color="000000" w:fill="D9D9D9"/>
            <w:noWrap/>
            <w:vAlign w:val="center"/>
            <w:hideMark/>
          </w:tcPr>
          <w:p w14:paraId="7723DF61" w14:textId="77777777" w:rsidR="002D2167" w:rsidRPr="00FF7C55" w:rsidRDefault="002D2167"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2003-2008</w:t>
            </w:r>
          </w:p>
        </w:tc>
        <w:tc>
          <w:tcPr>
            <w:tcW w:w="519" w:type="pct"/>
            <w:tcBorders>
              <w:top w:val="nil"/>
              <w:left w:val="nil"/>
              <w:bottom w:val="nil"/>
              <w:right w:val="nil"/>
            </w:tcBorders>
            <w:shd w:val="clear" w:color="000000" w:fill="D9D9D9"/>
            <w:noWrap/>
            <w:vAlign w:val="center"/>
            <w:hideMark/>
          </w:tcPr>
          <w:p w14:paraId="363D86AC" w14:textId="35DE8A43"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-1.04</w:t>
            </w:r>
          </w:p>
        </w:tc>
        <w:tc>
          <w:tcPr>
            <w:tcW w:w="768" w:type="pct"/>
            <w:tcBorders>
              <w:top w:val="nil"/>
              <w:left w:val="nil"/>
              <w:bottom w:val="nil"/>
              <w:right w:val="nil"/>
            </w:tcBorders>
            <w:shd w:val="clear" w:color="000000" w:fill="D9D9D9"/>
            <w:noWrap/>
            <w:vAlign w:val="center"/>
            <w:hideMark/>
          </w:tcPr>
          <w:p w14:paraId="716446D4" w14:textId="666B7DC9"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-4.51 </w:t>
            </w:r>
          </w:p>
        </w:tc>
        <w:tc>
          <w:tcPr>
            <w:tcW w:w="801" w:type="pct"/>
            <w:tcBorders>
              <w:top w:val="nil"/>
              <w:left w:val="nil"/>
              <w:bottom w:val="nil"/>
              <w:right w:val="nil"/>
            </w:tcBorders>
            <w:shd w:val="clear" w:color="000000" w:fill="D9D9D9"/>
            <w:noWrap/>
            <w:vAlign w:val="center"/>
            <w:hideMark/>
          </w:tcPr>
          <w:p w14:paraId="2EFE24C2" w14:textId="663644D6"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-4.51 </w:t>
            </w:r>
          </w:p>
        </w:tc>
        <w:tc>
          <w:tcPr>
            <w:tcW w:w="445" w:type="pct"/>
            <w:tcBorders>
              <w:top w:val="nil"/>
              <w:left w:val="nil"/>
              <w:bottom w:val="nil"/>
              <w:right w:val="nil"/>
            </w:tcBorders>
            <w:shd w:val="clear" w:color="000000" w:fill="D9D9D9"/>
            <w:noWrap/>
            <w:vAlign w:val="center"/>
            <w:hideMark/>
          </w:tcPr>
          <w:p w14:paraId="66D4F620" w14:textId="379DC9D2"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-4.08 </w:t>
            </w:r>
          </w:p>
        </w:tc>
        <w:tc>
          <w:tcPr>
            <w:tcW w:w="389" w:type="pct"/>
            <w:tcBorders>
              <w:top w:val="nil"/>
              <w:left w:val="nil"/>
              <w:bottom w:val="nil"/>
              <w:right w:val="nil"/>
            </w:tcBorders>
            <w:shd w:val="clear" w:color="000000" w:fill="D9D9D9"/>
            <w:noWrap/>
            <w:vAlign w:val="center"/>
            <w:hideMark/>
          </w:tcPr>
          <w:p w14:paraId="12F306B0" w14:textId="2BBF5442"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-7.43 </w:t>
            </w:r>
          </w:p>
        </w:tc>
        <w:tc>
          <w:tcPr>
            <w:tcW w:w="440" w:type="pct"/>
            <w:tcBorders>
              <w:top w:val="nil"/>
              <w:left w:val="nil"/>
              <w:bottom w:val="nil"/>
              <w:right w:val="nil"/>
            </w:tcBorders>
            <w:shd w:val="clear" w:color="000000" w:fill="D9D9D9"/>
            <w:noWrap/>
            <w:vAlign w:val="center"/>
            <w:hideMark/>
          </w:tcPr>
          <w:p w14:paraId="10545858" w14:textId="184F6563"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3.35 </w:t>
            </w:r>
          </w:p>
        </w:tc>
        <w:tc>
          <w:tcPr>
            <w:tcW w:w="460" w:type="pct"/>
            <w:tcBorders>
              <w:top w:val="nil"/>
              <w:left w:val="nil"/>
              <w:bottom w:val="nil"/>
              <w:right w:val="nil"/>
            </w:tcBorders>
            <w:shd w:val="clear" w:color="000000" w:fill="D9D9D9"/>
            <w:noWrap/>
            <w:vAlign w:val="center"/>
            <w:hideMark/>
          </w:tcPr>
          <w:p w14:paraId="0ECDE99C" w14:textId="1925352F"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-0.43 </w:t>
            </w:r>
          </w:p>
        </w:tc>
        <w:tc>
          <w:tcPr>
            <w:tcW w:w="329" w:type="pct"/>
            <w:tcBorders>
              <w:top w:val="nil"/>
              <w:left w:val="nil"/>
              <w:bottom w:val="nil"/>
              <w:right w:val="nil"/>
            </w:tcBorders>
            <w:shd w:val="clear" w:color="000000" w:fill="D9D9D9"/>
            <w:noWrap/>
            <w:vAlign w:val="center"/>
            <w:hideMark/>
          </w:tcPr>
          <w:p w14:paraId="0C87BDA6" w14:textId="2104B3F5"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-0.79 </w:t>
            </w:r>
          </w:p>
        </w:tc>
        <w:tc>
          <w:tcPr>
            <w:tcW w:w="262" w:type="pct"/>
            <w:tcBorders>
              <w:top w:val="nil"/>
              <w:left w:val="nil"/>
              <w:bottom w:val="nil"/>
              <w:right w:val="nil"/>
            </w:tcBorders>
            <w:shd w:val="clear" w:color="000000" w:fill="D9D9D9"/>
            <w:noWrap/>
            <w:vAlign w:val="center"/>
            <w:hideMark/>
          </w:tcPr>
          <w:p w14:paraId="4E8330B7" w14:textId="45D11465"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-0.36 </w:t>
            </w:r>
          </w:p>
        </w:tc>
      </w:tr>
      <w:tr w:rsidR="002D2167" w:rsidRPr="00FF7C55" w14:paraId="7A406F9E" w14:textId="77777777" w:rsidTr="00BC51AA">
        <w:trPr>
          <w:trHeight w:val="240"/>
        </w:trPr>
        <w:tc>
          <w:tcPr>
            <w:tcW w:w="586" w:type="pct"/>
            <w:tcBorders>
              <w:top w:val="nil"/>
              <w:left w:val="nil"/>
              <w:bottom w:val="nil"/>
              <w:right w:val="nil"/>
            </w:tcBorders>
            <w:shd w:val="clear" w:color="000000" w:fill="FFFFFF"/>
            <w:noWrap/>
            <w:vAlign w:val="center"/>
            <w:hideMark/>
          </w:tcPr>
          <w:p w14:paraId="45AE5582" w14:textId="77777777" w:rsidR="002D2167" w:rsidRPr="00FF7C55" w:rsidRDefault="002D2167"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2008-2013</w:t>
            </w:r>
          </w:p>
        </w:tc>
        <w:tc>
          <w:tcPr>
            <w:tcW w:w="519" w:type="pct"/>
            <w:tcBorders>
              <w:top w:val="nil"/>
              <w:left w:val="nil"/>
              <w:bottom w:val="nil"/>
              <w:right w:val="nil"/>
            </w:tcBorders>
            <w:shd w:val="clear" w:color="000000" w:fill="FFFFFF"/>
            <w:noWrap/>
            <w:vAlign w:val="center"/>
            <w:hideMark/>
          </w:tcPr>
          <w:p w14:paraId="4C133ADC" w14:textId="36190223"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-1.01</w:t>
            </w:r>
          </w:p>
        </w:tc>
        <w:tc>
          <w:tcPr>
            <w:tcW w:w="768" w:type="pct"/>
            <w:tcBorders>
              <w:top w:val="nil"/>
              <w:left w:val="nil"/>
              <w:bottom w:val="nil"/>
              <w:right w:val="nil"/>
            </w:tcBorders>
            <w:shd w:val="clear" w:color="000000" w:fill="FFFFFF"/>
            <w:noWrap/>
            <w:vAlign w:val="center"/>
            <w:hideMark/>
          </w:tcPr>
          <w:p w14:paraId="18C5F393" w14:textId="0DE5D449"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0.57 </w:t>
            </w:r>
          </w:p>
        </w:tc>
        <w:tc>
          <w:tcPr>
            <w:tcW w:w="801" w:type="pct"/>
            <w:tcBorders>
              <w:top w:val="nil"/>
              <w:left w:val="nil"/>
              <w:bottom w:val="nil"/>
              <w:right w:val="nil"/>
            </w:tcBorders>
            <w:shd w:val="clear" w:color="000000" w:fill="FFFFFF"/>
            <w:noWrap/>
            <w:vAlign w:val="center"/>
            <w:hideMark/>
          </w:tcPr>
          <w:p w14:paraId="7D1E0638" w14:textId="3A3D18ED"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0.57 </w:t>
            </w:r>
          </w:p>
        </w:tc>
        <w:tc>
          <w:tcPr>
            <w:tcW w:w="445" w:type="pct"/>
            <w:tcBorders>
              <w:top w:val="nil"/>
              <w:left w:val="nil"/>
              <w:bottom w:val="nil"/>
              <w:right w:val="nil"/>
            </w:tcBorders>
            <w:shd w:val="clear" w:color="000000" w:fill="FFFFFF"/>
            <w:noWrap/>
            <w:vAlign w:val="center"/>
            <w:hideMark/>
          </w:tcPr>
          <w:p w14:paraId="03E19EEA" w14:textId="66ADA4F1"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1.04 </w:t>
            </w:r>
          </w:p>
        </w:tc>
        <w:tc>
          <w:tcPr>
            <w:tcW w:w="389" w:type="pct"/>
            <w:tcBorders>
              <w:top w:val="nil"/>
              <w:left w:val="nil"/>
              <w:bottom w:val="nil"/>
              <w:right w:val="nil"/>
            </w:tcBorders>
            <w:shd w:val="clear" w:color="000000" w:fill="FFFFFF"/>
            <w:noWrap/>
            <w:vAlign w:val="center"/>
            <w:hideMark/>
          </w:tcPr>
          <w:p w14:paraId="019A2132" w14:textId="722F10FD"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2.68 </w:t>
            </w:r>
          </w:p>
        </w:tc>
        <w:tc>
          <w:tcPr>
            <w:tcW w:w="440" w:type="pct"/>
            <w:tcBorders>
              <w:top w:val="nil"/>
              <w:left w:val="nil"/>
              <w:bottom w:val="nil"/>
              <w:right w:val="nil"/>
            </w:tcBorders>
            <w:shd w:val="clear" w:color="000000" w:fill="FFFFFF"/>
            <w:noWrap/>
            <w:vAlign w:val="center"/>
            <w:hideMark/>
          </w:tcPr>
          <w:p w14:paraId="10F838C2" w14:textId="61E472B6"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-1.64 </w:t>
            </w:r>
          </w:p>
        </w:tc>
        <w:tc>
          <w:tcPr>
            <w:tcW w:w="460" w:type="pct"/>
            <w:tcBorders>
              <w:top w:val="nil"/>
              <w:left w:val="nil"/>
              <w:bottom w:val="nil"/>
              <w:right w:val="nil"/>
            </w:tcBorders>
            <w:shd w:val="clear" w:color="000000" w:fill="FFFFFF"/>
            <w:noWrap/>
            <w:vAlign w:val="center"/>
            <w:hideMark/>
          </w:tcPr>
          <w:p w14:paraId="1DA629CB" w14:textId="012B1F11"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-0.47 </w:t>
            </w:r>
          </w:p>
        </w:tc>
        <w:tc>
          <w:tcPr>
            <w:tcW w:w="329" w:type="pct"/>
            <w:tcBorders>
              <w:top w:val="nil"/>
              <w:left w:val="nil"/>
              <w:bottom w:val="nil"/>
              <w:right w:val="nil"/>
            </w:tcBorders>
            <w:shd w:val="clear" w:color="000000" w:fill="FFFFFF"/>
            <w:noWrap/>
            <w:vAlign w:val="center"/>
            <w:hideMark/>
          </w:tcPr>
          <w:p w14:paraId="0A9E2262" w14:textId="13EABC4D"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-0.51 </w:t>
            </w:r>
          </w:p>
        </w:tc>
        <w:tc>
          <w:tcPr>
            <w:tcW w:w="262" w:type="pct"/>
            <w:tcBorders>
              <w:top w:val="nil"/>
              <w:left w:val="nil"/>
              <w:bottom w:val="nil"/>
              <w:right w:val="nil"/>
            </w:tcBorders>
            <w:shd w:val="clear" w:color="000000" w:fill="FFFFFF"/>
            <w:noWrap/>
            <w:vAlign w:val="center"/>
            <w:hideMark/>
          </w:tcPr>
          <w:p w14:paraId="6F99CC53" w14:textId="434FAD34"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-0.04 </w:t>
            </w:r>
          </w:p>
        </w:tc>
      </w:tr>
      <w:tr w:rsidR="002D2167" w:rsidRPr="00FF7C55" w14:paraId="1F4A350E" w14:textId="77777777" w:rsidTr="00BC51AA">
        <w:trPr>
          <w:trHeight w:val="240"/>
        </w:trPr>
        <w:tc>
          <w:tcPr>
            <w:tcW w:w="586" w:type="pct"/>
            <w:tcBorders>
              <w:top w:val="nil"/>
              <w:left w:val="nil"/>
              <w:bottom w:val="nil"/>
              <w:right w:val="nil"/>
            </w:tcBorders>
            <w:shd w:val="clear" w:color="000000" w:fill="D9D9D9"/>
            <w:noWrap/>
            <w:vAlign w:val="center"/>
            <w:hideMark/>
          </w:tcPr>
          <w:p w14:paraId="1506F25E" w14:textId="77777777" w:rsidR="002D2167" w:rsidRPr="00FF7C55" w:rsidRDefault="002D2167"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2013-2018</w:t>
            </w:r>
          </w:p>
        </w:tc>
        <w:tc>
          <w:tcPr>
            <w:tcW w:w="519" w:type="pct"/>
            <w:tcBorders>
              <w:top w:val="nil"/>
              <w:left w:val="nil"/>
              <w:bottom w:val="nil"/>
              <w:right w:val="nil"/>
            </w:tcBorders>
            <w:shd w:val="clear" w:color="000000" w:fill="D9D9D9"/>
            <w:noWrap/>
            <w:vAlign w:val="center"/>
            <w:hideMark/>
          </w:tcPr>
          <w:p w14:paraId="468CBE44" w14:textId="4192FD3E"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-1.01</w:t>
            </w:r>
          </w:p>
        </w:tc>
        <w:tc>
          <w:tcPr>
            <w:tcW w:w="768" w:type="pct"/>
            <w:tcBorders>
              <w:top w:val="nil"/>
              <w:left w:val="nil"/>
              <w:bottom w:val="nil"/>
              <w:right w:val="nil"/>
            </w:tcBorders>
            <w:shd w:val="clear" w:color="000000" w:fill="D9D9D9"/>
            <w:noWrap/>
            <w:vAlign w:val="center"/>
            <w:hideMark/>
          </w:tcPr>
          <w:p w14:paraId="206C006F" w14:textId="00CEED87"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0.05 </w:t>
            </w:r>
          </w:p>
        </w:tc>
        <w:tc>
          <w:tcPr>
            <w:tcW w:w="801" w:type="pct"/>
            <w:tcBorders>
              <w:top w:val="nil"/>
              <w:left w:val="nil"/>
              <w:bottom w:val="nil"/>
              <w:right w:val="nil"/>
            </w:tcBorders>
            <w:shd w:val="clear" w:color="000000" w:fill="D9D9D9"/>
            <w:noWrap/>
            <w:vAlign w:val="center"/>
            <w:hideMark/>
          </w:tcPr>
          <w:p w14:paraId="6A5971F9" w14:textId="15467AB3"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0.05 </w:t>
            </w:r>
          </w:p>
        </w:tc>
        <w:tc>
          <w:tcPr>
            <w:tcW w:w="445" w:type="pct"/>
            <w:tcBorders>
              <w:top w:val="nil"/>
              <w:left w:val="nil"/>
              <w:bottom w:val="nil"/>
              <w:right w:val="nil"/>
            </w:tcBorders>
            <w:shd w:val="clear" w:color="000000" w:fill="D9D9D9"/>
            <w:noWrap/>
            <w:vAlign w:val="center"/>
            <w:hideMark/>
          </w:tcPr>
          <w:p w14:paraId="04763A86" w14:textId="175BFEE6"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0.26 </w:t>
            </w:r>
          </w:p>
        </w:tc>
        <w:tc>
          <w:tcPr>
            <w:tcW w:w="389" w:type="pct"/>
            <w:tcBorders>
              <w:top w:val="nil"/>
              <w:left w:val="nil"/>
              <w:bottom w:val="nil"/>
              <w:right w:val="nil"/>
            </w:tcBorders>
            <w:shd w:val="clear" w:color="000000" w:fill="D9D9D9"/>
            <w:noWrap/>
            <w:vAlign w:val="center"/>
            <w:hideMark/>
          </w:tcPr>
          <w:p w14:paraId="46AFCAB8" w14:textId="3FC32C89"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2.74 </w:t>
            </w:r>
          </w:p>
        </w:tc>
        <w:tc>
          <w:tcPr>
            <w:tcW w:w="440" w:type="pct"/>
            <w:tcBorders>
              <w:top w:val="nil"/>
              <w:left w:val="nil"/>
              <w:bottom w:val="nil"/>
              <w:right w:val="nil"/>
            </w:tcBorders>
            <w:shd w:val="clear" w:color="000000" w:fill="D9D9D9"/>
            <w:noWrap/>
            <w:vAlign w:val="center"/>
            <w:hideMark/>
          </w:tcPr>
          <w:p w14:paraId="6100DCD8" w14:textId="653BE8AA"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-2.48 </w:t>
            </w:r>
          </w:p>
        </w:tc>
        <w:tc>
          <w:tcPr>
            <w:tcW w:w="460" w:type="pct"/>
            <w:tcBorders>
              <w:top w:val="nil"/>
              <w:left w:val="nil"/>
              <w:bottom w:val="nil"/>
              <w:right w:val="nil"/>
            </w:tcBorders>
            <w:shd w:val="clear" w:color="000000" w:fill="D9D9D9"/>
            <w:noWrap/>
            <w:vAlign w:val="center"/>
            <w:hideMark/>
          </w:tcPr>
          <w:p w14:paraId="792528CD" w14:textId="7700AAC2"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-0.21 </w:t>
            </w:r>
          </w:p>
        </w:tc>
        <w:tc>
          <w:tcPr>
            <w:tcW w:w="329" w:type="pct"/>
            <w:tcBorders>
              <w:top w:val="nil"/>
              <w:left w:val="nil"/>
              <w:bottom w:val="nil"/>
              <w:right w:val="nil"/>
            </w:tcBorders>
            <w:shd w:val="clear" w:color="000000" w:fill="D9D9D9"/>
            <w:noWrap/>
            <w:vAlign w:val="center"/>
            <w:hideMark/>
          </w:tcPr>
          <w:p w14:paraId="219B349D" w14:textId="7BA4430F"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-0.82 </w:t>
            </w:r>
          </w:p>
        </w:tc>
        <w:tc>
          <w:tcPr>
            <w:tcW w:w="262" w:type="pct"/>
            <w:tcBorders>
              <w:top w:val="nil"/>
              <w:left w:val="nil"/>
              <w:bottom w:val="nil"/>
              <w:right w:val="nil"/>
            </w:tcBorders>
            <w:shd w:val="clear" w:color="000000" w:fill="D9D9D9"/>
            <w:noWrap/>
            <w:vAlign w:val="center"/>
            <w:hideMark/>
          </w:tcPr>
          <w:p w14:paraId="5A3E337D" w14:textId="0A5F4C13"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-0.61 </w:t>
            </w:r>
          </w:p>
        </w:tc>
      </w:tr>
      <w:tr w:rsidR="002D2167" w:rsidRPr="00FF7C55" w14:paraId="1A808C9E" w14:textId="77777777" w:rsidTr="00BC51AA">
        <w:trPr>
          <w:trHeight w:val="240"/>
        </w:trPr>
        <w:tc>
          <w:tcPr>
            <w:tcW w:w="586" w:type="pct"/>
            <w:tcBorders>
              <w:top w:val="nil"/>
              <w:left w:val="nil"/>
              <w:bottom w:val="nil"/>
              <w:right w:val="nil"/>
            </w:tcBorders>
            <w:shd w:val="clear" w:color="000000" w:fill="FFFFFF"/>
            <w:noWrap/>
            <w:vAlign w:val="center"/>
            <w:hideMark/>
          </w:tcPr>
          <w:p w14:paraId="7CE20A1D" w14:textId="77777777" w:rsidR="002D2167" w:rsidRPr="00FF7C55" w:rsidRDefault="002D2167"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2018-2023</w:t>
            </w:r>
          </w:p>
        </w:tc>
        <w:tc>
          <w:tcPr>
            <w:tcW w:w="519" w:type="pct"/>
            <w:tcBorders>
              <w:top w:val="nil"/>
              <w:left w:val="nil"/>
              <w:bottom w:val="nil"/>
              <w:right w:val="nil"/>
            </w:tcBorders>
            <w:shd w:val="clear" w:color="000000" w:fill="FFFFFF"/>
            <w:noWrap/>
            <w:vAlign w:val="center"/>
            <w:hideMark/>
          </w:tcPr>
          <w:p w14:paraId="06AAE4F0" w14:textId="70081EF9"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-0.92</w:t>
            </w:r>
          </w:p>
        </w:tc>
        <w:tc>
          <w:tcPr>
            <w:tcW w:w="768" w:type="pct"/>
            <w:tcBorders>
              <w:top w:val="nil"/>
              <w:left w:val="nil"/>
              <w:bottom w:val="nil"/>
              <w:right w:val="nil"/>
            </w:tcBorders>
            <w:shd w:val="clear" w:color="000000" w:fill="FFFFFF"/>
            <w:noWrap/>
            <w:vAlign w:val="center"/>
            <w:hideMark/>
          </w:tcPr>
          <w:p w14:paraId="651D7BF7" w14:textId="46CAD17F"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1.72 </w:t>
            </w:r>
          </w:p>
        </w:tc>
        <w:tc>
          <w:tcPr>
            <w:tcW w:w="801" w:type="pct"/>
            <w:tcBorders>
              <w:top w:val="nil"/>
              <w:left w:val="nil"/>
              <w:bottom w:val="nil"/>
              <w:right w:val="nil"/>
            </w:tcBorders>
            <w:shd w:val="clear" w:color="000000" w:fill="FFFFFF"/>
            <w:noWrap/>
            <w:vAlign w:val="center"/>
            <w:hideMark/>
          </w:tcPr>
          <w:p w14:paraId="37299616" w14:textId="6F25F31C"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1.72 </w:t>
            </w:r>
          </w:p>
        </w:tc>
        <w:tc>
          <w:tcPr>
            <w:tcW w:w="445" w:type="pct"/>
            <w:tcBorders>
              <w:top w:val="nil"/>
              <w:left w:val="nil"/>
              <w:bottom w:val="nil"/>
              <w:right w:val="nil"/>
            </w:tcBorders>
            <w:shd w:val="clear" w:color="000000" w:fill="FFFFFF"/>
            <w:noWrap/>
            <w:vAlign w:val="center"/>
            <w:hideMark/>
          </w:tcPr>
          <w:p w14:paraId="516F9E49" w14:textId="103ED490"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0.98 </w:t>
            </w:r>
          </w:p>
        </w:tc>
        <w:tc>
          <w:tcPr>
            <w:tcW w:w="389" w:type="pct"/>
            <w:tcBorders>
              <w:top w:val="nil"/>
              <w:left w:val="nil"/>
              <w:bottom w:val="nil"/>
              <w:right w:val="nil"/>
            </w:tcBorders>
            <w:shd w:val="clear" w:color="000000" w:fill="FFFFFF"/>
            <w:noWrap/>
            <w:vAlign w:val="center"/>
            <w:hideMark/>
          </w:tcPr>
          <w:p w14:paraId="42183D9F" w14:textId="5C0D010C"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1.75 </w:t>
            </w:r>
          </w:p>
        </w:tc>
        <w:tc>
          <w:tcPr>
            <w:tcW w:w="440" w:type="pct"/>
            <w:tcBorders>
              <w:top w:val="nil"/>
              <w:left w:val="nil"/>
              <w:bottom w:val="nil"/>
              <w:right w:val="nil"/>
            </w:tcBorders>
            <w:shd w:val="clear" w:color="000000" w:fill="FFFFFF"/>
            <w:noWrap/>
            <w:vAlign w:val="center"/>
            <w:hideMark/>
          </w:tcPr>
          <w:p w14:paraId="3700D434" w14:textId="3BACE550"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-0.78 </w:t>
            </w:r>
          </w:p>
        </w:tc>
        <w:tc>
          <w:tcPr>
            <w:tcW w:w="460" w:type="pct"/>
            <w:tcBorders>
              <w:top w:val="nil"/>
              <w:left w:val="nil"/>
              <w:bottom w:val="nil"/>
              <w:right w:val="nil"/>
            </w:tcBorders>
            <w:shd w:val="clear" w:color="000000" w:fill="FFFFFF"/>
            <w:noWrap/>
            <w:vAlign w:val="center"/>
            <w:hideMark/>
          </w:tcPr>
          <w:p w14:paraId="35D9A7C2" w14:textId="7A8E1FD5"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0.75 </w:t>
            </w:r>
          </w:p>
        </w:tc>
        <w:tc>
          <w:tcPr>
            <w:tcW w:w="329" w:type="pct"/>
            <w:tcBorders>
              <w:top w:val="nil"/>
              <w:left w:val="nil"/>
              <w:bottom w:val="nil"/>
              <w:right w:val="nil"/>
            </w:tcBorders>
            <w:shd w:val="clear" w:color="000000" w:fill="FFFFFF"/>
            <w:noWrap/>
            <w:vAlign w:val="center"/>
            <w:hideMark/>
          </w:tcPr>
          <w:p w14:paraId="7A058149" w14:textId="6C686087"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sz w:val="16"/>
                <w:szCs w:val="16"/>
              </w:rPr>
              <w:t xml:space="preserve">0.49 </w:t>
            </w:r>
          </w:p>
        </w:tc>
        <w:tc>
          <w:tcPr>
            <w:tcW w:w="262" w:type="pct"/>
            <w:tcBorders>
              <w:top w:val="nil"/>
              <w:left w:val="nil"/>
              <w:bottom w:val="nil"/>
              <w:right w:val="nil"/>
            </w:tcBorders>
            <w:shd w:val="clear" w:color="000000" w:fill="FFFFFF"/>
            <w:noWrap/>
            <w:vAlign w:val="center"/>
            <w:hideMark/>
          </w:tcPr>
          <w:p w14:paraId="403DB61F" w14:textId="31F4AF41" w:rsidR="002D2167" w:rsidRPr="00FF7C55" w:rsidRDefault="002D2167"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hAnsi="Times New Roman" w:cs="Times New Roman"/>
                <w:color w:val="FF0000"/>
                <w:sz w:val="16"/>
                <w:szCs w:val="16"/>
              </w:rPr>
              <w:t xml:space="preserve">-0.26 </w:t>
            </w:r>
          </w:p>
        </w:tc>
      </w:tr>
      <w:tr w:rsidR="002D2167" w:rsidRPr="00FF7C55" w14:paraId="1EA6E404" w14:textId="77777777" w:rsidTr="00BC51AA">
        <w:trPr>
          <w:trHeight w:val="240"/>
        </w:trPr>
        <w:tc>
          <w:tcPr>
            <w:tcW w:w="586" w:type="pct"/>
            <w:tcBorders>
              <w:top w:val="single" w:sz="4" w:space="0" w:color="auto"/>
              <w:left w:val="nil"/>
              <w:bottom w:val="single" w:sz="4" w:space="0" w:color="auto"/>
              <w:right w:val="nil"/>
            </w:tcBorders>
            <w:shd w:val="clear" w:color="000000" w:fill="FFFFFF"/>
            <w:noWrap/>
            <w:vAlign w:val="center"/>
            <w:hideMark/>
          </w:tcPr>
          <w:p w14:paraId="509F5C91" w14:textId="77777777" w:rsidR="002D2167" w:rsidRPr="00FF7C55" w:rsidRDefault="002D2167"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Total 1998-2023</w:t>
            </w:r>
          </w:p>
        </w:tc>
        <w:tc>
          <w:tcPr>
            <w:tcW w:w="519" w:type="pct"/>
            <w:tcBorders>
              <w:top w:val="single" w:sz="4" w:space="0" w:color="auto"/>
              <w:left w:val="nil"/>
              <w:bottom w:val="single" w:sz="4" w:space="0" w:color="auto"/>
              <w:right w:val="nil"/>
            </w:tcBorders>
            <w:shd w:val="clear" w:color="000000" w:fill="FFFFFF"/>
            <w:noWrap/>
            <w:vAlign w:val="center"/>
            <w:hideMark/>
          </w:tcPr>
          <w:p w14:paraId="0CAF1858" w14:textId="3819A356"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sz w:val="16"/>
                <w:szCs w:val="16"/>
              </w:rPr>
              <w:t> </w:t>
            </w:r>
          </w:p>
        </w:tc>
        <w:tc>
          <w:tcPr>
            <w:tcW w:w="768" w:type="pct"/>
            <w:tcBorders>
              <w:top w:val="single" w:sz="4" w:space="0" w:color="auto"/>
              <w:left w:val="nil"/>
              <w:bottom w:val="single" w:sz="4" w:space="0" w:color="auto"/>
              <w:right w:val="nil"/>
            </w:tcBorders>
            <w:shd w:val="clear" w:color="000000" w:fill="FFFFFF"/>
            <w:noWrap/>
            <w:vAlign w:val="center"/>
            <w:hideMark/>
          </w:tcPr>
          <w:p w14:paraId="3445B080" w14:textId="5ACA687E"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sz w:val="16"/>
                <w:szCs w:val="16"/>
              </w:rPr>
              <w:t xml:space="preserve">0.55 </w:t>
            </w:r>
          </w:p>
        </w:tc>
        <w:tc>
          <w:tcPr>
            <w:tcW w:w="801" w:type="pct"/>
            <w:tcBorders>
              <w:top w:val="single" w:sz="4" w:space="0" w:color="auto"/>
              <w:left w:val="nil"/>
              <w:bottom w:val="single" w:sz="4" w:space="0" w:color="auto"/>
              <w:right w:val="nil"/>
            </w:tcBorders>
            <w:shd w:val="clear" w:color="000000" w:fill="FFFFFF"/>
            <w:noWrap/>
            <w:vAlign w:val="center"/>
            <w:hideMark/>
          </w:tcPr>
          <w:p w14:paraId="7090F1BE" w14:textId="7AD07353"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sz w:val="16"/>
                <w:szCs w:val="16"/>
              </w:rPr>
              <w:t xml:space="preserve">0.55 </w:t>
            </w:r>
          </w:p>
        </w:tc>
        <w:tc>
          <w:tcPr>
            <w:tcW w:w="445" w:type="pct"/>
            <w:tcBorders>
              <w:top w:val="single" w:sz="4" w:space="0" w:color="auto"/>
              <w:left w:val="nil"/>
              <w:bottom w:val="single" w:sz="4" w:space="0" w:color="auto"/>
              <w:right w:val="nil"/>
            </w:tcBorders>
            <w:shd w:val="clear" w:color="000000" w:fill="FFFFFF"/>
            <w:noWrap/>
            <w:vAlign w:val="center"/>
            <w:hideMark/>
          </w:tcPr>
          <w:p w14:paraId="0396FEA9" w14:textId="5983B010"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color w:val="FF0000"/>
                <w:sz w:val="16"/>
                <w:szCs w:val="16"/>
              </w:rPr>
              <w:t xml:space="preserve">-0.19 </w:t>
            </w:r>
          </w:p>
        </w:tc>
        <w:tc>
          <w:tcPr>
            <w:tcW w:w="389" w:type="pct"/>
            <w:tcBorders>
              <w:top w:val="single" w:sz="4" w:space="0" w:color="auto"/>
              <w:left w:val="nil"/>
              <w:bottom w:val="single" w:sz="4" w:space="0" w:color="auto"/>
              <w:right w:val="nil"/>
            </w:tcBorders>
            <w:shd w:val="clear" w:color="000000" w:fill="FFFFFF"/>
            <w:noWrap/>
            <w:vAlign w:val="center"/>
            <w:hideMark/>
          </w:tcPr>
          <w:p w14:paraId="52B45DF4" w14:textId="069531DE"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color w:val="FF0000"/>
                <w:sz w:val="16"/>
                <w:szCs w:val="16"/>
              </w:rPr>
              <w:t xml:space="preserve">-0.07 </w:t>
            </w:r>
          </w:p>
        </w:tc>
        <w:tc>
          <w:tcPr>
            <w:tcW w:w="440" w:type="pct"/>
            <w:tcBorders>
              <w:top w:val="single" w:sz="4" w:space="0" w:color="auto"/>
              <w:left w:val="nil"/>
              <w:bottom w:val="single" w:sz="4" w:space="0" w:color="auto"/>
              <w:right w:val="nil"/>
            </w:tcBorders>
            <w:shd w:val="clear" w:color="000000" w:fill="FFFFFF"/>
            <w:noWrap/>
            <w:vAlign w:val="center"/>
            <w:hideMark/>
          </w:tcPr>
          <w:p w14:paraId="6C853B32" w14:textId="2BE559CF"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color w:val="FF0000"/>
                <w:sz w:val="16"/>
                <w:szCs w:val="16"/>
              </w:rPr>
              <w:t xml:space="preserve">-0.11 </w:t>
            </w:r>
          </w:p>
        </w:tc>
        <w:tc>
          <w:tcPr>
            <w:tcW w:w="460" w:type="pct"/>
            <w:tcBorders>
              <w:top w:val="single" w:sz="4" w:space="0" w:color="auto"/>
              <w:left w:val="nil"/>
              <w:bottom w:val="single" w:sz="4" w:space="0" w:color="auto"/>
              <w:right w:val="nil"/>
            </w:tcBorders>
            <w:shd w:val="clear" w:color="000000" w:fill="FFFFFF"/>
            <w:noWrap/>
            <w:vAlign w:val="center"/>
            <w:hideMark/>
          </w:tcPr>
          <w:p w14:paraId="4E3CDA09" w14:textId="2B48332E"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sz w:val="16"/>
                <w:szCs w:val="16"/>
              </w:rPr>
              <w:t xml:space="preserve">0.73 </w:t>
            </w:r>
          </w:p>
        </w:tc>
        <w:tc>
          <w:tcPr>
            <w:tcW w:w="329" w:type="pct"/>
            <w:tcBorders>
              <w:top w:val="single" w:sz="4" w:space="0" w:color="auto"/>
              <w:left w:val="nil"/>
              <w:bottom w:val="single" w:sz="4" w:space="0" w:color="auto"/>
              <w:right w:val="nil"/>
            </w:tcBorders>
            <w:shd w:val="clear" w:color="000000" w:fill="FFFFFF"/>
            <w:noWrap/>
            <w:vAlign w:val="center"/>
            <w:hideMark/>
          </w:tcPr>
          <w:p w14:paraId="0F856244" w14:textId="34B6B0F5"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sz w:val="16"/>
                <w:szCs w:val="16"/>
              </w:rPr>
              <w:t xml:space="preserve">0.46 </w:t>
            </w:r>
          </w:p>
        </w:tc>
        <w:tc>
          <w:tcPr>
            <w:tcW w:w="262" w:type="pct"/>
            <w:tcBorders>
              <w:top w:val="single" w:sz="4" w:space="0" w:color="auto"/>
              <w:left w:val="nil"/>
              <w:bottom w:val="single" w:sz="4" w:space="0" w:color="auto"/>
              <w:right w:val="nil"/>
            </w:tcBorders>
            <w:shd w:val="clear" w:color="000000" w:fill="FFFFFF"/>
            <w:noWrap/>
            <w:vAlign w:val="center"/>
            <w:hideMark/>
          </w:tcPr>
          <w:p w14:paraId="0B1779C3" w14:textId="6A001ADF" w:rsidR="002D2167" w:rsidRPr="00FF7C55" w:rsidRDefault="002D2167"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hAnsi="Times New Roman" w:cs="Times New Roman"/>
                <w:b/>
                <w:bCs/>
                <w:color w:val="FF0000"/>
                <w:sz w:val="16"/>
                <w:szCs w:val="16"/>
              </w:rPr>
              <w:t xml:space="preserve">-0.27 </w:t>
            </w:r>
          </w:p>
        </w:tc>
      </w:tr>
    </w:tbl>
    <w:p w14:paraId="6BF88898" w14:textId="77777777" w:rsidR="00FE643E" w:rsidRPr="00AF7AE3" w:rsidRDefault="00FE643E" w:rsidP="00C939D1">
      <w:pPr>
        <w:spacing w:after="0"/>
        <w:jc w:val="both"/>
        <w:rPr>
          <w:rFonts w:ascii="Times New Roman" w:hAnsi="Times New Roman" w:cs="Times New Roman"/>
        </w:rPr>
      </w:pPr>
      <w:r w:rsidRPr="00AF7AE3">
        <w:rPr>
          <w:rFonts w:ascii="Times New Roman" w:hAnsi="Times New Roman" w:cs="Times New Roman"/>
          <w:vertAlign w:val="superscript"/>
        </w:rPr>
        <w:t>a/</w:t>
      </w:r>
      <w:r w:rsidRPr="00AF7AE3">
        <w:rPr>
          <w:rFonts w:ascii="Times New Roman" w:hAnsi="Times New Roman" w:cs="Times New Roman"/>
        </w:rPr>
        <w:t>Negative rates of growth in red</w:t>
      </w:r>
    </w:p>
    <w:p w14:paraId="4C6C9FCC" w14:textId="389D1918" w:rsidR="009C27A2" w:rsidRPr="00AF7AE3" w:rsidRDefault="00FE643E" w:rsidP="00C939D1">
      <w:pPr>
        <w:jc w:val="both"/>
        <w:rPr>
          <w:rFonts w:ascii="Times New Roman" w:hAnsi="Times New Roman" w:cs="Times New Roman"/>
        </w:rPr>
      </w:pPr>
      <w:r w:rsidRPr="00AF7AE3">
        <w:rPr>
          <w:rFonts w:ascii="Times New Roman" w:hAnsi="Times New Roman" w:cs="Times New Roman"/>
        </w:rPr>
        <w:t>Source: Own estimates using microdata from the Economic Census of Mexico</w:t>
      </w:r>
    </w:p>
    <w:p w14:paraId="768FE982" w14:textId="408BB427" w:rsidR="000969C0" w:rsidRPr="00AF7AE3" w:rsidRDefault="000969C0" w:rsidP="00C939D1">
      <w:pPr>
        <w:jc w:val="both"/>
        <w:rPr>
          <w:rFonts w:ascii="Times New Roman" w:hAnsi="Times New Roman" w:cs="Times New Roman"/>
        </w:rPr>
      </w:pPr>
      <w:r w:rsidRPr="00AF7AE3">
        <w:rPr>
          <w:rFonts w:ascii="Times New Roman" w:hAnsi="Times New Roman" w:cs="Times New Roman"/>
        </w:rPr>
        <w:t xml:space="preserve">Table A2. Weighted average (ln) TFP and Haltiwanger (1997) decomposition of TFP growth in Mexico, 1998-2023. </w:t>
      </w:r>
      <w:r w:rsidRPr="00AF7AE3">
        <w:rPr>
          <w:rFonts w:ascii="Times New Roman" w:hAnsi="Times New Roman" w:cs="Times New Roman"/>
          <w:vertAlign w:val="superscript"/>
        </w:rPr>
        <w:t>a/</w:t>
      </w:r>
    </w:p>
    <w:tbl>
      <w:tblPr>
        <w:tblW w:w="5967" w:type="pct"/>
        <w:tblInd w:w="-709" w:type="dxa"/>
        <w:tblLayout w:type="fixed"/>
        <w:tblLook w:val="04A0" w:firstRow="1" w:lastRow="0" w:firstColumn="1" w:lastColumn="0" w:noHBand="0" w:noVBand="1"/>
      </w:tblPr>
      <w:tblGrid>
        <w:gridCol w:w="1263"/>
        <w:gridCol w:w="1119"/>
        <w:gridCol w:w="1655"/>
        <w:gridCol w:w="1726"/>
        <w:gridCol w:w="959"/>
        <w:gridCol w:w="838"/>
        <w:gridCol w:w="948"/>
        <w:gridCol w:w="991"/>
        <w:gridCol w:w="709"/>
        <w:gridCol w:w="564"/>
      </w:tblGrid>
      <w:tr w:rsidR="000969C0" w:rsidRPr="00AF7AE3" w14:paraId="08772A59" w14:textId="77777777" w:rsidTr="00BC51AA">
        <w:trPr>
          <w:trHeight w:val="240"/>
        </w:trPr>
        <w:tc>
          <w:tcPr>
            <w:tcW w:w="586" w:type="pct"/>
            <w:vMerge w:val="restart"/>
            <w:tcBorders>
              <w:top w:val="single" w:sz="4" w:space="0" w:color="auto"/>
              <w:left w:val="nil"/>
              <w:bottom w:val="single" w:sz="4" w:space="0" w:color="000000"/>
              <w:right w:val="nil"/>
            </w:tcBorders>
            <w:shd w:val="clear" w:color="000000" w:fill="FFFFFF"/>
            <w:noWrap/>
            <w:vAlign w:val="center"/>
            <w:hideMark/>
          </w:tcPr>
          <w:p w14:paraId="09FE0E60"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Period</w:t>
            </w:r>
          </w:p>
        </w:tc>
        <w:tc>
          <w:tcPr>
            <w:tcW w:w="519" w:type="pct"/>
            <w:tcBorders>
              <w:top w:val="single" w:sz="4" w:space="0" w:color="auto"/>
              <w:left w:val="nil"/>
              <w:bottom w:val="nil"/>
              <w:right w:val="nil"/>
            </w:tcBorders>
            <w:shd w:val="clear" w:color="000000" w:fill="FFFFFF"/>
            <w:noWrap/>
            <w:vAlign w:val="center"/>
            <w:hideMark/>
          </w:tcPr>
          <w:p w14:paraId="727A2CF3"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(1)</w:t>
            </w:r>
          </w:p>
        </w:tc>
        <w:tc>
          <w:tcPr>
            <w:tcW w:w="768" w:type="pct"/>
            <w:tcBorders>
              <w:top w:val="single" w:sz="4" w:space="0" w:color="auto"/>
              <w:left w:val="nil"/>
              <w:bottom w:val="nil"/>
              <w:right w:val="nil"/>
            </w:tcBorders>
            <w:shd w:val="clear" w:color="000000" w:fill="FFFFFF"/>
            <w:noWrap/>
            <w:vAlign w:val="center"/>
            <w:hideMark/>
          </w:tcPr>
          <w:p w14:paraId="541B4955"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2)=Δ(</w:t>
            </w:r>
            <w:proofErr w:type="gramEnd"/>
            <w:r w:rsidRPr="00FF7C55">
              <w:rPr>
                <w:rFonts w:ascii="Times New Roman" w:eastAsia="Times New Roman" w:hAnsi="Times New Roman" w:cs="Times New Roman"/>
                <w:b/>
                <w:bCs/>
                <w:color w:val="000000"/>
                <w:sz w:val="16"/>
                <w:szCs w:val="16"/>
                <w:lang w:eastAsia="en-GB"/>
              </w:rPr>
              <w:t>1)/5 years</w:t>
            </w:r>
          </w:p>
        </w:tc>
        <w:tc>
          <w:tcPr>
            <w:tcW w:w="801" w:type="pct"/>
            <w:tcBorders>
              <w:top w:val="single" w:sz="4" w:space="0" w:color="auto"/>
              <w:left w:val="nil"/>
              <w:bottom w:val="nil"/>
              <w:right w:val="nil"/>
            </w:tcBorders>
            <w:shd w:val="clear" w:color="000000" w:fill="FFFFFF"/>
            <w:noWrap/>
            <w:vAlign w:val="center"/>
            <w:hideMark/>
          </w:tcPr>
          <w:p w14:paraId="35D920D0"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3)=</w:t>
            </w:r>
            <w:proofErr w:type="gramEnd"/>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4)+(</w:t>
            </w:r>
            <w:proofErr w:type="gramEnd"/>
            <w:r w:rsidRPr="00FF7C55">
              <w:rPr>
                <w:rFonts w:ascii="Times New Roman" w:eastAsia="Times New Roman" w:hAnsi="Times New Roman" w:cs="Times New Roman"/>
                <w:b/>
                <w:bCs/>
                <w:color w:val="000000"/>
                <w:sz w:val="16"/>
                <w:szCs w:val="16"/>
                <w:lang w:eastAsia="en-GB"/>
              </w:rPr>
              <w:t>7)</w:t>
            </w:r>
          </w:p>
        </w:tc>
        <w:tc>
          <w:tcPr>
            <w:tcW w:w="445" w:type="pct"/>
            <w:tcBorders>
              <w:top w:val="single" w:sz="4" w:space="0" w:color="auto"/>
              <w:left w:val="nil"/>
              <w:bottom w:val="nil"/>
              <w:right w:val="nil"/>
            </w:tcBorders>
            <w:shd w:val="clear" w:color="000000" w:fill="FFFFFF"/>
            <w:noWrap/>
            <w:vAlign w:val="center"/>
            <w:hideMark/>
          </w:tcPr>
          <w:p w14:paraId="65CCAAB8"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4)=</w:t>
            </w:r>
            <w:proofErr w:type="gramEnd"/>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5)+(</w:t>
            </w:r>
            <w:proofErr w:type="gramEnd"/>
            <w:r w:rsidRPr="00FF7C55">
              <w:rPr>
                <w:rFonts w:ascii="Times New Roman" w:eastAsia="Times New Roman" w:hAnsi="Times New Roman" w:cs="Times New Roman"/>
                <w:b/>
                <w:bCs/>
                <w:color w:val="000000"/>
                <w:sz w:val="16"/>
                <w:szCs w:val="16"/>
                <w:lang w:eastAsia="en-GB"/>
              </w:rPr>
              <w:t>6)</w:t>
            </w:r>
          </w:p>
        </w:tc>
        <w:tc>
          <w:tcPr>
            <w:tcW w:w="389" w:type="pct"/>
            <w:tcBorders>
              <w:top w:val="single" w:sz="4" w:space="0" w:color="auto"/>
              <w:left w:val="nil"/>
              <w:bottom w:val="nil"/>
              <w:right w:val="nil"/>
            </w:tcBorders>
            <w:shd w:val="clear" w:color="000000" w:fill="FFFFFF"/>
            <w:noWrap/>
            <w:vAlign w:val="center"/>
            <w:hideMark/>
          </w:tcPr>
          <w:p w14:paraId="77BE48E8"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(5)</w:t>
            </w:r>
          </w:p>
        </w:tc>
        <w:tc>
          <w:tcPr>
            <w:tcW w:w="440" w:type="pct"/>
            <w:tcBorders>
              <w:top w:val="single" w:sz="4" w:space="0" w:color="auto"/>
              <w:left w:val="nil"/>
              <w:bottom w:val="nil"/>
              <w:right w:val="nil"/>
            </w:tcBorders>
            <w:shd w:val="clear" w:color="000000" w:fill="FFFFFF"/>
            <w:noWrap/>
            <w:vAlign w:val="center"/>
            <w:hideMark/>
          </w:tcPr>
          <w:p w14:paraId="59FFD3FB"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(6)</w:t>
            </w:r>
          </w:p>
        </w:tc>
        <w:tc>
          <w:tcPr>
            <w:tcW w:w="460" w:type="pct"/>
            <w:tcBorders>
              <w:top w:val="single" w:sz="4" w:space="0" w:color="auto"/>
              <w:left w:val="nil"/>
              <w:bottom w:val="nil"/>
              <w:right w:val="nil"/>
            </w:tcBorders>
            <w:shd w:val="clear" w:color="000000" w:fill="FFFFFF"/>
            <w:noWrap/>
            <w:vAlign w:val="center"/>
            <w:hideMark/>
          </w:tcPr>
          <w:p w14:paraId="46742D02"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w:t>
            </w:r>
            <w:proofErr w:type="gramStart"/>
            <w:r w:rsidRPr="00FF7C55">
              <w:rPr>
                <w:rFonts w:ascii="Times New Roman" w:eastAsia="Times New Roman" w:hAnsi="Times New Roman" w:cs="Times New Roman"/>
                <w:b/>
                <w:bCs/>
                <w:color w:val="000000"/>
                <w:sz w:val="16"/>
                <w:szCs w:val="16"/>
                <w:lang w:eastAsia="en-GB"/>
              </w:rPr>
              <w:t>7)=</w:t>
            </w:r>
            <w:proofErr w:type="gramEnd"/>
            <w:r w:rsidRPr="00FF7C55">
              <w:rPr>
                <w:rFonts w:ascii="Times New Roman" w:eastAsia="Times New Roman" w:hAnsi="Times New Roman" w:cs="Times New Roman"/>
                <w:b/>
                <w:bCs/>
                <w:color w:val="000000"/>
                <w:sz w:val="16"/>
                <w:szCs w:val="16"/>
                <w:lang w:eastAsia="en-GB"/>
              </w:rPr>
              <w:t>(8)-(9)</w:t>
            </w:r>
          </w:p>
        </w:tc>
        <w:tc>
          <w:tcPr>
            <w:tcW w:w="329" w:type="pct"/>
            <w:tcBorders>
              <w:top w:val="single" w:sz="4" w:space="0" w:color="auto"/>
              <w:left w:val="nil"/>
              <w:bottom w:val="nil"/>
              <w:right w:val="nil"/>
            </w:tcBorders>
            <w:shd w:val="clear" w:color="000000" w:fill="FFFFFF"/>
            <w:noWrap/>
            <w:vAlign w:val="center"/>
            <w:hideMark/>
          </w:tcPr>
          <w:p w14:paraId="71EF83FC"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(8)</w:t>
            </w:r>
          </w:p>
        </w:tc>
        <w:tc>
          <w:tcPr>
            <w:tcW w:w="262" w:type="pct"/>
            <w:tcBorders>
              <w:top w:val="single" w:sz="4" w:space="0" w:color="auto"/>
              <w:left w:val="nil"/>
              <w:bottom w:val="nil"/>
              <w:right w:val="nil"/>
            </w:tcBorders>
            <w:shd w:val="clear" w:color="000000" w:fill="FFFFFF"/>
            <w:noWrap/>
            <w:vAlign w:val="center"/>
            <w:hideMark/>
          </w:tcPr>
          <w:p w14:paraId="0CA747B9"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(9)</w:t>
            </w:r>
          </w:p>
        </w:tc>
      </w:tr>
      <w:tr w:rsidR="000969C0" w:rsidRPr="00AF7AE3" w14:paraId="55A055FA" w14:textId="77777777" w:rsidTr="00BC51AA">
        <w:trPr>
          <w:trHeight w:val="496"/>
        </w:trPr>
        <w:tc>
          <w:tcPr>
            <w:tcW w:w="586" w:type="pct"/>
            <w:vMerge/>
            <w:tcBorders>
              <w:top w:val="single" w:sz="4" w:space="0" w:color="auto"/>
              <w:left w:val="nil"/>
              <w:bottom w:val="single" w:sz="4" w:space="0" w:color="000000"/>
              <w:right w:val="nil"/>
            </w:tcBorders>
            <w:vAlign w:val="center"/>
            <w:hideMark/>
          </w:tcPr>
          <w:p w14:paraId="5EA05D44"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p>
        </w:tc>
        <w:tc>
          <w:tcPr>
            <w:tcW w:w="519" w:type="pct"/>
            <w:tcBorders>
              <w:top w:val="nil"/>
              <w:left w:val="nil"/>
              <w:bottom w:val="single" w:sz="4" w:space="0" w:color="auto"/>
              <w:right w:val="nil"/>
            </w:tcBorders>
            <w:shd w:val="clear" w:color="000000" w:fill="FFFFFF"/>
            <w:noWrap/>
            <w:vAlign w:val="center"/>
            <w:hideMark/>
          </w:tcPr>
          <w:p w14:paraId="4926D7BD"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 xml:space="preserve">Weighted average ln TFP </w:t>
            </w:r>
          </w:p>
        </w:tc>
        <w:tc>
          <w:tcPr>
            <w:tcW w:w="768" w:type="pct"/>
            <w:tcBorders>
              <w:top w:val="nil"/>
              <w:left w:val="nil"/>
              <w:bottom w:val="single" w:sz="4" w:space="0" w:color="auto"/>
              <w:right w:val="nil"/>
            </w:tcBorders>
            <w:shd w:val="clear" w:color="000000" w:fill="FFFFFF"/>
            <w:noWrap/>
            <w:vAlign w:val="center"/>
            <w:hideMark/>
          </w:tcPr>
          <w:p w14:paraId="722F45EC"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TFP growth (%) annual (from column 1)</w:t>
            </w:r>
          </w:p>
        </w:tc>
        <w:tc>
          <w:tcPr>
            <w:tcW w:w="801" w:type="pct"/>
            <w:tcBorders>
              <w:top w:val="nil"/>
              <w:left w:val="nil"/>
              <w:bottom w:val="single" w:sz="4" w:space="0" w:color="auto"/>
              <w:right w:val="nil"/>
            </w:tcBorders>
            <w:shd w:val="clear" w:color="000000" w:fill="FFFFFF"/>
            <w:noWrap/>
            <w:vAlign w:val="center"/>
            <w:hideMark/>
          </w:tcPr>
          <w:p w14:paraId="1A9A6DE4"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TFP growth (%) annual (from decomposition)</w:t>
            </w:r>
          </w:p>
        </w:tc>
        <w:tc>
          <w:tcPr>
            <w:tcW w:w="445" w:type="pct"/>
            <w:tcBorders>
              <w:top w:val="nil"/>
              <w:left w:val="nil"/>
              <w:bottom w:val="single" w:sz="4" w:space="0" w:color="auto"/>
              <w:right w:val="nil"/>
            </w:tcBorders>
            <w:shd w:val="clear" w:color="000000" w:fill="FFFFFF"/>
            <w:noWrap/>
            <w:vAlign w:val="center"/>
            <w:hideMark/>
          </w:tcPr>
          <w:p w14:paraId="317680BF"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Surviving</w:t>
            </w:r>
          </w:p>
        </w:tc>
        <w:tc>
          <w:tcPr>
            <w:tcW w:w="389" w:type="pct"/>
            <w:tcBorders>
              <w:top w:val="nil"/>
              <w:left w:val="nil"/>
              <w:bottom w:val="single" w:sz="4" w:space="0" w:color="auto"/>
              <w:right w:val="nil"/>
            </w:tcBorders>
            <w:shd w:val="clear" w:color="000000" w:fill="FFFFFF"/>
            <w:noWrap/>
            <w:vAlign w:val="center"/>
            <w:hideMark/>
          </w:tcPr>
          <w:p w14:paraId="2A35ECB7"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Surviving (within)</w:t>
            </w:r>
          </w:p>
        </w:tc>
        <w:tc>
          <w:tcPr>
            <w:tcW w:w="440" w:type="pct"/>
            <w:tcBorders>
              <w:top w:val="nil"/>
              <w:left w:val="nil"/>
              <w:bottom w:val="single" w:sz="4" w:space="0" w:color="auto"/>
              <w:right w:val="nil"/>
            </w:tcBorders>
            <w:shd w:val="clear" w:color="000000" w:fill="FFFFFF"/>
            <w:noWrap/>
            <w:vAlign w:val="center"/>
            <w:hideMark/>
          </w:tcPr>
          <w:p w14:paraId="71C6ED56"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Surviving (between)</w:t>
            </w:r>
          </w:p>
        </w:tc>
        <w:tc>
          <w:tcPr>
            <w:tcW w:w="460" w:type="pct"/>
            <w:tcBorders>
              <w:top w:val="nil"/>
              <w:left w:val="nil"/>
              <w:bottom w:val="single" w:sz="4" w:space="0" w:color="auto"/>
              <w:right w:val="nil"/>
            </w:tcBorders>
            <w:shd w:val="clear" w:color="000000" w:fill="FFFFFF"/>
            <w:noWrap/>
            <w:vAlign w:val="center"/>
            <w:hideMark/>
          </w:tcPr>
          <w:p w14:paraId="778BF9AB"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Net entrants</w:t>
            </w:r>
          </w:p>
        </w:tc>
        <w:tc>
          <w:tcPr>
            <w:tcW w:w="329" w:type="pct"/>
            <w:tcBorders>
              <w:top w:val="nil"/>
              <w:left w:val="nil"/>
              <w:bottom w:val="single" w:sz="4" w:space="0" w:color="auto"/>
              <w:right w:val="nil"/>
            </w:tcBorders>
            <w:shd w:val="clear" w:color="000000" w:fill="FFFFFF"/>
            <w:noWrap/>
            <w:vAlign w:val="center"/>
            <w:hideMark/>
          </w:tcPr>
          <w:p w14:paraId="4FF61805"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Entering</w:t>
            </w:r>
          </w:p>
        </w:tc>
        <w:tc>
          <w:tcPr>
            <w:tcW w:w="262" w:type="pct"/>
            <w:tcBorders>
              <w:top w:val="nil"/>
              <w:left w:val="nil"/>
              <w:bottom w:val="single" w:sz="4" w:space="0" w:color="auto"/>
              <w:right w:val="nil"/>
            </w:tcBorders>
            <w:shd w:val="clear" w:color="000000" w:fill="FFFFFF"/>
            <w:noWrap/>
            <w:vAlign w:val="center"/>
            <w:hideMark/>
          </w:tcPr>
          <w:p w14:paraId="2F045E3F"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Exiting</w:t>
            </w:r>
          </w:p>
        </w:tc>
      </w:tr>
      <w:tr w:rsidR="000969C0" w:rsidRPr="00AF7AE3" w14:paraId="4122055D" w14:textId="77777777" w:rsidTr="00BC51AA">
        <w:trPr>
          <w:trHeight w:val="240"/>
        </w:trPr>
        <w:tc>
          <w:tcPr>
            <w:tcW w:w="586" w:type="pct"/>
            <w:tcBorders>
              <w:top w:val="nil"/>
              <w:left w:val="nil"/>
              <w:bottom w:val="nil"/>
              <w:right w:val="nil"/>
            </w:tcBorders>
            <w:shd w:val="clear" w:color="000000" w:fill="D9D9D9"/>
            <w:noWrap/>
            <w:vAlign w:val="center"/>
            <w:hideMark/>
          </w:tcPr>
          <w:p w14:paraId="030F2F6A" w14:textId="77777777" w:rsidR="000969C0" w:rsidRPr="00FF7C55" w:rsidRDefault="000969C0"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1993-1998</w:t>
            </w:r>
          </w:p>
        </w:tc>
        <w:tc>
          <w:tcPr>
            <w:tcW w:w="519" w:type="pct"/>
            <w:tcBorders>
              <w:top w:val="nil"/>
              <w:left w:val="nil"/>
              <w:bottom w:val="nil"/>
              <w:right w:val="nil"/>
            </w:tcBorders>
            <w:shd w:val="clear" w:color="000000" w:fill="D9D9D9"/>
            <w:noWrap/>
            <w:vAlign w:val="center"/>
            <w:hideMark/>
          </w:tcPr>
          <w:p w14:paraId="789AB5F1"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-1.06</w:t>
            </w:r>
          </w:p>
        </w:tc>
        <w:tc>
          <w:tcPr>
            <w:tcW w:w="768" w:type="pct"/>
            <w:tcBorders>
              <w:top w:val="nil"/>
              <w:left w:val="nil"/>
              <w:bottom w:val="nil"/>
              <w:right w:val="nil"/>
            </w:tcBorders>
            <w:shd w:val="clear" w:color="000000" w:fill="D9D9D9"/>
            <w:noWrap/>
            <w:vAlign w:val="center"/>
            <w:hideMark/>
          </w:tcPr>
          <w:p w14:paraId="6242E6D9"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801" w:type="pct"/>
            <w:tcBorders>
              <w:top w:val="nil"/>
              <w:left w:val="nil"/>
              <w:bottom w:val="nil"/>
              <w:right w:val="nil"/>
            </w:tcBorders>
            <w:shd w:val="clear" w:color="000000" w:fill="D9D9D9"/>
            <w:noWrap/>
            <w:vAlign w:val="center"/>
            <w:hideMark/>
          </w:tcPr>
          <w:p w14:paraId="3B9EECD2"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445" w:type="pct"/>
            <w:tcBorders>
              <w:top w:val="nil"/>
              <w:left w:val="nil"/>
              <w:bottom w:val="nil"/>
              <w:right w:val="nil"/>
            </w:tcBorders>
            <w:shd w:val="clear" w:color="000000" w:fill="D9D9D9"/>
            <w:noWrap/>
            <w:vAlign w:val="center"/>
            <w:hideMark/>
          </w:tcPr>
          <w:p w14:paraId="5AF013E5"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389" w:type="pct"/>
            <w:tcBorders>
              <w:top w:val="nil"/>
              <w:left w:val="nil"/>
              <w:bottom w:val="nil"/>
              <w:right w:val="nil"/>
            </w:tcBorders>
            <w:shd w:val="clear" w:color="000000" w:fill="D9D9D9"/>
            <w:noWrap/>
            <w:vAlign w:val="center"/>
            <w:hideMark/>
          </w:tcPr>
          <w:p w14:paraId="47382FB4"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440" w:type="pct"/>
            <w:tcBorders>
              <w:top w:val="nil"/>
              <w:left w:val="nil"/>
              <w:bottom w:val="nil"/>
              <w:right w:val="nil"/>
            </w:tcBorders>
            <w:shd w:val="clear" w:color="000000" w:fill="D9D9D9"/>
            <w:noWrap/>
            <w:vAlign w:val="center"/>
            <w:hideMark/>
          </w:tcPr>
          <w:p w14:paraId="518ADB5D"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460" w:type="pct"/>
            <w:tcBorders>
              <w:top w:val="nil"/>
              <w:left w:val="nil"/>
              <w:bottom w:val="nil"/>
              <w:right w:val="nil"/>
            </w:tcBorders>
            <w:shd w:val="clear" w:color="000000" w:fill="D9D9D9"/>
            <w:noWrap/>
            <w:vAlign w:val="center"/>
            <w:hideMark/>
          </w:tcPr>
          <w:p w14:paraId="570E69DB"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329" w:type="pct"/>
            <w:tcBorders>
              <w:top w:val="nil"/>
              <w:left w:val="nil"/>
              <w:bottom w:val="nil"/>
              <w:right w:val="nil"/>
            </w:tcBorders>
            <w:shd w:val="clear" w:color="000000" w:fill="D9D9D9"/>
            <w:noWrap/>
            <w:vAlign w:val="center"/>
            <w:hideMark/>
          </w:tcPr>
          <w:p w14:paraId="5EFFE60D"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c>
          <w:tcPr>
            <w:tcW w:w="262" w:type="pct"/>
            <w:tcBorders>
              <w:top w:val="nil"/>
              <w:left w:val="nil"/>
              <w:bottom w:val="nil"/>
              <w:right w:val="nil"/>
            </w:tcBorders>
            <w:shd w:val="clear" w:color="000000" w:fill="D9D9D9"/>
            <w:noWrap/>
            <w:vAlign w:val="center"/>
            <w:hideMark/>
          </w:tcPr>
          <w:p w14:paraId="1A29655B"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w:t>
            </w:r>
          </w:p>
        </w:tc>
      </w:tr>
      <w:tr w:rsidR="000969C0" w:rsidRPr="00AF7AE3" w14:paraId="13CE8F43" w14:textId="77777777" w:rsidTr="00BC51AA">
        <w:trPr>
          <w:trHeight w:val="240"/>
        </w:trPr>
        <w:tc>
          <w:tcPr>
            <w:tcW w:w="586" w:type="pct"/>
            <w:tcBorders>
              <w:top w:val="nil"/>
              <w:left w:val="nil"/>
              <w:bottom w:val="nil"/>
              <w:right w:val="nil"/>
            </w:tcBorders>
            <w:shd w:val="clear" w:color="000000" w:fill="FFFFFF"/>
            <w:noWrap/>
            <w:vAlign w:val="center"/>
            <w:hideMark/>
          </w:tcPr>
          <w:p w14:paraId="51348831" w14:textId="77777777" w:rsidR="000969C0" w:rsidRPr="00FF7C55" w:rsidRDefault="000969C0"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1998-2003</w:t>
            </w:r>
          </w:p>
        </w:tc>
        <w:tc>
          <w:tcPr>
            <w:tcW w:w="519" w:type="pct"/>
            <w:tcBorders>
              <w:top w:val="nil"/>
              <w:left w:val="nil"/>
              <w:bottom w:val="nil"/>
              <w:right w:val="nil"/>
            </w:tcBorders>
            <w:shd w:val="clear" w:color="000000" w:fill="FFFFFF"/>
            <w:noWrap/>
            <w:vAlign w:val="center"/>
            <w:hideMark/>
          </w:tcPr>
          <w:p w14:paraId="67599D9C"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-0.81</w:t>
            </w:r>
          </w:p>
        </w:tc>
        <w:tc>
          <w:tcPr>
            <w:tcW w:w="768" w:type="pct"/>
            <w:tcBorders>
              <w:top w:val="nil"/>
              <w:left w:val="nil"/>
              <w:bottom w:val="nil"/>
              <w:right w:val="nil"/>
            </w:tcBorders>
            <w:shd w:val="clear" w:color="000000" w:fill="FFFFFF"/>
            <w:noWrap/>
            <w:vAlign w:val="center"/>
            <w:hideMark/>
          </w:tcPr>
          <w:p w14:paraId="74005365"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4.90 </w:t>
            </w:r>
          </w:p>
        </w:tc>
        <w:tc>
          <w:tcPr>
            <w:tcW w:w="801" w:type="pct"/>
            <w:tcBorders>
              <w:top w:val="nil"/>
              <w:left w:val="nil"/>
              <w:bottom w:val="nil"/>
              <w:right w:val="nil"/>
            </w:tcBorders>
            <w:shd w:val="clear" w:color="000000" w:fill="FFFFFF"/>
            <w:noWrap/>
            <w:vAlign w:val="center"/>
            <w:hideMark/>
          </w:tcPr>
          <w:p w14:paraId="4B8C2ED8"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4.90 </w:t>
            </w:r>
          </w:p>
        </w:tc>
        <w:tc>
          <w:tcPr>
            <w:tcW w:w="445" w:type="pct"/>
            <w:tcBorders>
              <w:top w:val="nil"/>
              <w:left w:val="nil"/>
              <w:bottom w:val="nil"/>
              <w:right w:val="nil"/>
            </w:tcBorders>
            <w:shd w:val="clear" w:color="000000" w:fill="FFFFFF"/>
            <w:noWrap/>
            <w:vAlign w:val="center"/>
            <w:hideMark/>
          </w:tcPr>
          <w:p w14:paraId="5BEDF6B3"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0.83 </w:t>
            </w:r>
          </w:p>
        </w:tc>
        <w:tc>
          <w:tcPr>
            <w:tcW w:w="389" w:type="pct"/>
            <w:tcBorders>
              <w:top w:val="nil"/>
              <w:left w:val="nil"/>
              <w:bottom w:val="nil"/>
              <w:right w:val="nil"/>
            </w:tcBorders>
            <w:shd w:val="clear" w:color="000000" w:fill="FFFFFF"/>
            <w:noWrap/>
            <w:vAlign w:val="center"/>
            <w:hideMark/>
          </w:tcPr>
          <w:p w14:paraId="531E0FE3"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0.48 </w:t>
            </w:r>
          </w:p>
        </w:tc>
        <w:tc>
          <w:tcPr>
            <w:tcW w:w="440" w:type="pct"/>
            <w:tcBorders>
              <w:top w:val="nil"/>
              <w:left w:val="nil"/>
              <w:bottom w:val="nil"/>
              <w:right w:val="nil"/>
            </w:tcBorders>
            <w:shd w:val="clear" w:color="000000" w:fill="FFFFFF"/>
            <w:noWrap/>
            <w:vAlign w:val="center"/>
            <w:hideMark/>
          </w:tcPr>
          <w:p w14:paraId="43544FA8"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0.36 </w:t>
            </w:r>
          </w:p>
        </w:tc>
        <w:tc>
          <w:tcPr>
            <w:tcW w:w="460" w:type="pct"/>
            <w:tcBorders>
              <w:top w:val="nil"/>
              <w:left w:val="nil"/>
              <w:bottom w:val="nil"/>
              <w:right w:val="nil"/>
            </w:tcBorders>
            <w:shd w:val="clear" w:color="000000" w:fill="FFFFFF"/>
            <w:noWrap/>
            <w:vAlign w:val="center"/>
            <w:hideMark/>
          </w:tcPr>
          <w:p w14:paraId="1480B1DB"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4.06 </w:t>
            </w:r>
          </w:p>
        </w:tc>
        <w:tc>
          <w:tcPr>
            <w:tcW w:w="329" w:type="pct"/>
            <w:tcBorders>
              <w:top w:val="nil"/>
              <w:left w:val="nil"/>
              <w:bottom w:val="nil"/>
              <w:right w:val="nil"/>
            </w:tcBorders>
            <w:shd w:val="clear" w:color="000000" w:fill="FFFFFF"/>
            <w:noWrap/>
            <w:vAlign w:val="center"/>
            <w:hideMark/>
          </w:tcPr>
          <w:p w14:paraId="2833DF86"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2.85 </w:t>
            </w:r>
          </w:p>
        </w:tc>
        <w:tc>
          <w:tcPr>
            <w:tcW w:w="262" w:type="pct"/>
            <w:tcBorders>
              <w:top w:val="nil"/>
              <w:left w:val="nil"/>
              <w:bottom w:val="nil"/>
              <w:right w:val="nil"/>
            </w:tcBorders>
            <w:shd w:val="clear" w:color="000000" w:fill="FFFFFF"/>
            <w:noWrap/>
            <w:vAlign w:val="center"/>
            <w:hideMark/>
          </w:tcPr>
          <w:p w14:paraId="6912DDA9"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-1.21 </w:t>
            </w:r>
          </w:p>
        </w:tc>
      </w:tr>
      <w:tr w:rsidR="000969C0" w:rsidRPr="00AF7AE3" w14:paraId="26DD1BCA" w14:textId="77777777" w:rsidTr="00BC51AA">
        <w:trPr>
          <w:trHeight w:val="240"/>
        </w:trPr>
        <w:tc>
          <w:tcPr>
            <w:tcW w:w="586" w:type="pct"/>
            <w:tcBorders>
              <w:top w:val="nil"/>
              <w:left w:val="nil"/>
              <w:bottom w:val="nil"/>
              <w:right w:val="nil"/>
            </w:tcBorders>
            <w:shd w:val="clear" w:color="000000" w:fill="D9D9D9"/>
            <w:noWrap/>
            <w:vAlign w:val="center"/>
            <w:hideMark/>
          </w:tcPr>
          <w:p w14:paraId="765AC245" w14:textId="77777777" w:rsidR="000969C0" w:rsidRPr="00FF7C55" w:rsidRDefault="000969C0"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2003-2008</w:t>
            </w:r>
          </w:p>
        </w:tc>
        <w:tc>
          <w:tcPr>
            <w:tcW w:w="519" w:type="pct"/>
            <w:tcBorders>
              <w:top w:val="nil"/>
              <w:left w:val="nil"/>
              <w:bottom w:val="nil"/>
              <w:right w:val="nil"/>
            </w:tcBorders>
            <w:shd w:val="clear" w:color="000000" w:fill="D9D9D9"/>
            <w:noWrap/>
            <w:vAlign w:val="center"/>
            <w:hideMark/>
          </w:tcPr>
          <w:p w14:paraId="12DBD578"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-1.04</w:t>
            </w:r>
          </w:p>
        </w:tc>
        <w:tc>
          <w:tcPr>
            <w:tcW w:w="768" w:type="pct"/>
            <w:tcBorders>
              <w:top w:val="nil"/>
              <w:left w:val="nil"/>
              <w:bottom w:val="nil"/>
              <w:right w:val="nil"/>
            </w:tcBorders>
            <w:shd w:val="clear" w:color="000000" w:fill="D9D9D9"/>
            <w:noWrap/>
            <w:vAlign w:val="center"/>
            <w:hideMark/>
          </w:tcPr>
          <w:p w14:paraId="16990E93"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-4.51 </w:t>
            </w:r>
          </w:p>
        </w:tc>
        <w:tc>
          <w:tcPr>
            <w:tcW w:w="801" w:type="pct"/>
            <w:tcBorders>
              <w:top w:val="nil"/>
              <w:left w:val="nil"/>
              <w:bottom w:val="nil"/>
              <w:right w:val="nil"/>
            </w:tcBorders>
            <w:shd w:val="clear" w:color="000000" w:fill="D9D9D9"/>
            <w:noWrap/>
            <w:vAlign w:val="center"/>
            <w:hideMark/>
          </w:tcPr>
          <w:p w14:paraId="08D0D6CD"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-4.51 </w:t>
            </w:r>
          </w:p>
        </w:tc>
        <w:tc>
          <w:tcPr>
            <w:tcW w:w="445" w:type="pct"/>
            <w:tcBorders>
              <w:top w:val="nil"/>
              <w:left w:val="nil"/>
              <w:bottom w:val="nil"/>
              <w:right w:val="nil"/>
            </w:tcBorders>
            <w:shd w:val="clear" w:color="000000" w:fill="D9D9D9"/>
            <w:noWrap/>
            <w:vAlign w:val="center"/>
            <w:hideMark/>
          </w:tcPr>
          <w:p w14:paraId="4ECD2F31"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-3.47 </w:t>
            </w:r>
          </w:p>
        </w:tc>
        <w:tc>
          <w:tcPr>
            <w:tcW w:w="389" w:type="pct"/>
            <w:tcBorders>
              <w:top w:val="nil"/>
              <w:left w:val="nil"/>
              <w:bottom w:val="nil"/>
              <w:right w:val="nil"/>
            </w:tcBorders>
            <w:shd w:val="clear" w:color="000000" w:fill="D9D9D9"/>
            <w:noWrap/>
            <w:vAlign w:val="center"/>
            <w:hideMark/>
          </w:tcPr>
          <w:p w14:paraId="309857E6"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-5.73 </w:t>
            </w:r>
          </w:p>
        </w:tc>
        <w:tc>
          <w:tcPr>
            <w:tcW w:w="440" w:type="pct"/>
            <w:tcBorders>
              <w:top w:val="nil"/>
              <w:left w:val="nil"/>
              <w:bottom w:val="nil"/>
              <w:right w:val="nil"/>
            </w:tcBorders>
            <w:shd w:val="clear" w:color="000000" w:fill="D9D9D9"/>
            <w:noWrap/>
            <w:vAlign w:val="center"/>
            <w:hideMark/>
          </w:tcPr>
          <w:p w14:paraId="5F70D803"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2.26 </w:t>
            </w:r>
          </w:p>
        </w:tc>
        <w:tc>
          <w:tcPr>
            <w:tcW w:w="460" w:type="pct"/>
            <w:tcBorders>
              <w:top w:val="nil"/>
              <w:left w:val="nil"/>
              <w:bottom w:val="nil"/>
              <w:right w:val="nil"/>
            </w:tcBorders>
            <w:shd w:val="clear" w:color="000000" w:fill="D9D9D9"/>
            <w:noWrap/>
            <w:vAlign w:val="center"/>
            <w:hideMark/>
          </w:tcPr>
          <w:p w14:paraId="071BD38B"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-1.04 </w:t>
            </w:r>
          </w:p>
        </w:tc>
        <w:tc>
          <w:tcPr>
            <w:tcW w:w="329" w:type="pct"/>
            <w:tcBorders>
              <w:top w:val="nil"/>
              <w:left w:val="nil"/>
              <w:bottom w:val="nil"/>
              <w:right w:val="nil"/>
            </w:tcBorders>
            <w:shd w:val="clear" w:color="000000" w:fill="D9D9D9"/>
            <w:noWrap/>
            <w:vAlign w:val="center"/>
            <w:hideMark/>
          </w:tcPr>
          <w:p w14:paraId="518F36EA"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-0.62 </w:t>
            </w:r>
          </w:p>
        </w:tc>
        <w:tc>
          <w:tcPr>
            <w:tcW w:w="262" w:type="pct"/>
            <w:tcBorders>
              <w:top w:val="nil"/>
              <w:left w:val="nil"/>
              <w:bottom w:val="nil"/>
              <w:right w:val="nil"/>
            </w:tcBorders>
            <w:shd w:val="clear" w:color="000000" w:fill="D9D9D9"/>
            <w:noWrap/>
            <w:vAlign w:val="center"/>
            <w:hideMark/>
          </w:tcPr>
          <w:p w14:paraId="7E3A8A6B"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0.42 </w:t>
            </w:r>
          </w:p>
        </w:tc>
      </w:tr>
      <w:tr w:rsidR="000969C0" w:rsidRPr="00AF7AE3" w14:paraId="60CCD261" w14:textId="77777777" w:rsidTr="00BC51AA">
        <w:trPr>
          <w:trHeight w:val="240"/>
        </w:trPr>
        <w:tc>
          <w:tcPr>
            <w:tcW w:w="586" w:type="pct"/>
            <w:tcBorders>
              <w:top w:val="nil"/>
              <w:left w:val="nil"/>
              <w:bottom w:val="nil"/>
              <w:right w:val="nil"/>
            </w:tcBorders>
            <w:shd w:val="clear" w:color="000000" w:fill="FFFFFF"/>
            <w:noWrap/>
            <w:vAlign w:val="center"/>
            <w:hideMark/>
          </w:tcPr>
          <w:p w14:paraId="0B7FE409" w14:textId="77777777" w:rsidR="000969C0" w:rsidRPr="00FF7C55" w:rsidRDefault="000969C0"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2008-2013</w:t>
            </w:r>
          </w:p>
        </w:tc>
        <w:tc>
          <w:tcPr>
            <w:tcW w:w="519" w:type="pct"/>
            <w:tcBorders>
              <w:top w:val="nil"/>
              <w:left w:val="nil"/>
              <w:bottom w:val="nil"/>
              <w:right w:val="nil"/>
            </w:tcBorders>
            <w:shd w:val="clear" w:color="000000" w:fill="FFFFFF"/>
            <w:noWrap/>
            <w:vAlign w:val="center"/>
            <w:hideMark/>
          </w:tcPr>
          <w:p w14:paraId="445BE3F8"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-1.01</w:t>
            </w:r>
          </w:p>
        </w:tc>
        <w:tc>
          <w:tcPr>
            <w:tcW w:w="768" w:type="pct"/>
            <w:tcBorders>
              <w:top w:val="nil"/>
              <w:left w:val="nil"/>
              <w:bottom w:val="nil"/>
              <w:right w:val="nil"/>
            </w:tcBorders>
            <w:shd w:val="clear" w:color="000000" w:fill="FFFFFF"/>
            <w:noWrap/>
            <w:vAlign w:val="center"/>
            <w:hideMark/>
          </w:tcPr>
          <w:p w14:paraId="14456B80"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0.57 </w:t>
            </w:r>
          </w:p>
        </w:tc>
        <w:tc>
          <w:tcPr>
            <w:tcW w:w="801" w:type="pct"/>
            <w:tcBorders>
              <w:top w:val="nil"/>
              <w:left w:val="nil"/>
              <w:bottom w:val="nil"/>
              <w:right w:val="nil"/>
            </w:tcBorders>
            <w:shd w:val="clear" w:color="000000" w:fill="FFFFFF"/>
            <w:noWrap/>
            <w:vAlign w:val="center"/>
            <w:hideMark/>
          </w:tcPr>
          <w:p w14:paraId="4639CF23"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0.57 </w:t>
            </w:r>
          </w:p>
        </w:tc>
        <w:tc>
          <w:tcPr>
            <w:tcW w:w="445" w:type="pct"/>
            <w:tcBorders>
              <w:top w:val="nil"/>
              <w:left w:val="nil"/>
              <w:bottom w:val="nil"/>
              <w:right w:val="nil"/>
            </w:tcBorders>
            <w:shd w:val="clear" w:color="000000" w:fill="FFFFFF"/>
            <w:noWrap/>
            <w:vAlign w:val="center"/>
            <w:hideMark/>
          </w:tcPr>
          <w:p w14:paraId="32CC500D"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0.75 </w:t>
            </w:r>
          </w:p>
        </w:tc>
        <w:tc>
          <w:tcPr>
            <w:tcW w:w="389" w:type="pct"/>
            <w:tcBorders>
              <w:top w:val="nil"/>
              <w:left w:val="nil"/>
              <w:bottom w:val="nil"/>
              <w:right w:val="nil"/>
            </w:tcBorders>
            <w:shd w:val="clear" w:color="000000" w:fill="FFFFFF"/>
            <w:noWrap/>
            <w:vAlign w:val="center"/>
            <w:hideMark/>
          </w:tcPr>
          <w:p w14:paraId="6327D07F"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0.37 </w:t>
            </w:r>
          </w:p>
        </w:tc>
        <w:tc>
          <w:tcPr>
            <w:tcW w:w="440" w:type="pct"/>
            <w:tcBorders>
              <w:top w:val="nil"/>
              <w:left w:val="nil"/>
              <w:bottom w:val="nil"/>
              <w:right w:val="nil"/>
            </w:tcBorders>
            <w:shd w:val="clear" w:color="000000" w:fill="FFFFFF"/>
            <w:noWrap/>
            <w:vAlign w:val="center"/>
            <w:hideMark/>
          </w:tcPr>
          <w:p w14:paraId="097686CF"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0.38 </w:t>
            </w:r>
          </w:p>
        </w:tc>
        <w:tc>
          <w:tcPr>
            <w:tcW w:w="460" w:type="pct"/>
            <w:tcBorders>
              <w:top w:val="nil"/>
              <w:left w:val="nil"/>
              <w:bottom w:val="nil"/>
              <w:right w:val="nil"/>
            </w:tcBorders>
            <w:shd w:val="clear" w:color="000000" w:fill="FFFFFF"/>
            <w:noWrap/>
            <w:vAlign w:val="center"/>
            <w:hideMark/>
          </w:tcPr>
          <w:p w14:paraId="231E718B"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-0.18 </w:t>
            </w:r>
          </w:p>
        </w:tc>
        <w:tc>
          <w:tcPr>
            <w:tcW w:w="329" w:type="pct"/>
            <w:tcBorders>
              <w:top w:val="nil"/>
              <w:left w:val="nil"/>
              <w:bottom w:val="nil"/>
              <w:right w:val="nil"/>
            </w:tcBorders>
            <w:shd w:val="clear" w:color="000000" w:fill="FFFFFF"/>
            <w:noWrap/>
            <w:vAlign w:val="center"/>
            <w:hideMark/>
          </w:tcPr>
          <w:p w14:paraId="61F699C4"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-0.37 </w:t>
            </w:r>
          </w:p>
        </w:tc>
        <w:tc>
          <w:tcPr>
            <w:tcW w:w="262" w:type="pct"/>
            <w:tcBorders>
              <w:top w:val="nil"/>
              <w:left w:val="nil"/>
              <w:bottom w:val="nil"/>
              <w:right w:val="nil"/>
            </w:tcBorders>
            <w:shd w:val="clear" w:color="000000" w:fill="FFFFFF"/>
            <w:noWrap/>
            <w:vAlign w:val="center"/>
            <w:hideMark/>
          </w:tcPr>
          <w:p w14:paraId="4C75DDDA"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-0.19 </w:t>
            </w:r>
          </w:p>
        </w:tc>
      </w:tr>
      <w:tr w:rsidR="000969C0" w:rsidRPr="00AF7AE3" w14:paraId="4A5965CA" w14:textId="77777777" w:rsidTr="00BC51AA">
        <w:trPr>
          <w:trHeight w:val="240"/>
        </w:trPr>
        <w:tc>
          <w:tcPr>
            <w:tcW w:w="586" w:type="pct"/>
            <w:tcBorders>
              <w:top w:val="nil"/>
              <w:left w:val="nil"/>
              <w:bottom w:val="nil"/>
              <w:right w:val="nil"/>
            </w:tcBorders>
            <w:shd w:val="clear" w:color="000000" w:fill="D9D9D9"/>
            <w:noWrap/>
            <w:vAlign w:val="center"/>
            <w:hideMark/>
          </w:tcPr>
          <w:p w14:paraId="2CAFB971" w14:textId="77777777" w:rsidR="000969C0" w:rsidRPr="00FF7C55" w:rsidRDefault="000969C0"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2013-2018</w:t>
            </w:r>
          </w:p>
        </w:tc>
        <w:tc>
          <w:tcPr>
            <w:tcW w:w="519" w:type="pct"/>
            <w:tcBorders>
              <w:top w:val="nil"/>
              <w:left w:val="nil"/>
              <w:bottom w:val="nil"/>
              <w:right w:val="nil"/>
            </w:tcBorders>
            <w:shd w:val="clear" w:color="000000" w:fill="D9D9D9"/>
            <w:noWrap/>
            <w:vAlign w:val="center"/>
            <w:hideMark/>
          </w:tcPr>
          <w:p w14:paraId="6C69F499"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-1.01</w:t>
            </w:r>
          </w:p>
        </w:tc>
        <w:tc>
          <w:tcPr>
            <w:tcW w:w="768" w:type="pct"/>
            <w:tcBorders>
              <w:top w:val="nil"/>
              <w:left w:val="nil"/>
              <w:bottom w:val="nil"/>
              <w:right w:val="nil"/>
            </w:tcBorders>
            <w:shd w:val="clear" w:color="000000" w:fill="D9D9D9"/>
            <w:noWrap/>
            <w:vAlign w:val="center"/>
            <w:hideMark/>
          </w:tcPr>
          <w:p w14:paraId="37D9758A"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0.05 </w:t>
            </w:r>
          </w:p>
        </w:tc>
        <w:tc>
          <w:tcPr>
            <w:tcW w:w="801" w:type="pct"/>
            <w:tcBorders>
              <w:top w:val="nil"/>
              <w:left w:val="nil"/>
              <w:bottom w:val="nil"/>
              <w:right w:val="nil"/>
            </w:tcBorders>
            <w:shd w:val="clear" w:color="000000" w:fill="D9D9D9"/>
            <w:noWrap/>
            <w:vAlign w:val="center"/>
            <w:hideMark/>
          </w:tcPr>
          <w:p w14:paraId="2C7EEE99"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0.05 </w:t>
            </w:r>
          </w:p>
        </w:tc>
        <w:tc>
          <w:tcPr>
            <w:tcW w:w="445" w:type="pct"/>
            <w:tcBorders>
              <w:top w:val="nil"/>
              <w:left w:val="nil"/>
              <w:bottom w:val="nil"/>
              <w:right w:val="nil"/>
            </w:tcBorders>
            <w:shd w:val="clear" w:color="000000" w:fill="D9D9D9"/>
            <w:noWrap/>
            <w:vAlign w:val="center"/>
            <w:hideMark/>
          </w:tcPr>
          <w:p w14:paraId="1C9437A7"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0.15 </w:t>
            </w:r>
          </w:p>
        </w:tc>
        <w:tc>
          <w:tcPr>
            <w:tcW w:w="389" w:type="pct"/>
            <w:tcBorders>
              <w:top w:val="nil"/>
              <w:left w:val="nil"/>
              <w:bottom w:val="nil"/>
              <w:right w:val="nil"/>
            </w:tcBorders>
            <w:shd w:val="clear" w:color="000000" w:fill="D9D9D9"/>
            <w:noWrap/>
            <w:vAlign w:val="center"/>
            <w:hideMark/>
          </w:tcPr>
          <w:p w14:paraId="7D27D3DC"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0.03 </w:t>
            </w:r>
          </w:p>
        </w:tc>
        <w:tc>
          <w:tcPr>
            <w:tcW w:w="440" w:type="pct"/>
            <w:tcBorders>
              <w:top w:val="nil"/>
              <w:left w:val="nil"/>
              <w:bottom w:val="nil"/>
              <w:right w:val="nil"/>
            </w:tcBorders>
            <w:shd w:val="clear" w:color="000000" w:fill="D9D9D9"/>
            <w:noWrap/>
            <w:vAlign w:val="center"/>
            <w:hideMark/>
          </w:tcPr>
          <w:p w14:paraId="7BF7A916"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0.12 </w:t>
            </w:r>
          </w:p>
        </w:tc>
        <w:tc>
          <w:tcPr>
            <w:tcW w:w="460" w:type="pct"/>
            <w:tcBorders>
              <w:top w:val="nil"/>
              <w:left w:val="nil"/>
              <w:bottom w:val="nil"/>
              <w:right w:val="nil"/>
            </w:tcBorders>
            <w:shd w:val="clear" w:color="000000" w:fill="D9D9D9"/>
            <w:noWrap/>
            <w:vAlign w:val="center"/>
            <w:hideMark/>
          </w:tcPr>
          <w:p w14:paraId="671EAF18"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-0.10 </w:t>
            </w:r>
          </w:p>
        </w:tc>
        <w:tc>
          <w:tcPr>
            <w:tcW w:w="329" w:type="pct"/>
            <w:tcBorders>
              <w:top w:val="nil"/>
              <w:left w:val="nil"/>
              <w:bottom w:val="nil"/>
              <w:right w:val="nil"/>
            </w:tcBorders>
            <w:shd w:val="clear" w:color="000000" w:fill="D9D9D9"/>
            <w:noWrap/>
            <w:vAlign w:val="center"/>
            <w:hideMark/>
          </w:tcPr>
          <w:p w14:paraId="1F302089"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-0.62 </w:t>
            </w:r>
          </w:p>
        </w:tc>
        <w:tc>
          <w:tcPr>
            <w:tcW w:w="262" w:type="pct"/>
            <w:tcBorders>
              <w:top w:val="nil"/>
              <w:left w:val="nil"/>
              <w:bottom w:val="nil"/>
              <w:right w:val="nil"/>
            </w:tcBorders>
            <w:shd w:val="clear" w:color="000000" w:fill="D9D9D9"/>
            <w:noWrap/>
            <w:vAlign w:val="center"/>
            <w:hideMark/>
          </w:tcPr>
          <w:p w14:paraId="145CE211"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-0.52 </w:t>
            </w:r>
          </w:p>
        </w:tc>
      </w:tr>
      <w:tr w:rsidR="000969C0" w:rsidRPr="00AF7AE3" w14:paraId="75668A40" w14:textId="77777777" w:rsidTr="00BC51AA">
        <w:trPr>
          <w:trHeight w:val="240"/>
        </w:trPr>
        <w:tc>
          <w:tcPr>
            <w:tcW w:w="586" w:type="pct"/>
            <w:tcBorders>
              <w:top w:val="nil"/>
              <w:left w:val="nil"/>
              <w:bottom w:val="nil"/>
              <w:right w:val="nil"/>
            </w:tcBorders>
            <w:shd w:val="clear" w:color="000000" w:fill="FFFFFF"/>
            <w:noWrap/>
            <w:vAlign w:val="center"/>
            <w:hideMark/>
          </w:tcPr>
          <w:p w14:paraId="62A2D863" w14:textId="77777777" w:rsidR="000969C0" w:rsidRPr="00FF7C55" w:rsidRDefault="000969C0" w:rsidP="00C939D1">
            <w:pPr>
              <w:spacing w:after="0" w:line="240" w:lineRule="auto"/>
              <w:jc w:val="both"/>
              <w:rPr>
                <w:rFonts w:ascii="Times New Roman" w:eastAsia="Times New Roman" w:hAnsi="Times New Roman" w:cs="Times New Roman"/>
                <w:color w:val="000000"/>
                <w:sz w:val="16"/>
                <w:szCs w:val="16"/>
                <w:lang w:eastAsia="en-GB"/>
              </w:rPr>
            </w:pPr>
            <w:r w:rsidRPr="00FF7C55">
              <w:rPr>
                <w:rFonts w:ascii="Times New Roman" w:eastAsia="Times New Roman" w:hAnsi="Times New Roman" w:cs="Times New Roman"/>
                <w:color w:val="000000"/>
                <w:sz w:val="16"/>
                <w:szCs w:val="16"/>
                <w:lang w:eastAsia="en-GB"/>
              </w:rPr>
              <w:t>2018-2023</w:t>
            </w:r>
          </w:p>
        </w:tc>
        <w:tc>
          <w:tcPr>
            <w:tcW w:w="519" w:type="pct"/>
            <w:tcBorders>
              <w:top w:val="nil"/>
              <w:left w:val="nil"/>
              <w:bottom w:val="nil"/>
              <w:right w:val="nil"/>
            </w:tcBorders>
            <w:shd w:val="clear" w:color="000000" w:fill="FFFFFF"/>
            <w:noWrap/>
            <w:vAlign w:val="center"/>
            <w:hideMark/>
          </w:tcPr>
          <w:p w14:paraId="1C543E49"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-0.92</w:t>
            </w:r>
          </w:p>
        </w:tc>
        <w:tc>
          <w:tcPr>
            <w:tcW w:w="768" w:type="pct"/>
            <w:tcBorders>
              <w:top w:val="nil"/>
              <w:left w:val="nil"/>
              <w:bottom w:val="nil"/>
              <w:right w:val="nil"/>
            </w:tcBorders>
            <w:shd w:val="clear" w:color="000000" w:fill="FFFFFF"/>
            <w:noWrap/>
            <w:vAlign w:val="center"/>
            <w:hideMark/>
          </w:tcPr>
          <w:p w14:paraId="66E634B5"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1.72 </w:t>
            </w:r>
          </w:p>
        </w:tc>
        <w:tc>
          <w:tcPr>
            <w:tcW w:w="801" w:type="pct"/>
            <w:tcBorders>
              <w:top w:val="nil"/>
              <w:left w:val="nil"/>
              <w:bottom w:val="nil"/>
              <w:right w:val="nil"/>
            </w:tcBorders>
            <w:shd w:val="clear" w:color="000000" w:fill="FFFFFF"/>
            <w:noWrap/>
            <w:vAlign w:val="center"/>
            <w:hideMark/>
          </w:tcPr>
          <w:p w14:paraId="2880FAD1"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1.72 </w:t>
            </w:r>
          </w:p>
        </w:tc>
        <w:tc>
          <w:tcPr>
            <w:tcW w:w="445" w:type="pct"/>
            <w:tcBorders>
              <w:top w:val="nil"/>
              <w:left w:val="nil"/>
              <w:bottom w:val="nil"/>
              <w:right w:val="nil"/>
            </w:tcBorders>
            <w:shd w:val="clear" w:color="000000" w:fill="FFFFFF"/>
            <w:noWrap/>
            <w:vAlign w:val="center"/>
            <w:hideMark/>
          </w:tcPr>
          <w:p w14:paraId="7722EF73"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0.85 </w:t>
            </w:r>
          </w:p>
        </w:tc>
        <w:tc>
          <w:tcPr>
            <w:tcW w:w="389" w:type="pct"/>
            <w:tcBorders>
              <w:top w:val="nil"/>
              <w:left w:val="nil"/>
              <w:bottom w:val="nil"/>
              <w:right w:val="nil"/>
            </w:tcBorders>
            <w:shd w:val="clear" w:color="000000" w:fill="FFFFFF"/>
            <w:noWrap/>
            <w:vAlign w:val="center"/>
            <w:hideMark/>
          </w:tcPr>
          <w:p w14:paraId="12491294"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-0.47 </w:t>
            </w:r>
          </w:p>
        </w:tc>
        <w:tc>
          <w:tcPr>
            <w:tcW w:w="440" w:type="pct"/>
            <w:tcBorders>
              <w:top w:val="nil"/>
              <w:left w:val="nil"/>
              <w:bottom w:val="nil"/>
              <w:right w:val="nil"/>
            </w:tcBorders>
            <w:shd w:val="clear" w:color="000000" w:fill="FFFFFF"/>
            <w:noWrap/>
            <w:vAlign w:val="center"/>
            <w:hideMark/>
          </w:tcPr>
          <w:p w14:paraId="185A7EBA"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1.32 </w:t>
            </w:r>
          </w:p>
        </w:tc>
        <w:tc>
          <w:tcPr>
            <w:tcW w:w="460" w:type="pct"/>
            <w:tcBorders>
              <w:top w:val="nil"/>
              <w:left w:val="nil"/>
              <w:bottom w:val="nil"/>
              <w:right w:val="nil"/>
            </w:tcBorders>
            <w:shd w:val="clear" w:color="000000" w:fill="FFFFFF"/>
            <w:noWrap/>
            <w:vAlign w:val="center"/>
            <w:hideMark/>
          </w:tcPr>
          <w:p w14:paraId="62BC5992"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0.88 </w:t>
            </w:r>
          </w:p>
        </w:tc>
        <w:tc>
          <w:tcPr>
            <w:tcW w:w="329" w:type="pct"/>
            <w:tcBorders>
              <w:top w:val="nil"/>
              <w:left w:val="nil"/>
              <w:bottom w:val="nil"/>
              <w:right w:val="nil"/>
            </w:tcBorders>
            <w:shd w:val="clear" w:color="000000" w:fill="FFFFFF"/>
            <w:noWrap/>
            <w:vAlign w:val="center"/>
            <w:hideMark/>
          </w:tcPr>
          <w:p w14:paraId="6EC51220"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sz w:val="16"/>
                <w:szCs w:val="16"/>
                <w:lang w:eastAsia="en-GB"/>
              </w:rPr>
              <w:t xml:space="preserve">0.41 </w:t>
            </w:r>
          </w:p>
        </w:tc>
        <w:tc>
          <w:tcPr>
            <w:tcW w:w="262" w:type="pct"/>
            <w:tcBorders>
              <w:top w:val="nil"/>
              <w:left w:val="nil"/>
              <w:bottom w:val="nil"/>
              <w:right w:val="nil"/>
            </w:tcBorders>
            <w:shd w:val="clear" w:color="000000" w:fill="FFFFFF"/>
            <w:noWrap/>
            <w:vAlign w:val="center"/>
            <w:hideMark/>
          </w:tcPr>
          <w:p w14:paraId="19553888" w14:textId="77777777" w:rsidR="000969C0" w:rsidRPr="00FF7C55" w:rsidRDefault="000969C0" w:rsidP="00C939D1">
            <w:pPr>
              <w:spacing w:after="0" w:line="240" w:lineRule="auto"/>
              <w:jc w:val="both"/>
              <w:rPr>
                <w:rFonts w:ascii="Times New Roman" w:eastAsia="Times New Roman" w:hAnsi="Times New Roman" w:cs="Times New Roman"/>
                <w:sz w:val="16"/>
                <w:szCs w:val="16"/>
                <w:lang w:eastAsia="en-GB"/>
              </w:rPr>
            </w:pPr>
            <w:r w:rsidRPr="00FF7C55">
              <w:rPr>
                <w:rFonts w:ascii="Times New Roman" w:eastAsia="Times New Roman" w:hAnsi="Times New Roman" w:cs="Times New Roman"/>
                <w:color w:val="FF0000"/>
                <w:sz w:val="16"/>
                <w:szCs w:val="16"/>
                <w:lang w:eastAsia="en-GB"/>
              </w:rPr>
              <w:t xml:space="preserve">-0.47 </w:t>
            </w:r>
          </w:p>
        </w:tc>
      </w:tr>
      <w:tr w:rsidR="000969C0" w:rsidRPr="00AF7AE3" w14:paraId="4E155368" w14:textId="77777777" w:rsidTr="00BC51AA">
        <w:trPr>
          <w:trHeight w:val="240"/>
        </w:trPr>
        <w:tc>
          <w:tcPr>
            <w:tcW w:w="586" w:type="pct"/>
            <w:tcBorders>
              <w:top w:val="single" w:sz="4" w:space="0" w:color="auto"/>
              <w:left w:val="nil"/>
              <w:bottom w:val="single" w:sz="4" w:space="0" w:color="auto"/>
              <w:right w:val="nil"/>
            </w:tcBorders>
            <w:shd w:val="clear" w:color="000000" w:fill="FFFFFF"/>
            <w:noWrap/>
            <w:vAlign w:val="center"/>
            <w:hideMark/>
          </w:tcPr>
          <w:p w14:paraId="79D2B913" w14:textId="77777777" w:rsidR="000969C0" w:rsidRPr="00FF7C55" w:rsidRDefault="000969C0" w:rsidP="00C939D1">
            <w:pPr>
              <w:spacing w:after="0" w:line="240" w:lineRule="auto"/>
              <w:jc w:val="both"/>
              <w:rPr>
                <w:rFonts w:ascii="Times New Roman" w:eastAsia="Times New Roman" w:hAnsi="Times New Roman" w:cs="Times New Roman"/>
                <w:b/>
                <w:bCs/>
                <w:color w:val="000000"/>
                <w:sz w:val="16"/>
                <w:szCs w:val="16"/>
                <w:lang w:eastAsia="en-GB"/>
              </w:rPr>
            </w:pPr>
            <w:r w:rsidRPr="00FF7C55">
              <w:rPr>
                <w:rFonts w:ascii="Times New Roman" w:eastAsia="Times New Roman" w:hAnsi="Times New Roman" w:cs="Times New Roman"/>
                <w:b/>
                <w:bCs/>
                <w:color w:val="000000"/>
                <w:sz w:val="16"/>
                <w:szCs w:val="16"/>
                <w:lang w:eastAsia="en-GB"/>
              </w:rPr>
              <w:t>Total 1998-2023</w:t>
            </w:r>
          </w:p>
        </w:tc>
        <w:tc>
          <w:tcPr>
            <w:tcW w:w="519" w:type="pct"/>
            <w:tcBorders>
              <w:top w:val="single" w:sz="4" w:space="0" w:color="auto"/>
              <w:left w:val="nil"/>
              <w:bottom w:val="single" w:sz="4" w:space="0" w:color="auto"/>
              <w:right w:val="nil"/>
            </w:tcBorders>
            <w:shd w:val="clear" w:color="000000" w:fill="FFFFFF"/>
            <w:noWrap/>
            <w:vAlign w:val="center"/>
            <w:hideMark/>
          </w:tcPr>
          <w:p w14:paraId="2413099C"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sz w:val="16"/>
                <w:szCs w:val="16"/>
                <w:lang w:eastAsia="en-GB"/>
              </w:rPr>
              <w:t> </w:t>
            </w:r>
          </w:p>
        </w:tc>
        <w:tc>
          <w:tcPr>
            <w:tcW w:w="768" w:type="pct"/>
            <w:tcBorders>
              <w:top w:val="single" w:sz="4" w:space="0" w:color="auto"/>
              <w:left w:val="nil"/>
              <w:bottom w:val="single" w:sz="4" w:space="0" w:color="auto"/>
              <w:right w:val="nil"/>
            </w:tcBorders>
            <w:shd w:val="clear" w:color="000000" w:fill="FFFFFF"/>
            <w:noWrap/>
            <w:vAlign w:val="center"/>
            <w:hideMark/>
          </w:tcPr>
          <w:p w14:paraId="09647B52"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sz w:val="16"/>
                <w:szCs w:val="16"/>
                <w:lang w:eastAsia="en-GB"/>
              </w:rPr>
              <w:t xml:space="preserve">0.55 </w:t>
            </w:r>
          </w:p>
        </w:tc>
        <w:tc>
          <w:tcPr>
            <w:tcW w:w="801" w:type="pct"/>
            <w:tcBorders>
              <w:top w:val="single" w:sz="4" w:space="0" w:color="auto"/>
              <w:left w:val="nil"/>
              <w:bottom w:val="single" w:sz="4" w:space="0" w:color="auto"/>
              <w:right w:val="nil"/>
            </w:tcBorders>
            <w:shd w:val="clear" w:color="000000" w:fill="FFFFFF"/>
            <w:noWrap/>
            <w:vAlign w:val="center"/>
            <w:hideMark/>
          </w:tcPr>
          <w:p w14:paraId="6EDB9D80"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sz w:val="16"/>
                <w:szCs w:val="16"/>
                <w:lang w:eastAsia="en-GB"/>
              </w:rPr>
              <w:t xml:space="preserve">0.55 </w:t>
            </w:r>
          </w:p>
        </w:tc>
        <w:tc>
          <w:tcPr>
            <w:tcW w:w="445" w:type="pct"/>
            <w:tcBorders>
              <w:top w:val="single" w:sz="4" w:space="0" w:color="auto"/>
              <w:left w:val="nil"/>
              <w:bottom w:val="single" w:sz="4" w:space="0" w:color="auto"/>
              <w:right w:val="nil"/>
            </w:tcBorders>
            <w:shd w:val="clear" w:color="000000" w:fill="FFFFFF"/>
            <w:noWrap/>
            <w:vAlign w:val="center"/>
            <w:hideMark/>
          </w:tcPr>
          <w:p w14:paraId="7A3637D9"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color w:val="FF0000"/>
                <w:sz w:val="16"/>
                <w:szCs w:val="16"/>
                <w:lang w:eastAsia="en-GB"/>
              </w:rPr>
              <w:t xml:space="preserve">-0.18 </w:t>
            </w:r>
          </w:p>
        </w:tc>
        <w:tc>
          <w:tcPr>
            <w:tcW w:w="389" w:type="pct"/>
            <w:tcBorders>
              <w:top w:val="single" w:sz="4" w:space="0" w:color="auto"/>
              <w:left w:val="nil"/>
              <w:bottom w:val="single" w:sz="4" w:space="0" w:color="auto"/>
              <w:right w:val="nil"/>
            </w:tcBorders>
            <w:shd w:val="clear" w:color="000000" w:fill="FFFFFF"/>
            <w:noWrap/>
            <w:vAlign w:val="center"/>
            <w:hideMark/>
          </w:tcPr>
          <w:p w14:paraId="0D0985E2"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color w:val="FF0000"/>
                <w:sz w:val="16"/>
                <w:szCs w:val="16"/>
                <w:lang w:eastAsia="en-GB"/>
              </w:rPr>
              <w:t xml:space="preserve">-1.06 </w:t>
            </w:r>
          </w:p>
        </w:tc>
        <w:tc>
          <w:tcPr>
            <w:tcW w:w="440" w:type="pct"/>
            <w:tcBorders>
              <w:top w:val="single" w:sz="4" w:space="0" w:color="auto"/>
              <w:left w:val="nil"/>
              <w:bottom w:val="single" w:sz="4" w:space="0" w:color="auto"/>
              <w:right w:val="nil"/>
            </w:tcBorders>
            <w:shd w:val="clear" w:color="000000" w:fill="FFFFFF"/>
            <w:noWrap/>
            <w:vAlign w:val="center"/>
            <w:hideMark/>
          </w:tcPr>
          <w:p w14:paraId="4161E0EE"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sz w:val="16"/>
                <w:szCs w:val="16"/>
                <w:lang w:eastAsia="en-GB"/>
              </w:rPr>
              <w:t xml:space="preserve">0.89 </w:t>
            </w:r>
          </w:p>
        </w:tc>
        <w:tc>
          <w:tcPr>
            <w:tcW w:w="460" w:type="pct"/>
            <w:tcBorders>
              <w:top w:val="single" w:sz="4" w:space="0" w:color="auto"/>
              <w:left w:val="nil"/>
              <w:bottom w:val="single" w:sz="4" w:space="0" w:color="auto"/>
              <w:right w:val="nil"/>
            </w:tcBorders>
            <w:shd w:val="clear" w:color="000000" w:fill="FFFFFF"/>
            <w:noWrap/>
            <w:vAlign w:val="center"/>
            <w:hideMark/>
          </w:tcPr>
          <w:p w14:paraId="62FEDC48"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sz w:val="16"/>
                <w:szCs w:val="16"/>
                <w:lang w:eastAsia="en-GB"/>
              </w:rPr>
              <w:t xml:space="preserve">0.72 </w:t>
            </w:r>
          </w:p>
        </w:tc>
        <w:tc>
          <w:tcPr>
            <w:tcW w:w="329" w:type="pct"/>
            <w:tcBorders>
              <w:top w:val="single" w:sz="4" w:space="0" w:color="auto"/>
              <w:left w:val="nil"/>
              <w:bottom w:val="single" w:sz="4" w:space="0" w:color="auto"/>
              <w:right w:val="nil"/>
            </w:tcBorders>
            <w:shd w:val="clear" w:color="000000" w:fill="FFFFFF"/>
            <w:noWrap/>
            <w:vAlign w:val="center"/>
            <w:hideMark/>
          </w:tcPr>
          <w:p w14:paraId="66559D7B"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sz w:val="16"/>
                <w:szCs w:val="16"/>
                <w:lang w:eastAsia="en-GB"/>
              </w:rPr>
              <w:t xml:space="preserve">0.33 </w:t>
            </w:r>
          </w:p>
        </w:tc>
        <w:tc>
          <w:tcPr>
            <w:tcW w:w="262" w:type="pct"/>
            <w:tcBorders>
              <w:top w:val="single" w:sz="4" w:space="0" w:color="auto"/>
              <w:left w:val="nil"/>
              <w:bottom w:val="single" w:sz="4" w:space="0" w:color="auto"/>
              <w:right w:val="nil"/>
            </w:tcBorders>
            <w:shd w:val="clear" w:color="000000" w:fill="FFFFFF"/>
            <w:noWrap/>
            <w:vAlign w:val="center"/>
            <w:hideMark/>
          </w:tcPr>
          <w:p w14:paraId="7D876407" w14:textId="77777777" w:rsidR="000969C0" w:rsidRPr="00FF7C55" w:rsidRDefault="000969C0" w:rsidP="00C939D1">
            <w:pPr>
              <w:spacing w:after="0" w:line="240" w:lineRule="auto"/>
              <w:jc w:val="both"/>
              <w:rPr>
                <w:rFonts w:ascii="Times New Roman" w:eastAsia="Times New Roman" w:hAnsi="Times New Roman" w:cs="Times New Roman"/>
                <w:b/>
                <w:bCs/>
                <w:sz w:val="16"/>
                <w:szCs w:val="16"/>
                <w:lang w:eastAsia="en-GB"/>
              </w:rPr>
            </w:pPr>
            <w:r w:rsidRPr="00FF7C55">
              <w:rPr>
                <w:rFonts w:ascii="Times New Roman" w:eastAsia="Times New Roman" w:hAnsi="Times New Roman" w:cs="Times New Roman"/>
                <w:b/>
                <w:bCs/>
                <w:color w:val="FF0000"/>
                <w:sz w:val="16"/>
                <w:szCs w:val="16"/>
                <w:lang w:eastAsia="en-GB"/>
              </w:rPr>
              <w:t xml:space="preserve">-0.39 </w:t>
            </w:r>
          </w:p>
        </w:tc>
      </w:tr>
    </w:tbl>
    <w:p w14:paraId="232DA828" w14:textId="77777777" w:rsidR="000969C0" w:rsidRPr="00AF7AE3" w:rsidRDefault="000969C0" w:rsidP="00C939D1">
      <w:pPr>
        <w:spacing w:after="0"/>
        <w:jc w:val="both"/>
        <w:rPr>
          <w:rFonts w:ascii="Times New Roman" w:hAnsi="Times New Roman" w:cs="Times New Roman"/>
        </w:rPr>
      </w:pPr>
      <w:r w:rsidRPr="00AF7AE3">
        <w:rPr>
          <w:rFonts w:ascii="Times New Roman" w:hAnsi="Times New Roman" w:cs="Times New Roman"/>
          <w:vertAlign w:val="superscript"/>
        </w:rPr>
        <w:t>a/</w:t>
      </w:r>
      <w:r w:rsidRPr="00AF7AE3">
        <w:rPr>
          <w:rFonts w:ascii="Times New Roman" w:hAnsi="Times New Roman" w:cs="Times New Roman"/>
        </w:rPr>
        <w:t>Negative rates of growth in red</w:t>
      </w:r>
    </w:p>
    <w:p w14:paraId="2998C52C" w14:textId="77777777" w:rsidR="000969C0" w:rsidRDefault="000969C0" w:rsidP="00C939D1">
      <w:pPr>
        <w:jc w:val="both"/>
        <w:rPr>
          <w:rFonts w:ascii="Times New Roman" w:hAnsi="Times New Roman" w:cs="Times New Roman"/>
        </w:rPr>
      </w:pPr>
      <w:r w:rsidRPr="00AF7AE3">
        <w:rPr>
          <w:rFonts w:ascii="Times New Roman" w:hAnsi="Times New Roman" w:cs="Times New Roman"/>
        </w:rPr>
        <w:t>Source: Own estimates using microdata from the Economic Census of Mexico</w:t>
      </w:r>
    </w:p>
    <w:p w14:paraId="1CE55FEA" w14:textId="77777777" w:rsidR="00937975" w:rsidRDefault="00937975" w:rsidP="00C939D1">
      <w:pPr>
        <w:jc w:val="both"/>
        <w:rPr>
          <w:rFonts w:ascii="Times New Roman" w:hAnsi="Times New Roman" w:cs="Times New Roman"/>
        </w:rPr>
      </w:pPr>
    </w:p>
    <w:p w14:paraId="7E166BD3" w14:textId="77777777" w:rsidR="00937975" w:rsidRDefault="00937975" w:rsidP="00C939D1">
      <w:pPr>
        <w:jc w:val="both"/>
        <w:rPr>
          <w:rFonts w:ascii="Times New Roman" w:hAnsi="Times New Roman" w:cs="Times New Roman"/>
        </w:rPr>
      </w:pPr>
    </w:p>
    <w:p w14:paraId="78A44C94" w14:textId="77777777" w:rsidR="00937975" w:rsidRPr="00AF7AE3" w:rsidRDefault="00937975" w:rsidP="00C939D1">
      <w:pPr>
        <w:jc w:val="both"/>
        <w:rPr>
          <w:rFonts w:ascii="Times New Roman" w:hAnsi="Times New Roman" w:cs="Times New Roman"/>
        </w:rPr>
      </w:pPr>
    </w:p>
    <w:p w14:paraId="13B235D1" w14:textId="5B827A24" w:rsidR="00050477" w:rsidRPr="00AF7AE3" w:rsidRDefault="007006EA" w:rsidP="00C939D1">
      <w:pPr>
        <w:jc w:val="both"/>
        <w:rPr>
          <w:rFonts w:ascii="Times New Roman" w:hAnsi="Times New Roman" w:cs="Times New Roman"/>
        </w:rPr>
      </w:pPr>
      <w:r w:rsidRPr="00AF7AE3">
        <w:rPr>
          <w:rFonts w:ascii="Times New Roman" w:hAnsi="Times New Roman" w:cs="Times New Roman"/>
        </w:rPr>
        <w:lastRenderedPageBreak/>
        <w:t xml:space="preserve">Table A3. </w:t>
      </w:r>
      <w:r w:rsidR="00150CB6" w:rsidRPr="00AF7AE3">
        <w:rPr>
          <w:rFonts w:ascii="Times New Roman" w:hAnsi="Times New Roman" w:cs="Times New Roman"/>
        </w:rPr>
        <w:t xml:space="preserve">T-test </w:t>
      </w:r>
      <w:r w:rsidR="00E45A62" w:rsidRPr="00AF7AE3">
        <w:rPr>
          <w:rFonts w:ascii="Times New Roman" w:hAnsi="Times New Roman" w:cs="Times New Roman"/>
        </w:rPr>
        <w:t>using the d</w:t>
      </w:r>
      <w:r w:rsidRPr="00AF7AE3">
        <w:rPr>
          <w:rFonts w:ascii="Times New Roman" w:hAnsi="Times New Roman" w:cs="Times New Roman"/>
        </w:rPr>
        <w:t xml:space="preserve">ifference </w:t>
      </w:r>
      <w:r w:rsidR="00E45A62" w:rsidRPr="00AF7AE3">
        <w:rPr>
          <w:rFonts w:ascii="Times New Roman" w:hAnsi="Times New Roman" w:cs="Times New Roman"/>
        </w:rPr>
        <w:t xml:space="preserve">in </w:t>
      </w:r>
      <w:r w:rsidRPr="00AF7AE3">
        <w:rPr>
          <w:rFonts w:ascii="Times New Roman" w:hAnsi="Times New Roman" w:cs="Times New Roman"/>
        </w:rPr>
        <w:t>weighted average TFP between northern states in Mexico (Border) vs the rest of the states (No border), 1998-2023.</w:t>
      </w:r>
    </w:p>
    <w:tbl>
      <w:tblPr>
        <w:tblStyle w:val="TableGrid"/>
        <w:tblW w:w="9259" w:type="dxa"/>
        <w:tblLook w:val="04A0" w:firstRow="1" w:lastRow="0" w:firstColumn="1" w:lastColumn="0" w:noHBand="0" w:noVBand="1"/>
      </w:tblPr>
      <w:tblGrid>
        <w:gridCol w:w="1028"/>
        <w:gridCol w:w="1028"/>
        <w:gridCol w:w="1029"/>
        <w:gridCol w:w="1029"/>
        <w:gridCol w:w="1029"/>
        <w:gridCol w:w="1029"/>
        <w:gridCol w:w="1029"/>
        <w:gridCol w:w="1029"/>
        <w:gridCol w:w="1029"/>
      </w:tblGrid>
      <w:tr w:rsidR="008C04B8" w:rsidRPr="00FF7C55" w14:paraId="6E6EA0EF" w14:textId="58D5644D" w:rsidTr="00FF7C55">
        <w:trPr>
          <w:trHeight w:val="645"/>
        </w:trPr>
        <w:tc>
          <w:tcPr>
            <w:tcW w:w="1028" w:type="dxa"/>
            <w:shd w:val="clear" w:color="auto" w:fill="D9D9D9" w:themeFill="background1" w:themeFillShade="D9"/>
          </w:tcPr>
          <w:p w14:paraId="017A173C" w14:textId="783A7342" w:rsidR="008C04B8" w:rsidRPr="00FF7C55" w:rsidRDefault="008B63F7"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Year</w:t>
            </w:r>
          </w:p>
        </w:tc>
        <w:tc>
          <w:tcPr>
            <w:tcW w:w="1028" w:type="dxa"/>
            <w:shd w:val="clear" w:color="auto" w:fill="D9D9D9" w:themeFill="background1" w:themeFillShade="D9"/>
          </w:tcPr>
          <w:p w14:paraId="43D9FEEF" w14:textId="40134DFA" w:rsidR="008C04B8" w:rsidRPr="00FF7C55" w:rsidRDefault="008B63F7"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Sample (Border)</w:t>
            </w:r>
          </w:p>
        </w:tc>
        <w:tc>
          <w:tcPr>
            <w:tcW w:w="1029" w:type="dxa"/>
            <w:shd w:val="clear" w:color="auto" w:fill="D9D9D9" w:themeFill="background1" w:themeFillShade="D9"/>
          </w:tcPr>
          <w:p w14:paraId="1D160220" w14:textId="69BF2C0D" w:rsidR="008C04B8" w:rsidRPr="00FF7C55" w:rsidRDefault="00B87313"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Sample (No border)</w:t>
            </w:r>
          </w:p>
        </w:tc>
        <w:tc>
          <w:tcPr>
            <w:tcW w:w="1029" w:type="dxa"/>
            <w:shd w:val="clear" w:color="auto" w:fill="D9D9D9" w:themeFill="background1" w:themeFillShade="D9"/>
          </w:tcPr>
          <w:p w14:paraId="705C48C2" w14:textId="1DD72E16" w:rsidR="008C04B8" w:rsidRPr="00FF7C55" w:rsidRDefault="00B87313"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Weighted TFP (Border)</w:t>
            </w:r>
          </w:p>
        </w:tc>
        <w:tc>
          <w:tcPr>
            <w:tcW w:w="1029" w:type="dxa"/>
            <w:shd w:val="clear" w:color="auto" w:fill="D9D9D9" w:themeFill="background1" w:themeFillShade="D9"/>
          </w:tcPr>
          <w:p w14:paraId="1F603117" w14:textId="59136F9F" w:rsidR="008C04B8" w:rsidRPr="00FF7C55" w:rsidRDefault="00B87313"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Weighted TFP (No border)</w:t>
            </w:r>
          </w:p>
        </w:tc>
        <w:tc>
          <w:tcPr>
            <w:tcW w:w="1029" w:type="dxa"/>
            <w:shd w:val="clear" w:color="auto" w:fill="D9D9D9" w:themeFill="background1" w:themeFillShade="D9"/>
          </w:tcPr>
          <w:p w14:paraId="48480783" w14:textId="19C25E66" w:rsidR="008C04B8" w:rsidRPr="00FF7C55" w:rsidRDefault="00E45A62"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Difference in</w:t>
            </w:r>
            <w:r w:rsidR="00C614CC" w:rsidRPr="00FF7C55">
              <w:rPr>
                <w:rFonts w:ascii="Times New Roman" w:hAnsi="Times New Roman" w:cs="Times New Roman"/>
                <w:b/>
                <w:bCs/>
                <w:sz w:val="16"/>
                <w:szCs w:val="16"/>
              </w:rPr>
              <w:t xml:space="preserve"> weighted TFP</w:t>
            </w:r>
          </w:p>
        </w:tc>
        <w:tc>
          <w:tcPr>
            <w:tcW w:w="1029" w:type="dxa"/>
            <w:shd w:val="clear" w:color="auto" w:fill="D9D9D9" w:themeFill="background1" w:themeFillShade="D9"/>
          </w:tcPr>
          <w:p w14:paraId="0E55035C" w14:textId="0506240A" w:rsidR="008C04B8" w:rsidRPr="00FF7C55" w:rsidRDefault="00826A0D"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Total standard error</w:t>
            </w:r>
          </w:p>
        </w:tc>
        <w:tc>
          <w:tcPr>
            <w:tcW w:w="1029" w:type="dxa"/>
            <w:shd w:val="clear" w:color="auto" w:fill="D9D9D9" w:themeFill="background1" w:themeFillShade="D9"/>
          </w:tcPr>
          <w:p w14:paraId="1E06F0E4" w14:textId="09428DA3" w:rsidR="008C04B8" w:rsidRPr="00FF7C55" w:rsidRDefault="007006EA"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T-test</w:t>
            </w:r>
          </w:p>
        </w:tc>
        <w:tc>
          <w:tcPr>
            <w:tcW w:w="1029" w:type="dxa"/>
            <w:shd w:val="clear" w:color="auto" w:fill="D9D9D9" w:themeFill="background1" w:themeFillShade="D9"/>
          </w:tcPr>
          <w:p w14:paraId="0D75CFA4" w14:textId="30AC4D11" w:rsidR="008C04B8" w:rsidRPr="00FF7C55" w:rsidRDefault="007006EA" w:rsidP="00C939D1">
            <w:pPr>
              <w:jc w:val="both"/>
              <w:rPr>
                <w:rFonts w:ascii="Times New Roman" w:hAnsi="Times New Roman" w:cs="Times New Roman"/>
                <w:b/>
                <w:bCs/>
                <w:sz w:val="16"/>
                <w:szCs w:val="16"/>
              </w:rPr>
            </w:pPr>
            <w:r w:rsidRPr="00FF7C55">
              <w:rPr>
                <w:rFonts w:ascii="Times New Roman" w:hAnsi="Times New Roman" w:cs="Times New Roman"/>
                <w:b/>
                <w:bCs/>
                <w:sz w:val="16"/>
                <w:szCs w:val="16"/>
              </w:rPr>
              <w:t>P-value</w:t>
            </w:r>
          </w:p>
        </w:tc>
      </w:tr>
      <w:tr w:rsidR="009A00A4" w:rsidRPr="00FF7C55" w14:paraId="1A3A02A2" w14:textId="47B76696" w:rsidTr="00E45A62">
        <w:trPr>
          <w:trHeight w:val="162"/>
        </w:trPr>
        <w:tc>
          <w:tcPr>
            <w:tcW w:w="1028" w:type="dxa"/>
          </w:tcPr>
          <w:p w14:paraId="1DC9E647" w14:textId="08BE2372"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1998</w:t>
            </w:r>
          </w:p>
        </w:tc>
        <w:tc>
          <w:tcPr>
            <w:tcW w:w="1028" w:type="dxa"/>
          </w:tcPr>
          <w:p w14:paraId="6593FFA4" w14:textId="016281EB"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45,580 </w:t>
            </w:r>
          </w:p>
        </w:tc>
        <w:tc>
          <w:tcPr>
            <w:tcW w:w="1029" w:type="dxa"/>
          </w:tcPr>
          <w:p w14:paraId="79C32C36" w14:textId="3B1EBC02"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297,025 </w:t>
            </w:r>
          </w:p>
        </w:tc>
        <w:tc>
          <w:tcPr>
            <w:tcW w:w="1029" w:type="dxa"/>
          </w:tcPr>
          <w:p w14:paraId="4F841A90" w14:textId="251F75F1"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0.297</w:t>
            </w:r>
          </w:p>
        </w:tc>
        <w:tc>
          <w:tcPr>
            <w:tcW w:w="1029" w:type="dxa"/>
          </w:tcPr>
          <w:p w14:paraId="19FBE566" w14:textId="42FC5BF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0.282</w:t>
            </w:r>
          </w:p>
        </w:tc>
        <w:tc>
          <w:tcPr>
            <w:tcW w:w="1029" w:type="dxa"/>
          </w:tcPr>
          <w:p w14:paraId="6F9C40C9" w14:textId="6661F703"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0.015</w:t>
            </w:r>
          </w:p>
        </w:tc>
        <w:tc>
          <w:tcPr>
            <w:tcW w:w="1029" w:type="dxa"/>
          </w:tcPr>
          <w:p w14:paraId="586E4AD7" w14:textId="574E22D4"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0.040</w:t>
            </w:r>
          </w:p>
        </w:tc>
        <w:tc>
          <w:tcPr>
            <w:tcW w:w="1029" w:type="dxa"/>
          </w:tcPr>
          <w:p w14:paraId="2D0B33CE" w14:textId="6B9AF8B4"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0.372</w:t>
            </w:r>
          </w:p>
        </w:tc>
        <w:tc>
          <w:tcPr>
            <w:tcW w:w="1029" w:type="dxa"/>
          </w:tcPr>
          <w:p w14:paraId="61E76C38" w14:textId="3343FB7D"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0.710</w:t>
            </w:r>
          </w:p>
        </w:tc>
      </w:tr>
      <w:tr w:rsidR="009A00A4" w:rsidRPr="00FF7C55" w14:paraId="16934FFF" w14:textId="3FECEA07" w:rsidTr="00FF7C55">
        <w:trPr>
          <w:trHeight w:val="155"/>
        </w:trPr>
        <w:tc>
          <w:tcPr>
            <w:tcW w:w="1028" w:type="dxa"/>
            <w:shd w:val="clear" w:color="auto" w:fill="F2F2F2" w:themeFill="background1" w:themeFillShade="F2"/>
          </w:tcPr>
          <w:p w14:paraId="3E83C33D" w14:textId="5213CC0A"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2003</w:t>
            </w:r>
          </w:p>
        </w:tc>
        <w:tc>
          <w:tcPr>
            <w:tcW w:w="1028" w:type="dxa"/>
            <w:shd w:val="clear" w:color="auto" w:fill="F2F2F2" w:themeFill="background1" w:themeFillShade="F2"/>
          </w:tcPr>
          <w:p w14:paraId="5FE5D273" w14:textId="5C878F78"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42,013 </w:t>
            </w:r>
          </w:p>
        </w:tc>
        <w:tc>
          <w:tcPr>
            <w:tcW w:w="1029" w:type="dxa"/>
            <w:shd w:val="clear" w:color="auto" w:fill="F2F2F2" w:themeFill="background1" w:themeFillShade="F2"/>
          </w:tcPr>
          <w:p w14:paraId="0EC77712" w14:textId="5797E7C0"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286,701 </w:t>
            </w:r>
          </w:p>
        </w:tc>
        <w:tc>
          <w:tcPr>
            <w:tcW w:w="1029" w:type="dxa"/>
            <w:shd w:val="clear" w:color="auto" w:fill="F2F2F2" w:themeFill="background1" w:themeFillShade="F2"/>
          </w:tcPr>
          <w:p w14:paraId="152FB998" w14:textId="79A2A5EF"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0.341</w:t>
            </w:r>
          </w:p>
        </w:tc>
        <w:tc>
          <w:tcPr>
            <w:tcW w:w="1029" w:type="dxa"/>
            <w:shd w:val="clear" w:color="auto" w:fill="F2F2F2" w:themeFill="background1" w:themeFillShade="F2"/>
          </w:tcPr>
          <w:p w14:paraId="62EFBDB4" w14:textId="6FC4C552"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0.313</w:t>
            </w:r>
          </w:p>
        </w:tc>
        <w:tc>
          <w:tcPr>
            <w:tcW w:w="1029" w:type="dxa"/>
            <w:shd w:val="clear" w:color="auto" w:fill="F2F2F2" w:themeFill="background1" w:themeFillShade="F2"/>
          </w:tcPr>
          <w:p w14:paraId="224D9927" w14:textId="6AD2D299"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0.029</w:t>
            </w:r>
          </w:p>
        </w:tc>
        <w:tc>
          <w:tcPr>
            <w:tcW w:w="1029" w:type="dxa"/>
            <w:shd w:val="clear" w:color="auto" w:fill="F2F2F2" w:themeFill="background1" w:themeFillShade="F2"/>
          </w:tcPr>
          <w:p w14:paraId="15F94330" w14:textId="34E62281"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0.048</w:t>
            </w:r>
          </w:p>
        </w:tc>
        <w:tc>
          <w:tcPr>
            <w:tcW w:w="1029" w:type="dxa"/>
            <w:shd w:val="clear" w:color="auto" w:fill="F2F2F2" w:themeFill="background1" w:themeFillShade="F2"/>
          </w:tcPr>
          <w:p w14:paraId="5C482FBF" w14:textId="7BC6907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0.597</w:t>
            </w:r>
          </w:p>
        </w:tc>
        <w:tc>
          <w:tcPr>
            <w:tcW w:w="1029" w:type="dxa"/>
            <w:shd w:val="clear" w:color="auto" w:fill="F2F2F2" w:themeFill="background1" w:themeFillShade="F2"/>
          </w:tcPr>
          <w:p w14:paraId="7EDAD5CC" w14:textId="0BA2259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0.551</w:t>
            </w:r>
          </w:p>
        </w:tc>
      </w:tr>
      <w:tr w:rsidR="009A00A4" w:rsidRPr="00FF7C55" w14:paraId="06CB7469" w14:textId="44DE62F8" w:rsidTr="00E45A62">
        <w:trPr>
          <w:trHeight w:val="162"/>
        </w:trPr>
        <w:tc>
          <w:tcPr>
            <w:tcW w:w="1028" w:type="dxa"/>
          </w:tcPr>
          <w:p w14:paraId="2C70AF06" w14:textId="6689CAFB"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2008</w:t>
            </w:r>
          </w:p>
        </w:tc>
        <w:tc>
          <w:tcPr>
            <w:tcW w:w="1028" w:type="dxa"/>
          </w:tcPr>
          <w:p w14:paraId="79F7344B" w14:textId="4F3CDBF2"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52,668 </w:t>
            </w:r>
          </w:p>
        </w:tc>
        <w:tc>
          <w:tcPr>
            <w:tcW w:w="1029" w:type="dxa"/>
          </w:tcPr>
          <w:p w14:paraId="1B9E2D84" w14:textId="6CCEA7C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384,181 </w:t>
            </w:r>
          </w:p>
        </w:tc>
        <w:tc>
          <w:tcPr>
            <w:tcW w:w="1029" w:type="dxa"/>
          </w:tcPr>
          <w:p w14:paraId="1E44D5A1" w14:textId="4F088252"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0.321</w:t>
            </w:r>
          </w:p>
        </w:tc>
        <w:tc>
          <w:tcPr>
            <w:tcW w:w="1029" w:type="dxa"/>
          </w:tcPr>
          <w:p w14:paraId="51C44F90" w14:textId="147C60A1"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0.315</w:t>
            </w:r>
          </w:p>
        </w:tc>
        <w:tc>
          <w:tcPr>
            <w:tcW w:w="1029" w:type="dxa"/>
          </w:tcPr>
          <w:p w14:paraId="732D2B7D" w14:textId="0293B5F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0.006</w:t>
            </w:r>
          </w:p>
        </w:tc>
        <w:tc>
          <w:tcPr>
            <w:tcW w:w="1029" w:type="dxa"/>
          </w:tcPr>
          <w:p w14:paraId="26EA54FF" w14:textId="77B978E8"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0.029</w:t>
            </w:r>
          </w:p>
        </w:tc>
        <w:tc>
          <w:tcPr>
            <w:tcW w:w="1029" w:type="dxa"/>
          </w:tcPr>
          <w:p w14:paraId="666A5B97" w14:textId="21605FDC"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0.209</w:t>
            </w:r>
          </w:p>
        </w:tc>
        <w:tc>
          <w:tcPr>
            <w:tcW w:w="1029" w:type="dxa"/>
          </w:tcPr>
          <w:p w14:paraId="2287A4FA" w14:textId="094A43FB"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0.835</w:t>
            </w:r>
          </w:p>
        </w:tc>
      </w:tr>
      <w:tr w:rsidR="009A00A4" w:rsidRPr="00FF7C55" w14:paraId="6C042770" w14:textId="77777777" w:rsidTr="00FF7C55">
        <w:trPr>
          <w:trHeight w:val="162"/>
        </w:trPr>
        <w:tc>
          <w:tcPr>
            <w:tcW w:w="1028" w:type="dxa"/>
            <w:shd w:val="clear" w:color="auto" w:fill="F2F2F2" w:themeFill="background1" w:themeFillShade="F2"/>
          </w:tcPr>
          <w:p w14:paraId="7B943F69" w14:textId="011EAB7C"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2013</w:t>
            </w:r>
          </w:p>
        </w:tc>
        <w:tc>
          <w:tcPr>
            <w:tcW w:w="1028" w:type="dxa"/>
            <w:shd w:val="clear" w:color="auto" w:fill="F2F2F2" w:themeFill="background1" w:themeFillShade="F2"/>
          </w:tcPr>
          <w:p w14:paraId="0151AAD1" w14:textId="10A56979"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54,966 </w:t>
            </w:r>
          </w:p>
        </w:tc>
        <w:tc>
          <w:tcPr>
            <w:tcW w:w="1029" w:type="dxa"/>
            <w:shd w:val="clear" w:color="auto" w:fill="F2F2F2" w:themeFill="background1" w:themeFillShade="F2"/>
          </w:tcPr>
          <w:p w14:paraId="3512B738" w14:textId="34CC0DF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434,564 </w:t>
            </w:r>
          </w:p>
        </w:tc>
        <w:tc>
          <w:tcPr>
            <w:tcW w:w="1029" w:type="dxa"/>
            <w:shd w:val="clear" w:color="auto" w:fill="F2F2F2" w:themeFill="background1" w:themeFillShade="F2"/>
          </w:tcPr>
          <w:p w14:paraId="2A0BA807" w14:textId="13418FBF"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0.307</w:t>
            </w:r>
          </w:p>
        </w:tc>
        <w:tc>
          <w:tcPr>
            <w:tcW w:w="1029" w:type="dxa"/>
            <w:shd w:val="clear" w:color="auto" w:fill="F2F2F2" w:themeFill="background1" w:themeFillShade="F2"/>
          </w:tcPr>
          <w:p w14:paraId="1C39DADE" w14:textId="553452A3"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0.306</w:t>
            </w:r>
          </w:p>
        </w:tc>
        <w:tc>
          <w:tcPr>
            <w:tcW w:w="1029" w:type="dxa"/>
            <w:shd w:val="clear" w:color="auto" w:fill="F2F2F2" w:themeFill="background1" w:themeFillShade="F2"/>
          </w:tcPr>
          <w:p w14:paraId="728E28F6" w14:textId="53531AE8"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0.001</w:t>
            </w:r>
          </w:p>
        </w:tc>
        <w:tc>
          <w:tcPr>
            <w:tcW w:w="1029" w:type="dxa"/>
            <w:shd w:val="clear" w:color="auto" w:fill="F2F2F2" w:themeFill="background1" w:themeFillShade="F2"/>
          </w:tcPr>
          <w:p w14:paraId="52C6514D" w14:textId="363C16CA"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0.068</w:t>
            </w:r>
          </w:p>
        </w:tc>
        <w:tc>
          <w:tcPr>
            <w:tcW w:w="1029" w:type="dxa"/>
            <w:shd w:val="clear" w:color="auto" w:fill="F2F2F2" w:themeFill="background1" w:themeFillShade="F2"/>
          </w:tcPr>
          <w:p w14:paraId="1D29D6CF" w14:textId="3A431B6D"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0.009</w:t>
            </w:r>
          </w:p>
        </w:tc>
        <w:tc>
          <w:tcPr>
            <w:tcW w:w="1029" w:type="dxa"/>
            <w:shd w:val="clear" w:color="auto" w:fill="F2F2F2" w:themeFill="background1" w:themeFillShade="F2"/>
          </w:tcPr>
          <w:p w14:paraId="692282E3" w14:textId="3B7FE87C"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0.993</w:t>
            </w:r>
          </w:p>
        </w:tc>
      </w:tr>
      <w:tr w:rsidR="009A00A4" w:rsidRPr="00FF7C55" w14:paraId="0BF3CA18" w14:textId="77777777" w:rsidTr="00E45A62">
        <w:trPr>
          <w:trHeight w:val="162"/>
        </w:trPr>
        <w:tc>
          <w:tcPr>
            <w:tcW w:w="1028" w:type="dxa"/>
          </w:tcPr>
          <w:p w14:paraId="14280222" w14:textId="3506A641"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2018</w:t>
            </w:r>
          </w:p>
        </w:tc>
        <w:tc>
          <w:tcPr>
            <w:tcW w:w="1028" w:type="dxa"/>
          </w:tcPr>
          <w:p w14:paraId="5DE69CC1" w14:textId="5B24D0D8"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60,811 </w:t>
            </w:r>
          </w:p>
        </w:tc>
        <w:tc>
          <w:tcPr>
            <w:tcW w:w="1029" w:type="dxa"/>
          </w:tcPr>
          <w:p w14:paraId="7318801C" w14:textId="2E6CE861"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519,017 </w:t>
            </w:r>
          </w:p>
        </w:tc>
        <w:tc>
          <w:tcPr>
            <w:tcW w:w="1029" w:type="dxa"/>
          </w:tcPr>
          <w:p w14:paraId="0DF7B6E0" w14:textId="231B9906"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0.284</w:t>
            </w:r>
          </w:p>
        </w:tc>
        <w:tc>
          <w:tcPr>
            <w:tcW w:w="1029" w:type="dxa"/>
          </w:tcPr>
          <w:p w14:paraId="732F56DC" w14:textId="74CA2F1A"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0.284</w:t>
            </w:r>
          </w:p>
        </w:tc>
        <w:tc>
          <w:tcPr>
            <w:tcW w:w="1029" w:type="dxa"/>
          </w:tcPr>
          <w:p w14:paraId="7A242B8E" w14:textId="0B7DF3EE"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0.000</w:t>
            </w:r>
          </w:p>
        </w:tc>
        <w:tc>
          <w:tcPr>
            <w:tcW w:w="1029" w:type="dxa"/>
          </w:tcPr>
          <w:p w14:paraId="58A7EDAE" w14:textId="7A03B21F"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0.026</w:t>
            </w:r>
          </w:p>
        </w:tc>
        <w:tc>
          <w:tcPr>
            <w:tcW w:w="1029" w:type="dxa"/>
          </w:tcPr>
          <w:p w14:paraId="3D56193B" w14:textId="7AD54618"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0.002</w:t>
            </w:r>
          </w:p>
        </w:tc>
        <w:tc>
          <w:tcPr>
            <w:tcW w:w="1029" w:type="dxa"/>
          </w:tcPr>
          <w:p w14:paraId="2B12D14A" w14:textId="62EF0A37"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0.998</w:t>
            </w:r>
          </w:p>
        </w:tc>
      </w:tr>
      <w:tr w:rsidR="009A00A4" w:rsidRPr="00FF7C55" w14:paraId="34CD098A" w14:textId="77777777" w:rsidTr="00FF7C55">
        <w:trPr>
          <w:trHeight w:val="162"/>
        </w:trPr>
        <w:tc>
          <w:tcPr>
            <w:tcW w:w="1028" w:type="dxa"/>
            <w:shd w:val="clear" w:color="auto" w:fill="F2F2F2" w:themeFill="background1" w:themeFillShade="F2"/>
          </w:tcPr>
          <w:p w14:paraId="3F8BCC43" w14:textId="0767D7CB"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2023</w:t>
            </w:r>
          </w:p>
        </w:tc>
        <w:tc>
          <w:tcPr>
            <w:tcW w:w="1028" w:type="dxa"/>
            <w:shd w:val="clear" w:color="auto" w:fill="F2F2F2" w:themeFill="background1" w:themeFillShade="F2"/>
          </w:tcPr>
          <w:p w14:paraId="712805E0" w14:textId="35CE4B3B"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66,949 </w:t>
            </w:r>
          </w:p>
        </w:tc>
        <w:tc>
          <w:tcPr>
            <w:tcW w:w="1029" w:type="dxa"/>
            <w:shd w:val="clear" w:color="auto" w:fill="F2F2F2" w:themeFill="background1" w:themeFillShade="F2"/>
          </w:tcPr>
          <w:p w14:paraId="2776438F" w14:textId="4628F106"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 xml:space="preserve"> 567,299 </w:t>
            </w:r>
          </w:p>
        </w:tc>
        <w:tc>
          <w:tcPr>
            <w:tcW w:w="1029" w:type="dxa"/>
            <w:shd w:val="clear" w:color="auto" w:fill="F2F2F2" w:themeFill="background1" w:themeFillShade="F2"/>
          </w:tcPr>
          <w:p w14:paraId="7F0A8F0D" w14:textId="2BB33DCF"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0.358</w:t>
            </w:r>
          </w:p>
        </w:tc>
        <w:tc>
          <w:tcPr>
            <w:tcW w:w="1029" w:type="dxa"/>
            <w:shd w:val="clear" w:color="auto" w:fill="F2F2F2" w:themeFill="background1" w:themeFillShade="F2"/>
          </w:tcPr>
          <w:p w14:paraId="531ED836" w14:textId="165704BF"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0.284</w:t>
            </w:r>
          </w:p>
        </w:tc>
        <w:tc>
          <w:tcPr>
            <w:tcW w:w="1029" w:type="dxa"/>
            <w:shd w:val="clear" w:color="auto" w:fill="F2F2F2" w:themeFill="background1" w:themeFillShade="F2"/>
          </w:tcPr>
          <w:p w14:paraId="61597E6F" w14:textId="235DBEFF"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0.073</w:t>
            </w:r>
          </w:p>
        </w:tc>
        <w:tc>
          <w:tcPr>
            <w:tcW w:w="1029" w:type="dxa"/>
            <w:shd w:val="clear" w:color="auto" w:fill="F2F2F2" w:themeFill="background1" w:themeFillShade="F2"/>
          </w:tcPr>
          <w:p w14:paraId="41545AF7" w14:textId="5E750B89"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0.055</w:t>
            </w:r>
          </w:p>
        </w:tc>
        <w:tc>
          <w:tcPr>
            <w:tcW w:w="1029" w:type="dxa"/>
            <w:shd w:val="clear" w:color="auto" w:fill="F2F2F2" w:themeFill="background1" w:themeFillShade="F2"/>
          </w:tcPr>
          <w:p w14:paraId="5C328C1F" w14:textId="4B486AE0"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1.325</w:t>
            </w:r>
          </w:p>
        </w:tc>
        <w:tc>
          <w:tcPr>
            <w:tcW w:w="1029" w:type="dxa"/>
            <w:shd w:val="clear" w:color="auto" w:fill="F2F2F2" w:themeFill="background1" w:themeFillShade="F2"/>
          </w:tcPr>
          <w:p w14:paraId="1A366BAA" w14:textId="3438E0A1" w:rsidR="009A00A4" w:rsidRPr="00FF7C55" w:rsidRDefault="009A00A4" w:rsidP="00C939D1">
            <w:pPr>
              <w:jc w:val="both"/>
              <w:rPr>
                <w:rFonts w:ascii="Times New Roman" w:hAnsi="Times New Roman" w:cs="Times New Roman"/>
                <w:sz w:val="16"/>
                <w:szCs w:val="16"/>
              </w:rPr>
            </w:pPr>
            <w:r w:rsidRPr="00FF7C55">
              <w:rPr>
                <w:rFonts w:ascii="Times New Roman" w:hAnsi="Times New Roman" w:cs="Times New Roman"/>
                <w:sz w:val="16"/>
                <w:szCs w:val="16"/>
              </w:rPr>
              <w:t>0.187</w:t>
            </w:r>
          </w:p>
        </w:tc>
      </w:tr>
    </w:tbl>
    <w:p w14:paraId="1501994F" w14:textId="1D7371B7" w:rsidR="00050477" w:rsidRPr="00AF7AE3" w:rsidRDefault="00E45A62" w:rsidP="00C939D1">
      <w:pPr>
        <w:jc w:val="both"/>
        <w:rPr>
          <w:rFonts w:ascii="Times New Roman" w:hAnsi="Times New Roman" w:cs="Times New Roman"/>
        </w:rPr>
      </w:pPr>
      <w:r w:rsidRPr="00AF7AE3">
        <w:rPr>
          <w:rFonts w:ascii="Times New Roman" w:hAnsi="Times New Roman" w:cs="Times New Roman"/>
        </w:rPr>
        <w:t>Source: Own estimates using microdata from the Economic Census of Mexico</w:t>
      </w:r>
    </w:p>
    <w:p w14:paraId="21814063" w14:textId="77777777" w:rsidR="000969C0" w:rsidRPr="00AF7AE3" w:rsidRDefault="000969C0" w:rsidP="00C939D1">
      <w:pPr>
        <w:jc w:val="both"/>
        <w:rPr>
          <w:rFonts w:ascii="Times New Roman" w:hAnsi="Times New Roman" w:cs="Times New Roman"/>
        </w:rPr>
      </w:pPr>
    </w:p>
    <w:sectPr w:rsidR="000969C0" w:rsidRPr="00AF7A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F447F" w14:textId="77777777" w:rsidR="005864B2" w:rsidRDefault="005864B2" w:rsidP="00402D7D">
      <w:pPr>
        <w:spacing w:after="0" w:line="240" w:lineRule="auto"/>
      </w:pPr>
      <w:r>
        <w:separator/>
      </w:r>
    </w:p>
  </w:endnote>
  <w:endnote w:type="continuationSeparator" w:id="0">
    <w:p w14:paraId="44944319" w14:textId="77777777" w:rsidR="005864B2" w:rsidRDefault="005864B2" w:rsidP="00402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AC409" w14:textId="77777777" w:rsidR="005864B2" w:rsidRDefault="005864B2" w:rsidP="00402D7D">
      <w:pPr>
        <w:spacing w:after="0" w:line="240" w:lineRule="auto"/>
      </w:pPr>
      <w:r>
        <w:separator/>
      </w:r>
    </w:p>
  </w:footnote>
  <w:footnote w:type="continuationSeparator" w:id="0">
    <w:p w14:paraId="003A829E" w14:textId="77777777" w:rsidR="005864B2" w:rsidRDefault="005864B2" w:rsidP="00402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7608"/>
    <w:multiLevelType w:val="hybridMultilevel"/>
    <w:tmpl w:val="D5E41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A1A1C"/>
    <w:multiLevelType w:val="hybridMultilevel"/>
    <w:tmpl w:val="D1D46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37C3F"/>
    <w:multiLevelType w:val="hybridMultilevel"/>
    <w:tmpl w:val="A2203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E177E"/>
    <w:multiLevelType w:val="hybridMultilevel"/>
    <w:tmpl w:val="E6143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92B30"/>
    <w:multiLevelType w:val="hybridMultilevel"/>
    <w:tmpl w:val="2C063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D87B96"/>
    <w:multiLevelType w:val="hybridMultilevel"/>
    <w:tmpl w:val="0B2CF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D8176F"/>
    <w:multiLevelType w:val="hybridMultilevel"/>
    <w:tmpl w:val="46C0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416B36"/>
    <w:multiLevelType w:val="hybridMultilevel"/>
    <w:tmpl w:val="AC581734"/>
    <w:lvl w:ilvl="0" w:tplc="955EBA5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2F0521"/>
    <w:multiLevelType w:val="hybridMultilevel"/>
    <w:tmpl w:val="EA5A283E"/>
    <w:lvl w:ilvl="0" w:tplc="17A2E0F4">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C8A480">
      <w:start w:val="1"/>
      <w:numFmt w:val="lowerLetter"/>
      <w:lvlText w:val="%2"/>
      <w:lvlJc w:val="left"/>
      <w:pPr>
        <w:ind w:left="1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920324">
      <w:start w:val="1"/>
      <w:numFmt w:val="lowerRoman"/>
      <w:lvlText w:val="%3"/>
      <w:lvlJc w:val="left"/>
      <w:pPr>
        <w:ind w:left="1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868E6C">
      <w:start w:val="1"/>
      <w:numFmt w:val="decimal"/>
      <w:lvlText w:val="%4"/>
      <w:lvlJc w:val="left"/>
      <w:pPr>
        <w:ind w:left="2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10E0A2">
      <w:start w:val="1"/>
      <w:numFmt w:val="lowerLetter"/>
      <w:lvlText w:val="%5"/>
      <w:lvlJc w:val="left"/>
      <w:pPr>
        <w:ind w:left="3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647618">
      <w:start w:val="1"/>
      <w:numFmt w:val="lowerRoman"/>
      <w:lvlText w:val="%6"/>
      <w:lvlJc w:val="left"/>
      <w:pPr>
        <w:ind w:left="4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42ECD0">
      <w:start w:val="1"/>
      <w:numFmt w:val="decimal"/>
      <w:lvlText w:val="%7"/>
      <w:lvlJc w:val="left"/>
      <w:pPr>
        <w:ind w:left="4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2429CE">
      <w:start w:val="1"/>
      <w:numFmt w:val="lowerLetter"/>
      <w:lvlText w:val="%8"/>
      <w:lvlJc w:val="left"/>
      <w:pPr>
        <w:ind w:left="5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07869CE">
      <w:start w:val="1"/>
      <w:numFmt w:val="lowerRoman"/>
      <w:lvlText w:val="%9"/>
      <w:lvlJc w:val="left"/>
      <w:pPr>
        <w:ind w:left="6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C434AF4"/>
    <w:multiLevelType w:val="hybridMultilevel"/>
    <w:tmpl w:val="5F104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EA3A79"/>
    <w:multiLevelType w:val="hybridMultilevel"/>
    <w:tmpl w:val="F3C8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D2D11"/>
    <w:multiLevelType w:val="hybridMultilevel"/>
    <w:tmpl w:val="369EC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51086E"/>
    <w:multiLevelType w:val="hybridMultilevel"/>
    <w:tmpl w:val="42ECD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7D7130"/>
    <w:multiLevelType w:val="hybridMultilevel"/>
    <w:tmpl w:val="05C6D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E6F16"/>
    <w:multiLevelType w:val="hybridMultilevel"/>
    <w:tmpl w:val="CFD48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68336D"/>
    <w:multiLevelType w:val="hybridMultilevel"/>
    <w:tmpl w:val="29EA6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8913058">
    <w:abstractNumId w:val="8"/>
  </w:num>
  <w:num w:numId="2" w16cid:durableId="993027655">
    <w:abstractNumId w:val="7"/>
  </w:num>
  <w:num w:numId="3" w16cid:durableId="2021933524">
    <w:abstractNumId w:val="1"/>
  </w:num>
  <w:num w:numId="4" w16cid:durableId="1658001208">
    <w:abstractNumId w:val="12"/>
  </w:num>
  <w:num w:numId="5" w16cid:durableId="1964848988">
    <w:abstractNumId w:val="4"/>
  </w:num>
  <w:num w:numId="6" w16cid:durableId="1630432648">
    <w:abstractNumId w:val="9"/>
  </w:num>
  <w:num w:numId="7" w16cid:durableId="258414048">
    <w:abstractNumId w:val="10"/>
  </w:num>
  <w:num w:numId="8" w16cid:durableId="673268969">
    <w:abstractNumId w:val="13"/>
  </w:num>
  <w:num w:numId="9" w16cid:durableId="117919418">
    <w:abstractNumId w:val="0"/>
  </w:num>
  <w:num w:numId="10" w16cid:durableId="1991058667">
    <w:abstractNumId w:val="15"/>
  </w:num>
  <w:num w:numId="11" w16cid:durableId="968706628">
    <w:abstractNumId w:val="6"/>
  </w:num>
  <w:num w:numId="12" w16cid:durableId="234896965">
    <w:abstractNumId w:val="2"/>
  </w:num>
  <w:num w:numId="13" w16cid:durableId="1795755040">
    <w:abstractNumId w:val="5"/>
  </w:num>
  <w:num w:numId="14" w16cid:durableId="1957058485">
    <w:abstractNumId w:val="14"/>
  </w:num>
  <w:num w:numId="15" w16cid:durableId="1997761515">
    <w:abstractNumId w:val="11"/>
  </w:num>
  <w:num w:numId="16" w16cid:durableId="1812363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48"/>
    <w:rsid w:val="00000803"/>
    <w:rsid w:val="000021F1"/>
    <w:rsid w:val="00002250"/>
    <w:rsid w:val="00003A6A"/>
    <w:rsid w:val="00004DA2"/>
    <w:rsid w:val="00004F00"/>
    <w:rsid w:val="00005C59"/>
    <w:rsid w:val="00006CF6"/>
    <w:rsid w:val="00006F49"/>
    <w:rsid w:val="0000736C"/>
    <w:rsid w:val="00007C8F"/>
    <w:rsid w:val="00011090"/>
    <w:rsid w:val="00013912"/>
    <w:rsid w:val="00013E41"/>
    <w:rsid w:val="000155B2"/>
    <w:rsid w:val="000168F4"/>
    <w:rsid w:val="00020069"/>
    <w:rsid w:val="0002112C"/>
    <w:rsid w:val="00022502"/>
    <w:rsid w:val="00024126"/>
    <w:rsid w:val="00027832"/>
    <w:rsid w:val="00027B9C"/>
    <w:rsid w:val="00031917"/>
    <w:rsid w:val="0003222A"/>
    <w:rsid w:val="00032698"/>
    <w:rsid w:val="00032740"/>
    <w:rsid w:val="00033A5C"/>
    <w:rsid w:val="00033E02"/>
    <w:rsid w:val="00033EC0"/>
    <w:rsid w:val="00037D1D"/>
    <w:rsid w:val="00041CAC"/>
    <w:rsid w:val="0004414A"/>
    <w:rsid w:val="0004538A"/>
    <w:rsid w:val="00046AA5"/>
    <w:rsid w:val="00050477"/>
    <w:rsid w:val="000505FF"/>
    <w:rsid w:val="000519EC"/>
    <w:rsid w:val="00051AA6"/>
    <w:rsid w:val="00053472"/>
    <w:rsid w:val="000556B7"/>
    <w:rsid w:val="000607BC"/>
    <w:rsid w:val="00061DC6"/>
    <w:rsid w:val="0006331C"/>
    <w:rsid w:val="000636AC"/>
    <w:rsid w:val="000639DD"/>
    <w:rsid w:val="0006601F"/>
    <w:rsid w:val="00066349"/>
    <w:rsid w:val="00070E2C"/>
    <w:rsid w:val="00073CE6"/>
    <w:rsid w:val="00074B8A"/>
    <w:rsid w:val="000810CF"/>
    <w:rsid w:val="00081393"/>
    <w:rsid w:val="00082360"/>
    <w:rsid w:val="00087CE9"/>
    <w:rsid w:val="00091C5A"/>
    <w:rsid w:val="0009259B"/>
    <w:rsid w:val="000956F4"/>
    <w:rsid w:val="000969C0"/>
    <w:rsid w:val="000A0313"/>
    <w:rsid w:val="000A2F68"/>
    <w:rsid w:val="000A3A2E"/>
    <w:rsid w:val="000A4EDD"/>
    <w:rsid w:val="000A7980"/>
    <w:rsid w:val="000B2857"/>
    <w:rsid w:val="000C01CC"/>
    <w:rsid w:val="000C17AD"/>
    <w:rsid w:val="000C27E7"/>
    <w:rsid w:val="000C363B"/>
    <w:rsid w:val="000C4C27"/>
    <w:rsid w:val="000C55B3"/>
    <w:rsid w:val="000C57DD"/>
    <w:rsid w:val="000D0A4C"/>
    <w:rsid w:val="000D7929"/>
    <w:rsid w:val="000D7AA8"/>
    <w:rsid w:val="000E180D"/>
    <w:rsid w:val="000E7710"/>
    <w:rsid w:val="000F049F"/>
    <w:rsid w:val="000F1E89"/>
    <w:rsid w:val="000F2152"/>
    <w:rsid w:val="000F2668"/>
    <w:rsid w:val="000F2EF1"/>
    <w:rsid w:val="000F4EC6"/>
    <w:rsid w:val="000F5302"/>
    <w:rsid w:val="000F5B32"/>
    <w:rsid w:val="000F6B13"/>
    <w:rsid w:val="0010462E"/>
    <w:rsid w:val="0010582F"/>
    <w:rsid w:val="00106A45"/>
    <w:rsid w:val="00106DB5"/>
    <w:rsid w:val="00111392"/>
    <w:rsid w:val="00113E67"/>
    <w:rsid w:val="00115C71"/>
    <w:rsid w:val="00117613"/>
    <w:rsid w:val="00120219"/>
    <w:rsid w:val="001209E8"/>
    <w:rsid w:val="00121C33"/>
    <w:rsid w:val="00122D79"/>
    <w:rsid w:val="0012337C"/>
    <w:rsid w:val="00125EFA"/>
    <w:rsid w:val="00126501"/>
    <w:rsid w:val="00127DD0"/>
    <w:rsid w:val="00127EF6"/>
    <w:rsid w:val="00130B84"/>
    <w:rsid w:val="00131C02"/>
    <w:rsid w:val="001323AA"/>
    <w:rsid w:val="001343AB"/>
    <w:rsid w:val="00135A52"/>
    <w:rsid w:val="00136281"/>
    <w:rsid w:val="00136333"/>
    <w:rsid w:val="001364D7"/>
    <w:rsid w:val="00140E38"/>
    <w:rsid w:val="00141248"/>
    <w:rsid w:val="001446BE"/>
    <w:rsid w:val="001456A8"/>
    <w:rsid w:val="00150CB6"/>
    <w:rsid w:val="00152497"/>
    <w:rsid w:val="00155EB5"/>
    <w:rsid w:val="00156709"/>
    <w:rsid w:val="00156BDE"/>
    <w:rsid w:val="0015726F"/>
    <w:rsid w:val="001579DA"/>
    <w:rsid w:val="00157C70"/>
    <w:rsid w:val="0016226E"/>
    <w:rsid w:val="00164134"/>
    <w:rsid w:val="00165174"/>
    <w:rsid w:val="001660D0"/>
    <w:rsid w:val="00166A7F"/>
    <w:rsid w:val="001724BD"/>
    <w:rsid w:val="001740FA"/>
    <w:rsid w:val="00174857"/>
    <w:rsid w:val="00176CF8"/>
    <w:rsid w:val="00176F34"/>
    <w:rsid w:val="00182511"/>
    <w:rsid w:val="00182EA4"/>
    <w:rsid w:val="001850C9"/>
    <w:rsid w:val="00186778"/>
    <w:rsid w:val="00186A8F"/>
    <w:rsid w:val="00186F89"/>
    <w:rsid w:val="00187B19"/>
    <w:rsid w:val="001905D1"/>
    <w:rsid w:val="00191F53"/>
    <w:rsid w:val="001922D7"/>
    <w:rsid w:val="00195131"/>
    <w:rsid w:val="001965C0"/>
    <w:rsid w:val="001A066B"/>
    <w:rsid w:val="001A1AE8"/>
    <w:rsid w:val="001A1ECB"/>
    <w:rsid w:val="001A2A85"/>
    <w:rsid w:val="001A3EA7"/>
    <w:rsid w:val="001B098D"/>
    <w:rsid w:val="001B1368"/>
    <w:rsid w:val="001B1FA5"/>
    <w:rsid w:val="001B2674"/>
    <w:rsid w:val="001B2AEB"/>
    <w:rsid w:val="001B4A9E"/>
    <w:rsid w:val="001B62FF"/>
    <w:rsid w:val="001B6B3E"/>
    <w:rsid w:val="001B74FB"/>
    <w:rsid w:val="001B7510"/>
    <w:rsid w:val="001B7877"/>
    <w:rsid w:val="001C0FC3"/>
    <w:rsid w:val="001C1147"/>
    <w:rsid w:val="001C1628"/>
    <w:rsid w:val="001C1D39"/>
    <w:rsid w:val="001C2438"/>
    <w:rsid w:val="001C322D"/>
    <w:rsid w:val="001C4223"/>
    <w:rsid w:val="001C4725"/>
    <w:rsid w:val="001C5606"/>
    <w:rsid w:val="001C57E2"/>
    <w:rsid w:val="001C598D"/>
    <w:rsid w:val="001C5DFF"/>
    <w:rsid w:val="001C5FFE"/>
    <w:rsid w:val="001C7639"/>
    <w:rsid w:val="001D4C2A"/>
    <w:rsid w:val="001D604A"/>
    <w:rsid w:val="001D78B1"/>
    <w:rsid w:val="001E2404"/>
    <w:rsid w:val="001E2566"/>
    <w:rsid w:val="001E29BA"/>
    <w:rsid w:val="001E3B97"/>
    <w:rsid w:val="001E3F48"/>
    <w:rsid w:val="001E452A"/>
    <w:rsid w:val="001E7090"/>
    <w:rsid w:val="001E7631"/>
    <w:rsid w:val="001E7907"/>
    <w:rsid w:val="001F0E75"/>
    <w:rsid w:val="001F30E7"/>
    <w:rsid w:val="001F36FD"/>
    <w:rsid w:val="0020208C"/>
    <w:rsid w:val="00204759"/>
    <w:rsid w:val="00204ED4"/>
    <w:rsid w:val="0020786B"/>
    <w:rsid w:val="002078AF"/>
    <w:rsid w:val="00213099"/>
    <w:rsid w:val="00213EA0"/>
    <w:rsid w:val="002148B0"/>
    <w:rsid w:val="00215058"/>
    <w:rsid w:val="00215399"/>
    <w:rsid w:val="00215437"/>
    <w:rsid w:val="00216724"/>
    <w:rsid w:val="00217B9B"/>
    <w:rsid w:val="002207CE"/>
    <w:rsid w:val="002216FD"/>
    <w:rsid w:val="00222226"/>
    <w:rsid w:val="002229AD"/>
    <w:rsid w:val="002258B2"/>
    <w:rsid w:val="00232194"/>
    <w:rsid w:val="00233D1D"/>
    <w:rsid w:val="00235163"/>
    <w:rsid w:val="00237112"/>
    <w:rsid w:val="002371C7"/>
    <w:rsid w:val="00242726"/>
    <w:rsid w:val="00242961"/>
    <w:rsid w:val="00242FE4"/>
    <w:rsid w:val="00242FEF"/>
    <w:rsid w:val="00244203"/>
    <w:rsid w:val="00245924"/>
    <w:rsid w:val="002465B9"/>
    <w:rsid w:val="0025081F"/>
    <w:rsid w:val="00251A70"/>
    <w:rsid w:val="00256015"/>
    <w:rsid w:val="00256805"/>
    <w:rsid w:val="00261B39"/>
    <w:rsid w:val="00262FE7"/>
    <w:rsid w:val="00263838"/>
    <w:rsid w:val="00263C2B"/>
    <w:rsid w:val="00266FCB"/>
    <w:rsid w:val="00271E3F"/>
    <w:rsid w:val="00272F0A"/>
    <w:rsid w:val="00273C2D"/>
    <w:rsid w:val="00275B86"/>
    <w:rsid w:val="00280877"/>
    <w:rsid w:val="00283037"/>
    <w:rsid w:val="00284C10"/>
    <w:rsid w:val="002857F3"/>
    <w:rsid w:val="002859A2"/>
    <w:rsid w:val="002874C3"/>
    <w:rsid w:val="00291B07"/>
    <w:rsid w:val="00292155"/>
    <w:rsid w:val="002927A5"/>
    <w:rsid w:val="00292A8B"/>
    <w:rsid w:val="00294DB3"/>
    <w:rsid w:val="00297274"/>
    <w:rsid w:val="002A068C"/>
    <w:rsid w:val="002A0AEE"/>
    <w:rsid w:val="002A13F7"/>
    <w:rsid w:val="002A57B5"/>
    <w:rsid w:val="002A75D3"/>
    <w:rsid w:val="002A7779"/>
    <w:rsid w:val="002A7CA6"/>
    <w:rsid w:val="002B25EF"/>
    <w:rsid w:val="002B3CD7"/>
    <w:rsid w:val="002B4048"/>
    <w:rsid w:val="002B4699"/>
    <w:rsid w:val="002B4DA5"/>
    <w:rsid w:val="002B5054"/>
    <w:rsid w:val="002C17E8"/>
    <w:rsid w:val="002C2A46"/>
    <w:rsid w:val="002C40A5"/>
    <w:rsid w:val="002C4F8B"/>
    <w:rsid w:val="002C56BB"/>
    <w:rsid w:val="002C5A69"/>
    <w:rsid w:val="002C7067"/>
    <w:rsid w:val="002D1DFB"/>
    <w:rsid w:val="002D20C4"/>
    <w:rsid w:val="002D2167"/>
    <w:rsid w:val="002D5CB3"/>
    <w:rsid w:val="002E0793"/>
    <w:rsid w:val="002E0C77"/>
    <w:rsid w:val="002E488E"/>
    <w:rsid w:val="002E7F91"/>
    <w:rsid w:val="002F1131"/>
    <w:rsid w:val="002F1F9B"/>
    <w:rsid w:val="002F23C4"/>
    <w:rsid w:val="002F430A"/>
    <w:rsid w:val="003007A5"/>
    <w:rsid w:val="00300A79"/>
    <w:rsid w:val="00304607"/>
    <w:rsid w:val="00304C40"/>
    <w:rsid w:val="00305CAC"/>
    <w:rsid w:val="00306790"/>
    <w:rsid w:val="00307905"/>
    <w:rsid w:val="00311D5C"/>
    <w:rsid w:val="003133B0"/>
    <w:rsid w:val="003141FF"/>
    <w:rsid w:val="003145C5"/>
    <w:rsid w:val="00314F70"/>
    <w:rsid w:val="00315BB0"/>
    <w:rsid w:val="00317044"/>
    <w:rsid w:val="00317657"/>
    <w:rsid w:val="003209BC"/>
    <w:rsid w:val="00320E69"/>
    <w:rsid w:val="003228C0"/>
    <w:rsid w:val="00322C8B"/>
    <w:rsid w:val="00323406"/>
    <w:rsid w:val="0032457E"/>
    <w:rsid w:val="0033144C"/>
    <w:rsid w:val="00332938"/>
    <w:rsid w:val="00332B33"/>
    <w:rsid w:val="00332DFE"/>
    <w:rsid w:val="00333F99"/>
    <w:rsid w:val="00335EAF"/>
    <w:rsid w:val="00336EB1"/>
    <w:rsid w:val="0034023D"/>
    <w:rsid w:val="00344311"/>
    <w:rsid w:val="00347DBD"/>
    <w:rsid w:val="003506C2"/>
    <w:rsid w:val="00350A29"/>
    <w:rsid w:val="00352621"/>
    <w:rsid w:val="00352BF5"/>
    <w:rsid w:val="00354293"/>
    <w:rsid w:val="00355169"/>
    <w:rsid w:val="00355385"/>
    <w:rsid w:val="003561A5"/>
    <w:rsid w:val="00357128"/>
    <w:rsid w:val="00362D46"/>
    <w:rsid w:val="0036324E"/>
    <w:rsid w:val="00363A90"/>
    <w:rsid w:val="00363E58"/>
    <w:rsid w:val="0036569C"/>
    <w:rsid w:val="003728B0"/>
    <w:rsid w:val="003735BB"/>
    <w:rsid w:val="0037443E"/>
    <w:rsid w:val="00375899"/>
    <w:rsid w:val="00377075"/>
    <w:rsid w:val="0038399E"/>
    <w:rsid w:val="00384B8E"/>
    <w:rsid w:val="00390242"/>
    <w:rsid w:val="00391D7A"/>
    <w:rsid w:val="00392247"/>
    <w:rsid w:val="003934C5"/>
    <w:rsid w:val="003A0B17"/>
    <w:rsid w:val="003A289A"/>
    <w:rsid w:val="003A2B23"/>
    <w:rsid w:val="003A3F9B"/>
    <w:rsid w:val="003A40CA"/>
    <w:rsid w:val="003A6B04"/>
    <w:rsid w:val="003B1015"/>
    <w:rsid w:val="003B40F9"/>
    <w:rsid w:val="003B75F4"/>
    <w:rsid w:val="003C0A51"/>
    <w:rsid w:val="003C2525"/>
    <w:rsid w:val="003C290D"/>
    <w:rsid w:val="003C461E"/>
    <w:rsid w:val="003C5E1C"/>
    <w:rsid w:val="003C65E1"/>
    <w:rsid w:val="003D0E32"/>
    <w:rsid w:val="003D1691"/>
    <w:rsid w:val="003D1D7F"/>
    <w:rsid w:val="003D266C"/>
    <w:rsid w:val="003D2709"/>
    <w:rsid w:val="003D28A0"/>
    <w:rsid w:val="003D451E"/>
    <w:rsid w:val="003D5094"/>
    <w:rsid w:val="003D52C0"/>
    <w:rsid w:val="003E0A98"/>
    <w:rsid w:val="003E0BE9"/>
    <w:rsid w:val="003E21BB"/>
    <w:rsid w:val="003E5EB4"/>
    <w:rsid w:val="003E6E3C"/>
    <w:rsid w:val="003E6E57"/>
    <w:rsid w:val="003E764B"/>
    <w:rsid w:val="003E7A0D"/>
    <w:rsid w:val="003E7C7A"/>
    <w:rsid w:val="003F1012"/>
    <w:rsid w:val="003F3253"/>
    <w:rsid w:val="003F3325"/>
    <w:rsid w:val="003F387F"/>
    <w:rsid w:val="003F3E15"/>
    <w:rsid w:val="003F4491"/>
    <w:rsid w:val="003F4E57"/>
    <w:rsid w:val="003F5D4E"/>
    <w:rsid w:val="003F6088"/>
    <w:rsid w:val="003F76D2"/>
    <w:rsid w:val="003F775E"/>
    <w:rsid w:val="00402D7D"/>
    <w:rsid w:val="004042C6"/>
    <w:rsid w:val="00412CCC"/>
    <w:rsid w:val="00420275"/>
    <w:rsid w:val="00421344"/>
    <w:rsid w:val="00422E0F"/>
    <w:rsid w:val="0042424E"/>
    <w:rsid w:val="00424CF9"/>
    <w:rsid w:val="00425E75"/>
    <w:rsid w:val="00426AD6"/>
    <w:rsid w:val="0042748C"/>
    <w:rsid w:val="004312F3"/>
    <w:rsid w:val="00432B0F"/>
    <w:rsid w:val="00432EE5"/>
    <w:rsid w:val="004359C2"/>
    <w:rsid w:val="00437453"/>
    <w:rsid w:val="0044099E"/>
    <w:rsid w:val="0044130E"/>
    <w:rsid w:val="00443ABD"/>
    <w:rsid w:val="00446884"/>
    <w:rsid w:val="004502A3"/>
    <w:rsid w:val="00451AE1"/>
    <w:rsid w:val="00453106"/>
    <w:rsid w:val="00453AB6"/>
    <w:rsid w:val="00454697"/>
    <w:rsid w:val="004557AD"/>
    <w:rsid w:val="00460619"/>
    <w:rsid w:val="00460A13"/>
    <w:rsid w:val="00461B2C"/>
    <w:rsid w:val="00461B76"/>
    <w:rsid w:val="00465511"/>
    <w:rsid w:val="00472383"/>
    <w:rsid w:val="00472F30"/>
    <w:rsid w:val="0047337D"/>
    <w:rsid w:val="00473700"/>
    <w:rsid w:val="0047407E"/>
    <w:rsid w:val="00480891"/>
    <w:rsid w:val="004809A8"/>
    <w:rsid w:val="004820AB"/>
    <w:rsid w:val="00484770"/>
    <w:rsid w:val="00485669"/>
    <w:rsid w:val="00486E85"/>
    <w:rsid w:val="0049045B"/>
    <w:rsid w:val="004905B4"/>
    <w:rsid w:val="00491E1E"/>
    <w:rsid w:val="004957EB"/>
    <w:rsid w:val="00496F0E"/>
    <w:rsid w:val="00496FFA"/>
    <w:rsid w:val="004A196F"/>
    <w:rsid w:val="004A2D46"/>
    <w:rsid w:val="004A3288"/>
    <w:rsid w:val="004A479C"/>
    <w:rsid w:val="004B0262"/>
    <w:rsid w:val="004B0491"/>
    <w:rsid w:val="004B099B"/>
    <w:rsid w:val="004B2C58"/>
    <w:rsid w:val="004B43DF"/>
    <w:rsid w:val="004B44C1"/>
    <w:rsid w:val="004B62FD"/>
    <w:rsid w:val="004C04CA"/>
    <w:rsid w:val="004C2FFE"/>
    <w:rsid w:val="004C778D"/>
    <w:rsid w:val="004D0016"/>
    <w:rsid w:val="004D1601"/>
    <w:rsid w:val="004D4759"/>
    <w:rsid w:val="004D4DF0"/>
    <w:rsid w:val="004D7982"/>
    <w:rsid w:val="004E562B"/>
    <w:rsid w:val="004E7A53"/>
    <w:rsid w:val="004F0913"/>
    <w:rsid w:val="004F397E"/>
    <w:rsid w:val="004F3BA6"/>
    <w:rsid w:val="004F4BEA"/>
    <w:rsid w:val="004F5E4B"/>
    <w:rsid w:val="004F7091"/>
    <w:rsid w:val="005004EB"/>
    <w:rsid w:val="00502572"/>
    <w:rsid w:val="00503C86"/>
    <w:rsid w:val="00507B02"/>
    <w:rsid w:val="00511A3B"/>
    <w:rsid w:val="00513C98"/>
    <w:rsid w:val="005143FC"/>
    <w:rsid w:val="00515A59"/>
    <w:rsid w:val="00515EFD"/>
    <w:rsid w:val="00516373"/>
    <w:rsid w:val="00517673"/>
    <w:rsid w:val="005276B1"/>
    <w:rsid w:val="00530C36"/>
    <w:rsid w:val="00530FC8"/>
    <w:rsid w:val="00532878"/>
    <w:rsid w:val="00533869"/>
    <w:rsid w:val="005354A9"/>
    <w:rsid w:val="0053774B"/>
    <w:rsid w:val="005425EC"/>
    <w:rsid w:val="00542711"/>
    <w:rsid w:val="00547BF7"/>
    <w:rsid w:val="00552D5D"/>
    <w:rsid w:val="00554D41"/>
    <w:rsid w:val="00554F30"/>
    <w:rsid w:val="00556C5C"/>
    <w:rsid w:val="00561472"/>
    <w:rsid w:val="005624CD"/>
    <w:rsid w:val="00571630"/>
    <w:rsid w:val="00576336"/>
    <w:rsid w:val="00577972"/>
    <w:rsid w:val="00577EA5"/>
    <w:rsid w:val="00580FF9"/>
    <w:rsid w:val="0058129F"/>
    <w:rsid w:val="00581C8F"/>
    <w:rsid w:val="00582A2C"/>
    <w:rsid w:val="00584082"/>
    <w:rsid w:val="00585CD9"/>
    <w:rsid w:val="00585FCE"/>
    <w:rsid w:val="005864B2"/>
    <w:rsid w:val="00590F8A"/>
    <w:rsid w:val="0059543E"/>
    <w:rsid w:val="00596470"/>
    <w:rsid w:val="005A05F3"/>
    <w:rsid w:val="005A1870"/>
    <w:rsid w:val="005A27A1"/>
    <w:rsid w:val="005A45D0"/>
    <w:rsid w:val="005A5BA0"/>
    <w:rsid w:val="005A6572"/>
    <w:rsid w:val="005A675D"/>
    <w:rsid w:val="005A6B5F"/>
    <w:rsid w:val="005A7E26"/>
    <w:rsid w:val="005B24DB"/>
    <w:rsid w:val="005B3A44"/>
    <w:rsid w:val="005B3D0D"/>
    <w:rsid w:val="005B7229"/>
    <w:rsid w:val="005C27E4"/>
    <w:rsid w:val="005C3701"/>
    <w:rsid w:val="005C6508"/>
    <w:rsid w:val="005C7084"/>
    <w:rsid w:val="005C71F4"/>
    <w:rsid w:val="005D3581"/>
    <w:rsid w:val="005D3D90"/>
    <w:rsid w:val="005D7601"/>
    <w:rsid w:val="005E0C94"/>
    <w:rsid w:val="005E44C6"/>
    <w:rsid w:val="005E462A"/>
    <w:rsid w:val="005E5972"/>
    <w:rsid w:val="005E5B9F"/>
    <w:rsid w:val="005E62C9"/>
    <w:rsid w:val="005E66FC"/>
    <w:rsid w:val="005E7995"/>
    <w:rsid w:val="005F3AFA"/>
    <w:rsid w:val="005F3D19"/>
    <w:rsid w:val="00601A6F"/>
    <w:rsid w:val="00601B57"/>
    <w:rsid w:val="006026B5"/>
    <w:rsid w:val="00603266"/>
    <w:rsid w:val="0060408D"/>
    <w:rsid w:val="0060693B"/>
    <w:rsid w:val="00606D9F"/>
    <w:rsid w:val="00607573"/>
    <w:rsid w:val="0061131D"/>
    <w:rsid w:val="0061362F"/>
    <w:rsid w:val="00613BF7"/>
    <w:rsid w:val="00613D71"/>
    <w:rsid w:val="00613D7A"/>
    <w:rsid w:val="006167A8"/>
    <w:rsid w:val="0061746C"/>
    <w:rsid w:val="006175B4"/>
    <w:rsid w:val="00617F97"/>
    <w:rsid w:val="006205C3"/>
    <w:rsid w:val="006215AC"/>
    <w:rsid w:val="00624A41"/>
    <w:rsid w:val="006258AE"/>
    <w:rsid w:val="006262BF"/>
    <w:rsid w:val="00626611"/>
    <w:rsid w:val="00626638"/>
    <w:rsid w:val="00626EBB"/>
    <w:rsid w:val="00626F89"/>
    <w:rsid w:val="00627397"/>
    <w:rsid w:val="00632193"/>
    <w:rsid w:val="00632CBE"/>
    <w:rsid w:val="006349BD"/>
    <w:rsid w:val="00634BC3"/>
    <w:rsid w:val="0063507C"/>
    <w:rsid w:val="00635F2C"/>
    <w:rsid w:val="0063634A"/>
    <w:rsid w:val="006364D9"/>
    <w:rsid w:val="00640399"/>
    <w:rsid w:val="00641549"/>
    <w:rsid w:val="006431B0"/>
    <w:rsid w:val="006435D8"/>
    <w:rsid w:val="00643F19"/>
    <w:rsid w:val="00644349"/>
    <w:rsid w:val="00644AEF"/>
    <w:rsid w:val="00647DD1"/>
    <w:rsid w:val="00650E4E"/>
    <w:rsid w:val="006513D8"/>
    <w:rsid w:val="006530CB"/>
    <w:rsid w:val="0065314F"/>
    <w:rsid w:val="00653F66"/>
    <w:rsid w:val="006561B6"/>
    <w:rsid w:val="006576C1"/>
    <w:rsid w:val="0066327F"/>
    <w:rsid w:val="006639F4"/>
    <w:rsid w:val="00666686"/>
    <w:rsid w:val="00666B77"/>
    <w:rsid w:val="00667659"/>
    <w:rsid w:val="00670B41"/>
    <w:rsid w:val="00670D71"/>
    <w:rsid w:val="006710D4"/>
    <w:rsid w:val="00672BEF"/>
    <w:rsid w:val="00673A6C"/>
    <w:rsid w:val="00673C51"/>
    <w:rsid w:val="00673F88"/>
    <w:rsid w:val="00674830"/>
    <w:rsid w:val="006748BB"/>
    <w:rsid w:val="006751B8"/>
    <w:rsid w:val="006759E7"/>
    <w:rsid w:val="00677403"/>
    <w:rsid w:val="006818F2"/>
    <w:rsid w:val="006822AB"/>
    <w:rsid w:val="00683A34"/>
    <w:rsid w:val="00683C2C"/>
    <w:rsid w:val="00685022"/>
    <w:rsid w:val="00687E44"/>
    <w:rsid w:val="006909D2"/>
    <w:rsid w:val="0069149C"/>
    <w:rsid w:val="00693BDF"/>
    <w:rsid w:val="0069554F"/>
    <w:rsid w:val="00695FB4"/>
    <w:rsid w:val="00696911"/>
    <w:rsid w:val="006A0E4D"/>
    <w:rsid w:val="006A3065"/>
    <w:rsid w:val="006A43D9"/>
    <w:rsid w:val="006A5BC7"/>
    <w:rsid w:val="006A5E66"/>
    <w:rsid w:val="006B05D0"/>
    <w:rsid w:val="006B08F4"/>
    <w:rsid w:val="006B0ABB"/>
    <w:rsid w:val="006B0BEA"/>
    <w:rsid w:val="006B6DF9"/>
    <w:rsid w:val="006B74C4"/>
    <w:rsid w:val="006B77B0"/>
    <w:rsid w:val="006B7AB7"/>
    <w:rsid w:val="006C12F6"/>
    <w:rsid w:val="006C3D86"/>
    <w:rsid w:val="006C58B5"/>
    <w:rsid w:val="006C7859"/>
    <w:rsid w:val="006D00E6"/>
    <w:rsid w:val="006D0336"/>
    <w:rsid w:val="006D0B0B"/>
    <w:rsid w:val="006D0FF3"/>
    <w:rsid w:val="006D13B8"/>
    <w:rsid w:val="006E0340"/>
    <w:rsid w:val="006E0FB3"/>
    <w:rsid w:val="006E2D2C"/>
    <w:rsid w:val="006E30B5"/>
    <w:rsid w:val="006E382E"/>
    <w:rsid w:val="006F0EAF"/>
    <w:rsid w:val="006F2DBC"/>
    <w:rsid w:val="006F30DA"/>
    <w:rsid w:val="006F3CD3"/>
    <w:rsid w:val="006F4081"/>
    <w:rsid w:val="006F60CD"/>
    <w:rsid w:val="006F7003"/>
    <w:rsid w:val="006F7827"/>
    <w:rsid w:val="007006EA"/>
    <w:rsid w:val="0070078D"/>
    <w:rsid w:val="007008C4"/>
    <w:rsid w:val="007030B3"/>
    <w:rsid w:val="00710875"/>
    <w:rsid w:val="00711B07"/>
    <w:rsid w:val="0071490B"/>
    <w:rsid w:val="00715568"/>
    <w:rsid w:val="00717E96"/>
    <w:rsid w:val="00720B36"/>
    <w:rsid w:val="00721895"/>
    <w:rsid w:val="007235C9"/>
    <w:rsid w:val="00723AFF"/>
    <w:rsid w:val="00723D7C"/>
    <w:rsid w:val="007249D3"/>
    <w:rsid w:val="0072502A"/>
    <w:rsid w:val="007266E2"/>
    <w:rsid w:val="00726D2B"/>
    <w:rsid w:val="00727E20"/>
    <w:rsid w:val="00730F67"/>
    <w:rsid w:val="0073229F"/>
    <w:rsid w:val="0073426B"/>
    <w:rsid w:val="007352B6"/>
    <w:rsid w:val="00737771"/>
    <w:rsid w:val="00741428"/>
    <w:rsid w:val="007427EA"/>
    <w:rsid w:val="007431F6"/>
    <w:rsid w:val="007454EC"/>
    <w:rsid w:val="00746040"/>
    <w:rsid w:val="0074735D"/>
    <w:rsid w:val="00750E86"/>
    <w:rsid w:val="00751FA5"/>
    <w:rsid w:val="00751FEB"/>
    <w:rsid w:val="00753DDD"/>
    <w:rsid w:val="00754E73"/>
    <w:rsid w:val="0075714A"/>
    <w:rsid w:val="0075782E"/>
    <w:rsid w:val="00760DD0"/>
    <w:rsid w:val="00762ED6"/>
    <w:rsid w:val="0076476B"/>
    <w:rsid w:val="007658EA"/>
    <w:rsid w:val="00765D44"/>
    <w:rsid w:val="007669D1"/>
    <w:rsid w:val="00770F7D"/>
    <w:rsid w:val="00771117"/>
    <w:rsid w:val="007715BA"/>
    <w:rsid w:val="0077565A"/>
    <w:rsid w:val="00775AE5"/>
    <w:rsid w:val="00776377"/>
    <w:rsid w:val="00777334"/>
    <w:rsid w:val="00777496"/>
    <w:rsid w:val="0078069A"/>
    <w:rsid w:val="007808B9"/>
    <w:rsid w:val="007831F2"/>
    <w:rsid w:val="00783B37"/>
    <w:rsid w:val="0078502D"/>
    <w:rsid w:val="0078706B"/>
    <w:rsid w:val="007908B5"/>
    <w:rsid w:val="00790E24"/>
    <w:rsid w:val="007913BA"/>
    <w:rsid w:val="007917AF"/>
    <w:rsid w:val="00793696"/>
    <w:rsid w:val="00794BD7"/>
    <w:rsid w:val="007950ED"/>
    <w:rsid w:val="007A1AAA"/>
    <w:rsid w:val="007A26F7"/>
    <w:rsid w:val="007A7615"/>
    <w:rsid w:val="007A7A79"/>
    <w:rsid w:val="007B2156"/>
    <w:rsid w:val="007B3493"/>
    <w:rsid w:val="007B351F"/>
    <w:rsid w:val="007B556A"/>
    <w:rsid w:val="007B5A68"/>
    <w:rsid w:val="007B66D3"/>
    <w:rsid w:val="007B6C93"/>
    <w:rsid w:val="007C01F7"/>
    <w:rsid w:val="007C0244"/>
    <w:rsid w:val="007C3585"/>
    <w:rsid w:val="007C3A8A"/>
    <w:rsid w:val="007C3B2D"/>
    <w:rsid w:val="007C6532"/>
    <w:rsid w:val="007D0100"/>
    <w:rsid w:val="007D039C"/>
    <w:rsid w:val="007D1D8A"/>
    <w:rsid w:val="007D28FF"/>
    <w:rsid w:val="007E0466"/>
    <w:rsid w:val="007E05F3"/>
    <w:rsid w:val="007E0859"/>
    <w:rsid w:val="007E112D"/>
    <w:rsid w:val="007E1CF3"/>
    <w:rsid w:val="007E2847"/>
    <w:rsid w:val="007E2C9B"/>
    <w:rsid w:val="007E30F1"/>
    <w:rsid w:val="007E3516"/>
    <w:rsid w:val="007E7E02"/>
    <w:rsid w:val="007F00AF"/>
    <w:rsid w:val="007F0734"/>
    <w:rsid w:val="007F0926"/>
    <w:rsid w:val="007F0FCD"/>
    <w:rsid w:val="007F4160"/>
    <w:rsid w:val="007F542F"/>
    <w:rsid w:val="007F5D28"/>
    <w:rsid w:val="007F5E10"/>
    <w:rsid w:val="007F65AA"/>
    <w:rsid w:val="007F661E"/>
    <w:rsid w:val="00801288"/>
    <w:rsid w:val="0080165D"/>
    <w:rsid w:val="008036CE"/>
    <w:rsid w:val="0080433B"/>
    <w:rsid w:val="00805BBA"/>
    <w:rsid w:val="0081133F"/>
    <w:rsid w:val="00811576"/>
    <w:rsid w:val="00815C0C"/>
    <w:rsid w:val="00820235"/>
    <w:rsid w:val="0082125E"/>
    <w:rsid w:val="00821F08"/>
    <w:rsid w:val="00823417"/>
    <w:rsid w:val="00826A0D"/>
    <w:rsid w:val="008316CC"/>
    <w:rsid w:val="00833F2A"/>
    <w:rsid w:val="0083467E"/>
    <w:rsid w:val="00834A21"/>
    <w:rsid w:val="00834A23"/>
    <w:rsid w:val="00835456"/>
    <w:rsid w:val="00835BBF"/>
    <w:rsid w:val="0083604D"/>
    <w:rsid w:val="008366AD"/>
    <w:rsid w:val="008374FB"/>
    <w:rsid w:val="008402C4"/>
    <w:rsid w:val="008438F3"/>
    <w:rsid w:val="008441B0"/>
    <w:rsid w:val="00844B56"/>
    <w:rsid w:val="00844E0C"/>
    <w:rsid w:val="008467A4"/>
    <w:rsid w:val="00847D22"/>
    <w:rsid w:val="00850379"/>
    <w:rsid w:val="0085067A"/>
    <w:rsid w:val="008516CA"/>
    <w:rsid w:val="00852963"/>
    <w:rsid w:val="00855954"/>
    <w:rsid w:val="008574E1"/>
    <w:rsid w:val="008600B7"/>
    <w:rsid w:val="0086144A"/>
    <w:rsid w:val="0086175C"/>
    <w:rsid w:val="008618FF"/>
    <w:rsid w:val="0086301E"/>
    <w:rsid w:val="008642DC"/>
    <w:rsid w:val="008644B0"/>
    <w:rsid w:val="0086661C"/>
    <w:rsid w:val="00867964"/>
    <w:rsid w:val="00873B14"/>
    <w:rsid w:val="00875872"/>
    <w:rsid w:val="0088507B"/>
    <w:rsid w:val="008863AF"/>
    <w:rsid w:val="00886689"/>
    <w:rsid w:val="008878DC"/>
    <w:rsid w:val="00890669"/>
    <w:rsid w:val="00893584"/>
    <w:rsid w:val="008935C0"/>
    <w:rsid w:val="00895246"/>
    <w:rsid w:val="008A0A9E"/>
    <w:rsid w:val="008A15FA"/>
    <w:rsid w:val="008A2A4C"/>
    <w:rsid w:val="008A2D3D"/>
    <w:rsid w:val="008A5C9E"/>
    <w:rsid w:val="008A7DFA"/>
    <w:rsid w:val="008B290C"/>
    <w:rsid w:val="008B2EEB"/>
    <w:rsid w:val="008B49A2"/>
    <w:rsid w:val="008B63F7"/>
    <w:rsid w:val="008B6B33"/>
    <w:rsid w:val="008C00E5"/>
    <w:rsid w:val="008C04B4"/>
    <w:rsid w:val="008C04B8"/>
    <w:rsid w:val="008C09C2"/>
    <w:rsid w:val="008C114E"/>
    <w:rsid w:val="008C5011"/>
    <w:rsid w:val="008C68FB"/>
    <w:rsid w:val="008D0816"/>
    <w:rsid w:val="008D186B"/>
    <w:rsid w:val="008D478C"/>
    <w:rsid w:val="008D5333"/>
    <w:rsid w:val="008D6130"/>
    <w:rsid w:val="008E035B"/>
    <w:rsid w:val="008E50A2"/>
    <w:rsid w:val="008E77DB"/>
    <w:rsid w:val="008F0C7D"/>
    <w:rsid w:val="008F1636"/>
    <w:rsid w:val="008F245E"/>
    <w:rsid w:val="008F3A28"/>
    <w:rsid w:val="008F4F02"/>
    <w:rsid w:val="008F5F66"/>
    <w:rsid w:val="0090050D"/>
    <w:rsid w:val="00900C53"/>
    <w:rsid w:val="00901830"/>
    <w:rsid w:val="0090401F"/>
    <w:rsid w:val="009060BC"/>
    <w:rsid w:val="009070E4"/>
    <w:rsid w:val="009107EF"/>
    <w:rsid w:val="00910B8B"/>
    <w:rsid w:val="00910D9D"/>
    <w:rsid w:val="00912254"/>
    <w:rsid w:val="00913AF8"/>
    <w:rsid w:val="00913D3D"/>
    <w:rsid w:val="00913E1E"/>
    <w:rsid w:val="0091419B"/>
    <w:rsid w:val="00915E39"/>
    <w:rsid w:val="009166A3"/>
    <w:rsid w:val="00920FD8"/>
    <w:rsid w:val="00923A09"/>
    <w:rsid w:val="00923E01"/>
    <w:rsid w:val="00924074"/>
    <w:rsid w:val="00927A67"/>
    <w:rsid w:val="0093175E"/>
    <w:rsid w:val="009341FC"/>
    <w:rsid w:val="0093513F"/>
    <w:rsid w:val="00937975"/>
    <w:rsid w:val="00940502"/>
    <w:rsid w:val="00941893"/>
    <w:rsid w:val="00942877"/>
    <w:rsid w:val="009429D3"/>
    <w:rsid w:val="00942C81"/>
    <w:rsid w:val="0094594F"/>
    <w:rsid w:val="0094697B"/>
    <w:rsid w:val="00952661"/>
    <w:rsid w:val="00957E6C"/>
    <w:rsid w:val="00961DE7"/>
    <w:rsid w:val="00961FE7"/>
    <w:rsid w:val="00962249"/>
    <w:rsid w:val="009623EC"/>
    <w:rsid w:val="009636F2"/>
    <w:rsid w:val="00964CFF"/>
    <w:rsid w:val="00966532"/>
    <w:rsid w:val="0096696D"/>
    <w:rsid w:val="009712E4"/>
    <w:rsid w:val="00971539"/>
    <w:rsid w:val="00971A1D"/>
    <w:rsid w:val="00971B72"/>
    <w:rsid w:val="0097228B"/>
    <w:rsid w:val="00973C11"/>
    <w:rsid w:val="009756A4"/>
    <w:rsid w:val="00980A49"/>
    <w:rsid w:val="009829F3"/>
    <w:rsid w:val="0098438F"/>
    <w:rsid w:val="00984FA8"/>
    <w:rsid w:val="00991CA1"/>
    <w:rsid w:val="00992362"/>
    <w:rsid w:val="00994CF3"/>
    <w:rsid w:val="009967B0"/>
    <w:rsid w:val="00996968"/>
    <w:rsid w:val="00996B64"/>
    <w:rsid w:val="00997AA7"/>
    <w:rsid w:val="00997F2C"/>
    <w:rsid w:val="009A00A4"/>
    <w:rsid w:val="009A062A"/>
    <w:rsid w:val="009A3319"/>
    <w:rsid w:val="009A4137"/>
    <w:rsid w:val="009A43B6"/>
    <w:rsid w:val="009A5114"/>
    <w:rsid w:val="009B2518"/>
    <w:rsid w:val="009B25D5"/>
    <w:rsid w:val="009B2B86"/>
    <w:rsid w:val="009B3E4D"/>
    <w:rsid w:val="009B453A"/>
    <w:rsid w:val="009B4725"/>
    <w:rsid w:val="009B6454"/>
    <w:rsid w:val="009C19BD"/>
    <w:rsid w:val="009C1FD1"/>
    <w:rsid w:val="009C2506"/>
    <w:rsid w:val="009C27A2"/>
    <w:rsid w:val="009C2DC2"/>
    <w:rsid w:val="009C407E"/>
    <w:rsid w:val="009C7A8A"/>
    <w:rsid w:val="009D3AE4"/>
    <w:rsid w:val="009D4790"/>
    <w:rsid w:val="009D52B9"/>
    <w:rsid w:val="009D6801"/>
    <w:rsid w:val="009D7EBD"/>
    <w:rsid w:val="009E00A6"/>
    <w:rsid w:val="009E0206"/>
    <w:rsid w:val="009E0BA0"/>
    <w:rsid w:val="009E5548"/>
    <w:rsid w:val="009E7ECF"/>
    <w:rsid w:val="009F1217"/>
    <w:rsid w:val="009F33AF"/>
    <w:rsid w:val="009F3B50"/>
    <w:rsid w:val="009F44A7"/>
    <w:rsid w:val="009F7DAF"/>
    <w:rsid w:val="00A014D9"/>
    <w:rsid w:val="00A0249E"/>
    <w:rsid w:val="00A03BD1"/>
    <w:rsid w:val="00A04FBA"/>
    <w:rsid w:val="00A05BC2"/>
    <w:rsid w:val="00A05E7F"/>
    <w:rsid w:val="00A13726"/>
    <w:rsid w:val="00A1446D"/>
    <w:rsid w:val="00A14CBF"/>
    <w:rsid w:val="00A158EA"/>
    <w:rsid w:val="00A211E0"/>
    <w:rsid w:val="00A2428E"/>
    <w:rsid w:val="00A249EE"/>
    <w:rsid w:val="00A30D3E"/>
    <w:rsid w:val="00A30D42"/>
    <w:rsid w:val="00A320B0"/>
    <w:rsid w:val="00A345F2"/>
    <w:rsid w:val="00A3762A"/>
    <w:rsid w:val="00A41FD9"/>
    <w:rsid w:val="00A44E61"/>
    <w:rsid w:val="00A45095"/>
    <w:rsid w:val="00A45479"/>
    <w:rsid w:val="00A455A2"/>
    <w:rsid w:val="00A45C8D"/>
    <w:rsid w:val="00A462C7"/>
    <w:rsid w:val="00A47A58"/>
    <w:rsid w:val="00A5024E"/>
    <w:rsid w:val="00A52570"/>
    <w:rsid w:val="00A5451C"/>
    <w:rsid w:val="00A56137"/>
    <w:rsid w:val="00A57102"/>
    <w:rsid w:val="00A601A2"/>
    <w:rsid w:val="00A61020"/>
    <w:rsid w:val="00A61A32"/>
    <w:rsid w:val="00A64E70"/>
    <w:rsid w:val="00A653DA"/>
    <w:rsid w:val="00A65C24"/>
    <w:rsid w:val="00A702CB"/>
    <w:rsid w:val="00A71D83"/>
    <w:rsid w:val="00A73CEB"/>
    <w:rsid w:val="00A75518"/>
    <w:rsid w:val="00A776F6"/>
    <w:rsid w:val="00A8072E"/>
    <w:rsid w:val="00A80768"/>
    <w:rsid w:val="00A845E1"/>
    <w:rsid w:val="00A85307"/>
    <w:rsid w:val="00A870AB"/>
    <w:rsid w:val="00A879A0"/>
    <w:rsid w:val="00A900A1"/>
    <w:rsid w:val="00A9266F"/>
    <w:rsid w:val="00A94150"/>
    <w:rsid w:val="00A94A8B"/>
    <w:rsid w:val="00A96C35"/>
    <w:rsid w:val="00A9799F"/>
    <w:rsid w:val="00AA193E"/>
    <w:rsid w:val="00AA378B"/>
    <w:rsid w:val="00AA40ED"/>
    <w:rsid w:val="00AA51D2"/>
    <w:rsid w:val="00AB0EF7"/>
    <w:rsid w:val="00AB15BA"/>
    <w:rsid w:val="00AB2648"/>
    <w:rsid w:val="00AB2BD8"/>
    <w:rsid w:val="00AB2CD7"/>
    <w:rsid w:val="00AB3C7A"/>
    <w:rsid w:val="00AC09C5"/>
    <w:rsid w:val="00AC1A61"/>
    <w:rsid w:val="00AC29B4"/>
    <w:rsid w:val="00AC3188"/>
    <w:rsid w:val="00AC354C"/>
    <w:rsid w:val="00AC45D4"/>
    <w:rsid w:val="00AC545F"/>
    <w:rsid w:val="00AC55A5"/>
    <w:rsid w:val="00AC64DC"/>
    <w:rsid w:val="00AC6612"/>
    <w:rsid w:val="00AD0205"/>
    <w:rsid w:val="00AD2FBB"/>
    <w:rsid w:val="00AD365D"/>
    <w:rsid w:val="00AD3B6C"/>
    <w:rsid w:val="00AD555A"/>
    <w:rsid w:val="00AD5AF4"/>
    <w:rsid w:val="00AD69CF"/>
    <w:rsid w:val="00AD6E69"/>
    <w:rsid w:val="00AE1E99"/>
    <w:rsid w:val="00AE4AE9"/>
    <w:rsid w:val="00AE6CA0"/>
    <w:rsid w:val="00AE7E93"/>
    <w:rsid w:val="00AF174D"/>
    <w:rsid w:val="00AF1DED"/>
    <w:rsid w:val="00AF2EBA"/>
    <w:rsid w:val="00AF309B"/>
    <w:rsid w:val="00AF4D45"/>
    <w:rsid w:val="00AF5E33"/>
    <w:rsid w:val="00AF60BC"/>
    <w:rsid w:val="00AF673C"/>
    <w:rsid w:val="00AF769E"/>
    <w:rsid w:val="00AF7AE3"/>
    <w:rsid w:val="00B00642"/>
    <w:rsid w:val="00B01D0E"/>
    <w:rsid w:val="00B02885"/>
    <w:rsid w:val="00B03749"/>
    <w:rsid w:val="00B10544"/>
    <w:rsid w:val="00B117EC"/>
    <w:rsid w:val="00B139DB"/>
    <w:rsid w:val="00B20265"/>
    <w:rsid w:val="00B20C48"/>
    <w:rsid w:val="00B22AD6"/>
    <w:rsid w:val="00B23CB5"/>
    <w:rsid w:val="00B267ED"/>
    <w:rsid w:val="00B26C91"/>
    <w:rsid w:val="00B27A52"/>
    <w:rsid w:val="00B3104F"/>
    <w:rsid w:val="00B3124F"/>
    <w:rsid w:val="00B3214F"/>
    <w:rsid w:val="00B32E10"/>
    <w:rsid w:val="00B3519F"/>
    <w:rsid w:val="00B355A9"/>
    <w:rsid w:val="00B35B69"/>
    <w:rsid w:val="00B4089B"/>
    <w:rsid w:val="00B43B83"/>
    <w:rsid w:val="00B4633B"/>
    <w:rsid w:val="00B46788"/>
    <w:rsid w:val="00B46B5B"/>
    <w:rsid w:val="00B50128"/>
    <w:rsid w:val="00B51A51"/>
    <w:rsid w:val="00B530E7"/>
    <w:rsid w:val="00B54EC8"/>
    <w:rsid w:val="00B564CF"/>
    <w:rsid w:val="00B56F5D"/>
    <w:rsid w:val="00B57951"/>
    <w:rsid w:val="00B6285E"/>
    <w:rsid w:val="00B644F7"/>
    <w:rsid w:val="00B64A7E"/>
    <w:rsid w:val="00B72354"/>
    <w:rsid w:val="00B73C92"/>
    <w:rsid w:val="00B7499E"/>
    <w:rsid w:val="00B774F6"/>
    <w:rsid w:val="00B77C35"/>
    <w:rsid w:val="00B84BED"/>
    <w:rsid w:val="00B8528B"/>
    <w:rsid w:val="00B85AFF"/>
    <w:rsid w:val="00B861D0"/>
    <w:rsid w:val="00B87313"/>
    <w:rsid w:val="00B8758C"/>
    <w:rsid w:val="00B87930"/>
    <w:rsid w:val="00B91E7B"/>
    <w:rsid w:val="00B93774"/>
    <w:rsid w:val="00BA198D"/>
    <w:rsid w:val="00BA357A"/>
    <w:rsid w:val="00BA52B6"/>
    <w:rsid w:val="00BA6312"/>
    <w:rsid w:val="00BA744B"/>
    <w:rsid w:val="00BB0ACD"/>
    <w:rsid w:val="00BB1034"/>
    <w:rsid w:val="00BB130A"/>
    <w:rsid w:val="00BB2E9D"/>
    <w:rsid w:val="00BB43EA"/>
    <w:rsid w:val="00BB55D3"/>
    <w:rsid w:val="00BB6D54"/>
    <w:rsid w:val="00BB7A04"/>
    <w:rsid w:val="00BB7E97"/>
    <w:rsid w:val="00BC1906"/>
    <w:rsid w:val="00BC1CDC"/>
    <w:rsid w:val="00BC38D7"/>
    <w:rsid w:val="00BC5E77"/>
    <w:rsid w:val="00BC6A07"/>
    <w:rsid w:val="00BD0EB9"/>
    <w:rsid w:val="00BD13D3"/>
    <w:rsid w:val="00BD616B"/>
    <w:rsid w:val="00BD7A30"/>
    <w:rsid w:val="00BD7CCE"/>
    <w:rsid w:val="00BE0AC5"/>
    <w:rsid w:val="00BE0D27"/>
    <w:rsid w:val="00BE1291"/>
    <w:rsid w:val="00BE3A62"/>
    <w:rsid w:val="00BE4ADF"/>
    <w:rsid w:val="00BE76C7"/>
    <w:rsid w:val="00BE7C48"/>
    <w:rsid w:val="00BF0001"/>
    <w:rsid w:val="00BF03F5"/>
    <w:rsid w:val="00BF2113"/>
    <w:rsid w:val="00BF477C"/>
    <w:rsid w:val="00BF6E26"/>
    <w:rsid w:val="00BF7756"/>
    <w:rsid w:val="00BF7DE2"/>
    <w:rsid w:val="00C01CC2"/>
    <w:rsid w:val="00C0391A"/>
    <w:rsid w:val="00C03CE8"/>
    <w:rsid w:val="00C068B4"/>
    <w:rsid w:val="00C07D41"/>
    <w:rsid w:val="00C11873"/>
    <w:rsid w:val="00C12E82"/>
    <w:rsid w:val="00C160AD"/>
    <w:rsid w:val="00C164ED"/>
    <w:rsid w:val="00C16E60"/>
    <w:rsid w:val="00C17B58"/>
    <w:rsid w:val="00C2046A"/>
    <w:rsid w:val="00C20A18"/>
    <w:rsid w:val="00C21014"/>
    <w:rsid w:val="00C227B6"/>
    <w:rsid w:val="00C23F7F"/>
    <w:rsid w:val="00C24879"/>
    <w:rsid w:val="00C2537B"/>
    <w:rsid w:val="00C26379"/>
    <w:rsid w:val="00C26D3A"/>
    <w:rsid w:val="00C31B05"/>
    <w:rsid w:val="00C3555F"/>
    <w:rsid w:val="00C4022B"/>
    <w:rsid w:val="00C428AE"/>
    <w:rsid w:val="00C432C6"/>
    <w:rsid w:val="00C43EBE"/>
    <w:rsid w:val="00C44804"/>
    <w:rsid w:val="00C45AB3"/>
    <w:rsid w:val="00C45CC2"/>
    <w:rsid w:val="00C45F1D"/>
    <w:rsid w:val="00C46AC8"/>
    <w:rsid w:val="00C46D27"/>
    <w:rsid w:val="00C51554"/>
    <w:rsid w:val="00C51825"/>
    <w:rsid w:val="00C51DEC"/>
    <w:rsid w:val="00C52626"/>
    <w:rsid w:val="00C52B5E"/>
    <w:rsid w:val="00C54084"/>
    <w:rsid w:val="00C57187"/>
    <w:rsid w:val="00C614CC"/>
    <w:rsid w:val="00C61D5D"/>
    <w:rsid w:val="00C628F9"/>
    <w:rsid w:val="00C66F1A"/>
    <w:rsid w:val="00C67F7A"/>
    <w:rsid w:val="00C717D9"/>
    <w:rsid w:val="00C72778"/>
    <w:rsid w:val="00C73608"/>
    <w:rsid w:val="00C74E96"/>
    <w:rsid w:val="00C7729E"/>
    <w:rsid w:val="00C77824"/>
    <w:rsid w:val="00C779E8"/>
    <w:rsid w:val="00C81A4B"/>
    <w:rsid w:val="00C83146"/>
    <w:rsid w:val="00C854DF"/>
    <w:rsid w:val="00C912D8"/>
    <w:rsid w:val="00C939D1"/>
    <w:rsid w:val="00C94473"/>
    <w:rsid w:val="00C9464D"/>
    <w:rsid w:val="00C94C80"/>
    <w:rsid w:val="00C950AB"/>
    <w:rsid w:val="00CA4D58"/>
    <w:rsid w:val="00CA56D6"/>
    <w:rsid w:val="00CA5844"/>
    <w:rsid w:val="00CA6383"/>
    <w:rsid w:val="00CA6C9A"/>
    <w:rsid w:val="00CA71E4"/>
    <w:rsid w:val="00CB038F"/>
    <w:rsid w:val="00CB092A"/>
    <w:rsid w:val="00CB0B62"/>
    <w:rsid w:val="00CB1E14"/>
    <w:rsid w:val="00CB1E40"/>
    <w:rsid w:val="00CB2880"/>
    <w:rsid w:val="00CB42E2"/>
    <w:rsid w:val="00CB5AE9"/>
    <w:rsid w:val="00CB613B"/>
    <w:rsid w:val="00CB63C4"/>
    <w:rsid w:val="00CB785C"/>
    <w:rsid w:val="00CC5C8E"/>
    <w:rsid w:val="00CC61EE"/>
    <w:rsid w:val="00CC6EF6"/>
    <w:rsid w:val="00CC70F8"/>
    <w:rsid w:val="00CC72B9"/>
    <w:rsid w:val="00CC794E"/>
    <w:rsid w:val="00CD13E5"/>
    <w:rsid w:val="00CD19A0"/>
    <w:rsid w:val="00CD4848"/>
    <w:rsid w:val="00CD4897"/>
    <w:rsid w:val="00CD5627"/>
    <w:rsid w:val="00CD5B0F"/>
    <w:rsid w:val="00CE08CB"/>
    <w:rsid w:val="00CE0A5B"/>
    <w:rsid w:val="00CE3536"/>
    <w:rsid w:val="00CE3AFA"/>
    <w:rsid w:val="00CE5191"/>
    <w:rsid w:val="00CE5765"/>
    <w:rsid w:val="00CF21FD"/>
    <w:rsid w:val="00CF231C"/>
    <w:rsid w:val="00CF6CE1"/>
    <w:rsid w:val="00D0129B"/>
    <w:rsid w:val="00D04C3C"/>
    <w:rsid w:val="00D107AD"/>
    <w:rsid w:val="00D158F0"/>
    <w:rsid w:val="00D210D7"/>
    <w:rsid w:val="00D222A1"/>
    <w:rsid w:val="00D225B5"/>
    <w:rsid w:val="00D24449"/>
    <w:rsid w:val="00D2797B"/>
    <w:rsid w:val="00D33548"/>
    <w:rsid w:val="00D33C7F"/>
    <w:rsid w:val="00D37CF7"/>
    <w:rsid w:val="00D422F0"/>
    <w:rsid w:val="00D4253D"/>
    <w:rsid w:val="00D42A82"/>
    <w:rsid w:val="00D4453A"/>
    <w:rsid w:val="00D462D1"/>
    <w:rsid w:val="00D4715B"/>
    <w:rsid w:val="00D47390"/>
    <w:rsid w:val="00D5020A"/>
    <w:rsid w:val="00D51A19"/>
    <w:rsid w:val="00D521C8"/>
    <w:rsid w:val="00D529D1"/>
    <w:rsid w:val="00D54DE2"/>
    <w:rsid w:val="00D55B77"/>
    <w:rsid w:val="00D570BB"/>
    <w:rsid w:val="00D6182C"/>
    <w:rsid w:val="00D66598"/>
    <w:rsid w:val="00D66DC1"/>
    <w:rsid w:val="00D67100"/>
    <w:rsid w:val="00D70EEF"/>
    <w:rsid w:val="00D71BCA"/>
    <w:rsid w:val="00D74100"/>
    <w:rsid w:val="00D755C3"/>
    <w:rsid w:val="00D757D1"/>
    <w:rsid w:val="00D77E10"/>
    <w:rsid w:val="00D81729"/>
    <w:rsid w:val="00D820CF"/>
    <w:rsid w:val="00D82D5A"/>
    <w:rsid w:val="00D8398F"/>
    <w:rsid w:val="00D83A4C"/>
    <w:rsid w:val="00D844C9"/>
    <w:rsid w:val="00D85335"/>
    <w:rsid w:val="00D855A8"/>
    <w:rsid w:val="00D86FC7"/>
    <w:rsid w:val="00D8798D"/>
    <w:rsid w:val="00D9104C"/>
    <w:rsid w:val="00D92F2D"/>
    <w:rsid w:val="00D955CD"/>
    <w:rsid w:val="00D974FB"/>
    <w:rsid w:val="00D977B2"/>
    <w:rsid w:val="00DA012A"/>
    <w:rsid w:val="00DA209F"/>
    <w:rsid w:val="00DA4437"/>
    <w:rsid w:val="00DA4A0B"/>
    <w:rsid w:val="00DA59B0"/>
    <w:rsid w:val="00DB10C8"/>
    <w:rsid w:val="00DB134D"/>
    <w:rsid w:val="00DB2CC4"/>
    <w:rsid w:val="00DB4D78"/>
    <w:rsid w:val="00DC0DEC"/>
    <w:rsid w:val="00DC2556"/>
    <w:rsid w:val="00DC29E2"/>
    <w:rsid w:val="00DC327F"/>
    <w:rsid w:val="00DC394F"/>
    <w:rsid w:val="00DC66FC"/>
    <w:rsid w:val="00DC6860"/>
    <w:rsid w:val="00DD2EFA"/>
    <w:rsid w:val="00DD34D7"/>
    <w:rsid w:val="00DD3B18"/>
    <w:rsid w:val="00DD42ED"/>
    <w:rsid w:val="00DD4A27"/>
    <w:rsid w:val="00DD4F28"/>
    <w:rsid w:val="00DD5596"/>
    <w:rsid w:val="00DD70CD"/>
    <w:rsid w:val="00DD7284"/>
    <w:rsid w:val="00DD75E1"/>
    <w:rsid w:val="00DE0B1B"/>
    <w:rsid w:val="00DE0FCB"/>
    <w:rsid w:val="00DE1A2B"/>
    <w:rsid w:val="00DE33BE"/>
    <w:rsid w:val="00DE3A17"/>
    <w:rsid w:val="00DE77A9"/>
    <w:rsid w:val="00DF1694"/>
    <w:rsid w:val="00DF16BD"/>
    <w:rsid w:val="00DF1C36"/>
    <w:rsid w:val="00DF3C32"/>
    <w:rsid w:val="00DF51C2"/>
    <w:rsid w:val="00DF6202"/>
    <w:rsid w:val="00DF62E7"/>
    <w:rsid w:val="00DF685A"/>
    <w:rsid w:val="00DF6B50"/>
    <w:rsid w:val="00DF7C25"/>
    <w:rsid w:val="00E00B26"/>
    <w:rsid w:val="00E0220B"/>
    <w:rsid w:val="00E05114"/>
    <w:rsid w:val="00E06639"/>
    <w:rsid w:val="00E073BD"/>
    <w:rsid w:val="00E10129"/>
    <w:rsid w:val="00E10D92"/>
    <w:rsid w:val="00E1539F"/>
    <w:rsid w:val="00E16F75"/>
    <w:rsid w:val="00E17382"/>
    <w:rsid w:val="00E2136C"/>
    <w:rsid w:val="00E21A28"/>
    <w:rsid w:val="00E21D8C"/>
    <w:rsid w:val="00E22595"/>
    <w:rsid w:val="00E22C11"/>
    <w:rsid w:val="00E250C5"/>
    <w:rsid w:val="00E31FB0"/>
    <w:rsid w:val="00E320F6"/>
    <w:rsid w:val="00E33BA1"/>
    <w:rsid w:val="00E35097"/>
    <w:rsid w:val="00E36DCC"/>
    <w:rsid w:val="00E42C95"/>
    <w:rsid w:val="00E43972"/>
    <w:rsid w:val="00E44D0B"/>
    <w:rsid w:val="00E45A62"/>
    <w:rsid w:val="00E46211"/>
    <w:rsid w:val="00E53300"/>
    <w:rsid w:val="00E54A25"/>
    <w:rsid w:val="00E54CB9"/>
    <w:rsid w:val="00E57D82"/>
    <w:rsid w:val="00E60669"/>
    <w:rsid w:val="00E62F9C"/>
    <w:rsid w:val="00E62FFE"/>
    <w:rsid w:val="00E66626"/>
    <w:rsid w:val="00E73722"/>
    <w:rsid w:val="00E74F53"/>
    <w:rsid w:val="00E80F09"/>
    <w:rsid w:val="00E81FBA"/>
    <w:rsid w:val="00E8280E"/>
    <w:rsid w:val="00E84BA0"/>
    <w:rsid w:val="00E85B40"/>
    <w:rsid w:val="00E85BCE"/>
    <w:rsid w:val="00E85D3D"/>
    <w:rsid w:val="00E8642B"/>
    <w:rsid w:val="00E8736C"/>
    <w:rsid w:val="00E90D2F"/>
    <w:rsid w:val="00E91036"/>
    <w:rsid w:val="00E923B3"/>
    <w:rsid w:val="00E92E1C"/>
    <w:rsid w:val="00E93899"/>
    <w:rsid w:val="00E94F80"/>
    <w:rsid w:val="00E96704"/>
    <w:rsid w:val="00E970AB"/>
    <w:rsid w:val="00EA096E"/>
    <w:rsid w:val="00EA1771"/>
    <w:rsid w:val="00EA2509"/>
    <w:rsid w:val="00EA2F6C"/>
    <w:rsid w:val="00EA3434"/>
    <w:rsid w:val="00EA53B2"/>
    <w:rsid w:val="00EA6BBF"/>
    <w:rsid w:val="00EA7634"/>
    <w:rsid w:val="00EB3B5C"/>
    <w:rsid w:val="00EB3BCF"/>
    <w:rsid w:val="00EB3D84"/>
    <w:rsid w:val="00EB55AB"/>
    <w:rsid w:val="00EB6215"/>
    <w:rsid w:val="00EB6FC2"/>
    <w:rsid w:val="00EC0A3D"/>
    <w:rsid w:val="00EC1E6D"/>
    <w:rsid w:val="00EC23A6"/>
    <w:rsid w:val="00EC4696"/>
    <w:rsid w:val="00EC5528"/>
    <w:rsid w:val="00EC60D4"/>
    <w:rsid w:val="00EC62EB"/>
    <w:rsid w:val="00EC671F"/>
    <w:rsid w:val="00EC720E"/>
    <w:rsid w:val="00EC7E8E"/>
    <w:rsid w:val="00ED5EE9"/>
    <w:rsid w:val="00EE0F9E"/>
    <w:rsid w:val="00EE1BB1"/>
    <w:rsid w:val="00EE1D89"/>
    <w:rsid w:val="00EE3B8F"/>
    <w:rsid w:val="00EE3E19"/>
    <w:rsid w:val="00EE45D3"/>
    <w:rsid w:val="00EE529B"/>
    <w:rsid w:val="00EE622F"/>
    <w:rsid w:val="00EF17F7"/>
    <w:rsid w:val="00EF1F26"/>
    <w:rsid w:val="00EF3BB3"/>
    <w:rsid w:val="00EF4AB6"/>
    <w:rsid w:val="00EF55AE"/>
    <w:rsid w:val="00EF71B6"/>
    <w:rsid w:val="00EF7781"/>
    <w:rsid w:val="00F0354C"/>
    <w:rsid w:val="00F06159"/>
    <w:rsid w:val="00F079B1"/>
    <w:rsid w:val="00F07F32"/>
    <w:rsid w:val="00F102D5"/>
    <w:rsid w:val="00F1201A"/>
    <w:rsid w:val="00F12272"/>
    <w:rsid w:val="00F14E79"/>
    <w:rsid w:val="00F249B1"/>
    <w:rsid w:val="00F2651F"/>
    <w:rsid w:val="00F27084"/>
    <w:rsid w:val="00F27E9E"/>
    <w:rsid w:val="00F30F8C"/>
    <w:rsid w:val="00F3204F"/>
    <w:rsid w:val="00F32B4A"/>
    <w:rsid w:val="00F34212"/>
    <w:rsid w:val="00F35719"/>
    <w:rsid w:val="00F416BF"/>
    <w:rsid w:val="00F43F2D"/>
    <w:rsid w:val="00F4434F"/>
    <w:rsid w:val="00F50FC5"/>
    <w:rsid w:val="00F53AC6"/>
    <w:rsid w:val="00F544B7"/>
    <w:rsid w:val="00F5554A"/>
    <w:rsid w:val="00F558F9"/>
    <w:rsid w:val="00F55EA0"/>
    <w:rsid w:val="00F57051"/>
    <w:rsid w:val="00F610C0"/>
    <w:rsid w:val="00F612E4"/>
    <w:rsid w:val="00F621F5"/>
    <w:rsid w:val="00F64310"/>
    <w:rsid w:val="00F66246"/>
    <w:rsid w:val="00F662C0"/>
    <w:rsid w:val="00F67449"/>
    <w:rsid w:val="00F67D30"/>
    <w:rsid w:val="00F70101"/>
    <w:rsid w:val="00F72EFA"/>
    <w:rsid w:val="00F73CFA"/>
    <w:rsid w:val="00F74DB3"/>
    <w:rsid w:val="00F75518"/>
    <w:rsid w:val="00F762C5"/>
    <w:rsid w:val="00F76558"/>
    <w:rsid w:val="00F8136A"/>
    <w:rsid w:val="00F8142D"/>
    <w:rsid w:val="00F82237"/>
    <w:rsid w:val="00F8665D"/>
    <w:rsid w:val="00F90C30"/>
    <w:rsid w:val="00F9128F"/>
    <w:rsid w:val="00F91D3B"/>
    <w:rsid w:val="00F922E5"/>
    <w:rsid w:val="00F92B76"/>
    <w:rsid w:val="00F94C5C"/>
    <w:rsid w:val="00F95580"/>
    <w:rsid w:val="00F97F08"/>
    <w:rsid w:val="00FA034D"/>
    <w:rsid w:val="00FA0691"/>
    <w:rsid w:val="00FA1B9A"/>
    <w:rsid w:val="00FA1CFD"/>
    <w:rsid w:val="00FA4E1B"/>
    <w:rsid w:val="00FA5F5F"/>
    <w:rsid w:val="00FA75C7"/>
    <w:rsid w:val="00FB0C1A"/>
    <w:rsid w:val="00FB0EF2"/>
    <w:rsid w:val="00FB1E17"/>
    <w:rsid w:val="00FB4A8A"/>
    <w:rsid w:val="00FB4EF8"/>
    <w:rsid w:val="00FB7E04"/>
    <w:rsid w:val="00FC05FD"/>
    <w:rsid w:val="00FC0BC2"/>
    <w:rsid w:val="00FC2BBB"/>
    <w:rsid w:val="00FC2C6F"/>
    <w:rsid w:val="00FC3401"/>
    <w:rsid w:val="00FC5317"/>
    <w:rsid w:val="00FC5E52"/>
    <w:rsid w:val="00FC6A14"/>
    <w:rsid w:val="00FD2CA1"/>
    <w:rsid w:val="00FD3E20"/>
    <w:rsid w:val="00FD52A3"/>
    <w:rsid w:val="00FD5453"/>
    <w:rsid w:val="00FD5AE0"/>
    <w:rsid w:val="00FD7714"/>
    <w:rsid w:val="00FE02C9"/>
    <w:rsid w:val="00FE0586"/>
    <w:rsid w:val="00FE124E"/>
    <w:rsid w:val="00FE1506"/>
    <w:rsid w:val="00FE34C1"/>
    <w:rsid w:val="00FE4266"/>
    <w:rsid w:val="00FE4AE0"/>
    <w:rsid w:val="00FE5E4B"/>
    <w:rsid w:val="00FE643E"/>
    <w:rsid w:val="00FE64D1"/>
    <w:rsid w:val="00FF01CF"/>
    <w:rsid w:val="00FF3D21"/>
    <w:rsid w:val="00FF55D9"/>
    <w:rsid w:val="00FF7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EE60F"/>
  <w15:chartTrackingRefBased/>
  <w15:docId w15:val="{02A1A1D5-1212-427F-9812-B9255122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4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4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4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048"/>
    <w:rPr>
      <w:rFonts w:eastAsiaTheme="majorEastAsia" w:cstheme="majorBidi"/>
      <w:color w:val="272727" w:themeColor="text1" w:themeTint="D8"/>
    </w:rPr>
  </w:style>
  <w:style w:type="paragraph" w:styleId="Title">
    <w:name w:val="Title"/>
    <w:basedOn w:val="Normal"/>
    <w:next w:val="Normal"/>
    <w:link w:val="TitleChar"/>
    <w:uiPriority w:val="10"/>
    <w:qFormat/>
    <w:rsid w:val="002B4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048"/>
    <w:pPr>
      <w:spacing w:before="160"/>
      <w:jc w:val="center"/>
    </w:pPr>
    <w:rPr>
      <w:i/>
      <w:iCs/>
      <w:color w:val="404040" w:themeColor="text1" w:themeTint="BF"/>
    </w:rPr>
  </w:style>
  <w:style w:type="character" w:customStyle="1" w:styleId="QuoteChar">
    <w:name w:val="Quote Char"/>
    <w:basedOn w:val="DefaultParagraphFont"/>
    <w:link w:val="Quote"/>
    <w:uiPriority w:val="29"/>
    <w:rsid w:val="002B4048"/>
    <w:rPr>
      <w:i/>
      <w:iCs/>
      <w:color w:val="404040" w:themeColor="text1" w:themeTint="BF"/>
    </w:rPr>
  </w:style>
  <w:style w:type="paragraph" w:styleId="ListParagraph">
    <w:name w:val="List Paragraph"/>
    <w:basedOn w:val="Normal"/>
    <w:uiPriority w:val="34"/>
    <w:qFormat/>
    <w:rsid w:val="002B4048"/>
    <w:pPr>
      <w:ind w:left="720"/>
      <w:contextualSpacing/>
    </w:pPr>
  </w:style>
  <w:style w:type="character" w:styleId="IntenseEmphasis">
    <w:name w:val="Intense Emphasis"/>
    <w:basedOn w:val="DefaultParagraphFont"/>
    <w:uiPriority w:val="21"/>
    <w:qFormat/>
    <w:rsid w:val="002B4048"/>
    <w:rPr>
      <w:i/>
      <w:iCs/>
      <w:color w:val="0F4761" w:themeColor="accent1" w:themeShade="BF"/>
    </w:rPr>
  </w:style>
  <w:style w:type="paragraph" w:styleId="IntenseQuote">
    <w:name w:val="Intense Quote"/>
    <w:basedOn w:val="Normal"/>
    <w:next w:val="Normal"/>
    <w:link w:val="IntenseQuoteChar"/>
    <w:uiPriority w:val="30"/>
    <w:qFormat/>
    <w:rsid w:val="002B4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048"/>
    <w:rPr>
      <w:i/>
      <w:iCs/>
      <w:color w:val="0F4761" w:themeColor="accent1" w:themeShade="BF"/>
    </w:rPr>
  </w:style>
  <w:style w:type="character" w:styleId="IntenseReference">
    <w:name w:val="Intense Reference"/>
    <w:basedOn w:val="DefaultParagraphFont"/>
    <w:uiPriority w:val="32"/>
    <w:qFormat/>
    <w:rsid w:val="002B4048"/>
    <w:rPr>
      <w:b/>
      <w:bCs/>
      <w:smallCaps/>
      <w:color w:val="0F4761" w:themeColor="accent1" w:themeShade="BF"/>
      <w:spacing w:val="5"/>
    </w:rPr>
  </w:style>
  <w:style w:type="character" w:styleId="Hyperlink">
    <w:name w:val="Hyperlink"/>
    <w:basedOn w:val="DefaultParagraphFont"/>
    <w:uiPriority w:val="99"/>
    <w:unhideWhenUsed/>
    <w:rsid w:val="002B4048"/>
    <w:rPr>
      <w:color w:val="467886" w:themeColor="hyperlink"/>
      <w:u w:val="single"/>
    </w:rPr>
  </w:style>
  <w:style w:type="character" w:styleId="UnresolvedMention">
    <w:name w:val="Unresolved Mention"/>
    <w:basedOn w:val="DefaultParagraphFont"/>
    <w:uiPriority w:val="99"/>
    <w:semiHidden/>
    <w:unhideWhenUsed/>
    <w:rsid w:val="002B4048"/>
    <w:rPr>
      <w:color w:val="605E5C"/>
      <w:shd w:val="clear" w:color="auto" w:fill="E1DFDD"/>
    </w:rPr>
  </w:style>
  <w:style w:type="character" w:styleId="FollowedHyperlink">
    <w:name w:val="FollowedHyperlink"/>
    <w:basedOn w:val="DefaultParagraphFont"/>
    <w:uiPriority w:val="99"/>
    <w:semiHidden/>
    <w:unhideWhenUsed/>
    <w:rsid w:val="002D20C4"/>
    <w:rPr>
      <w:color w:val="96607D" w:themeColor="followedHyperlink"/>
      <w:u w:val="single"/>
    </w:rPr>
  </w:style>
  <w:style w:type="character" w:styleId="CommentReference">
    <w:name w:val="annotation reference"/>
    <w:basedOn w:val="DefaultParagraphFont"/>
    <w:uiPriority w:val="99"/>
    <w:semiHidden/>
    <w:unhideWhenUsed/>
    <w:rsid w:val="00333F99"/>
    <w:rPr>
      <w:sz w:val="16"/>
      <w:szCs w:val="16"/>
    </w:rPr>
  </w:style>
  <w:style w:type="paragraph" w:styleId="CommentText">
    <w:name w:val="annotation text"/>
    <w:basedOn w:val="Normal"/>
    <w:link w:val="CommentTextChar"/>
    <w:uiPriority w:val="99"/>
    <w:unhideWhenUsed/>
    <w:rsid w:val="00333F99"/>
    <w:pPr>
      <w:spacing w:line="240" w:lineRule="auto"/>
    </w:pPr>
    <w:rPr>
      <w:sz w:val="20"/>
      <w:szCs w:val="20"/>
    </w:rPr>
  </w:style>
  <w:style w:type="character" w:customStyle="1" w:styleId="CommentTextChar">
    <w:name w:val="Comment Text Char"/>
    <w:basedOn w:val="DefaultParagraphFont"/>
    <w:link w:val="CommentText"/>
    <w:uiPriority w:val="99"/>
    <w:rsid w:val="00333F99"/>
    <w:rPr>
      <w:sz w:val="20"/>
      <w:szCs w:val="20"/>
    </w:rPr>
  </w:style>
  <w:style w:type="paragraph" w:styleId="CommentSubject">
    <w:name w:val="annotation subject"/>
    <w:basedOn w:val="CommentText"/>
    <w:next w:val="CommentText"/>
    <w:link w:val="CommentSubjectChar"/>
    <w:uiPriority w:val="99"/>
    <w:semiHidden/>
    <w:unhideWhenUsed/>
    <w:rsid w:val="00333F99"/>
    <w:rPr>
      <w:b/>
      <w:bCs/>
    </w:rPr>
  </w:style>
  <w:style w:type="character" w:customStyle="1" w:styleId="CommentSubjectChar">
    <w:name w:val="Comment Subject Char"/>
    <w:basedOn w:val="CommentTextChar"/>
    <w:link w:val="CommentSubject"/>
    <w:uiPriority w:val="99"/>
    <w:semiHidden/>
    <w:rsid w:val="00333F99"/>
    <w:rPr>
      <w:b/>
      <w:bCs/>
      <w:sz w:val="20"/>
      <w:szCs w:val="20"/>
    </w:rPr>
  </w:style>
  <w:style w:type="character" w:styleId="PlaceholderText">
    <w:name w:val="Placeholder Text"/>
    <w:basedOn w:val="DefaultParagraphFont"/>
    <w:uiPriority w:val="99"/>
    <w:semiHidden/>
    <w:rsid w:val="00F079B1"/>
    <w:rPr>
      <w:color w:val="666666"/>
    </w:rPr>
  </w:style>
  <w:style w:type="table" w:styleId="TableGrid">
    <w:name w:val="Table Grid"/>
    <w:basedOn w:val="TableNormal"/>
    <w:uiPriority w:val="39"/>
    <w:rsid w:val="008C0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6667">
      <w:marLeft w:val="480"/>
      <w:marRight w:val="0"/>
      <w:marTop w:val="0"/>
      <w:marBottom w:val="0"/>
      <w:divBdr>
        <w:top w:val="none" w:sz="0" w:space="0" w:color="auto"/>
        <w:left w:val="none" w:sz="0" w:space="0" w:color="auto"/>
        <w:bottom w:val="none" w:sz="0" w:space="0" w:color="auto"/>
        <w:right w:val="none" w:sz="0" w:space="0" w:color="auto"/>
      </w:divBdr>
    </w:div>
    <w:div w:id="170224468">
      <w:marLeft w:val="480"/>
      <w:marRight w:val="0"/>
      <w:marTop w:val="0"/>
      <w:marBottom w:val="0"/>
      <w:divBdr>
        <w:top w:val="none" w:sz="0" w:space="0" w:color="auto"/>
        <w:left w:val="none" w:sz="0" w:space="0" w:color="auto"/>
        <w:bottom w:val="none" w:sz="0" w:space="0" w:color="auto"/>
        <w:right w:val="none" w:sz="0" w:space="0" w:color="auto"/>
      </w:divBdr>
    </w:div>
    <w:div w:id="177014051">
      <w:marLeft w:val="480"/>
      <w:marRight w:val="0"/>
      <w:marTop w:val="0"/>
      <w:marBottom w:val="0"/>
      <w:divBdr>
        <w:top w:val="none" w:sz="0" w:space="0" w:color="auto"/>
        <w:left w:val="none" w:sz="0" w:space="0" w:color="auto"/>
        <w:bottom w:val="none" w:sz="0" w:space="0" w:color="auto"/>
        <w:right w:val="none" w:sz="0" w:space="0" w:color="auto"/>
      </w:divBdr>
    </w:div>
    <w:div w:id="310643613">
      <w:marLeft w:val="480"/>
      <w:marRight w:val="0"/>
      <w:marTop w:val="0"/>
      <w:marBottom w:val="0"/>
      <w:divBdr>
        <w:top w:val="none" w:sz="0" w:space="0" w:color="auto"/>
        <w:left w:val="none" w:sz="0" w:space="0" w:color="auto"/>
        <w:bottom w:val="none" w:sz="0" w:space="0" w:color="auto"/>
        <w:right w:val="none" w:sz="0" w:space="0" w:color="auto"/>
      </w:divBdr>
    </w:div>
    <w:div w:id="327904977">
      <w:marLeft w:val="480"/>
      <w:marRight w:val="0"/>
      <w:marTop w:val="0"/>
      <w:marBottom w:val="0"/>
      <w:divBdr>
        <w:top w:val="none" w:sz="0" w:space="0" w:color="auto"/>
        <w:left w:val="none" w:sz="0" w:space="0" w:color="auto"/>
        <w:bottom w:val="none" w:sz="0" w:space="0" w:color="auto"/>
        <w:right w:val="none" w:sz="0" w:space="0" w:color="auto"/>
      </w:divBdr>
    </w:div>
    <w:div w:id="382097496">
      <w:marLeft w:val="480"/>
      <w:marRight w:val="0"/>
      <w:marTop w:val="0"/>
      <w:marBottom w:val="0"/>
      <w:divBdr>
        <w:top w:val="none" w:sz="0" w:space="0" w:color="auto"/>
        <w:left w:val="none" w:sz="0" w:space="0" w:color="auto"/>
        <w:bottom w:val="none" w:sz="0" w:space="0" w:color="auto"/>
        <w:right w:val="none" w:sz="0" w:space="0" w:color="auto"/>
      </w:divBdr>
    </w:div>
    <w:div w:id="742993661">
      <w:marLeft w:val="480"/>
      <w:marRight w:val="0"/>
      <w:marTop w:val="0"/>
      <w:marBottom w:val="0"/>
      <w:divBdr>
        <w:top w:val="none" w:sz="0" w:space="0" w:color="auto"/>
        <w:left w:val="none" w:sz="0" w:space="0" w:color="auto"/>
        <w:bottom w:val="none" w:sz="0" w:space="0" w:color="auto"/>
        <w:right w:val="none" w:sz="0" w:space="0" w:color="auto"/>
      </w:divBdr>
    </w:div>
    <w:div w:id="747729931">
      <w:marLeft w:val="480"/>
      <w:marRight w:val="0"/>
      <w:marTop w:val="0"/>
      <w:marBottom w:val="0"/>
      <w:divBdr>
        <w:top w:val="none" w:sz="0" w:space="0" w:color="auto"/>
        <w:left w:val="none" w:sz="0" w:space="0" w:color="auto"/>
        <w:bottom w:val="none" w:sz="0" w:space="0" w:color="auto"/>
        <w:right w:val="none" w:sz="0" w:space="0" w:color="auto"/>
      </w:divBdr>
    </w:div>
    <w:div w:id="813722403">
      <w:marLeft w:val="480"/>
      <w:marRight w:val="0"/>
      <w:marTop w:val="0"/>
      <w:marBottom w:val="0"/>
      <w:divBdr>
        <w:top w:val="none" w:sz="0" w:space="0" w:color="auto"/>
        <w:left w:val="none" w:sz="0" w:space="0" w:color="auto"/>
        <w:bottom w:val="none" w:sz="0" w:space="0" w:color="auto"/>
        <w:right w:val="none" w:sz="0" w:space="0" w:color="auto"/>
      </w:divBdr>
    </w:div>
    <w:div w:id="988707140">
      <w:marLeft w:val="480"/>
      <w:marRight w:val="0"/>
      <w:marTop w:val="0"/>
      <w:marBottom w:val="0"/>
      <w:divBdr>
        <w:top w:val="none" w:sz="0" w:space="0" w:color="auto"/>
        <w:left w:val="none" w:sz="0" w:space="0" w:color="auto"/>
        <w:bottom w:val="none" w:sz="0" w:space="0" w:color="auto"/>
        <w:right w:val="none" w:sz="0" w:space="0" w:color="auto"/>
      </w:divBdr>
    </w:div>
    <w:div w:id="1070538805">
      <w:marLeft w:val="480"/>
      <w:marRight w:val="0"/>
      <w:marTop w:val="0"/>
      <w:marBottom w:val="0"/>
      <w:divBdr>
        <w:top w:val="none" w:sz="0" w:space="0" w:color="auto"/>
        <w:left w:val="none" w:sz="0" w:space="0" w:color="auto"/>
        <w:bottom w:val="none" w:sz="0" w:space="0" w:color="auto"/>
        <w:right w:val="none" w:sz="0" w:space="0" w:color="auto"/>
      </w:divBdr>
    </w:div>
    <w:div w:id="1274484556">
      <w:marLeft w:val="480"/>
      <w:marRight w:val="0"/>
      <w:marTop w:val="0"/>
      <w:marBottom w:val="0"/>
      <w:divBdr>
        <w:top w:val="none" w:sz="0" w:space="0" w:color="auto"/>
        <w:left w:val="none" w:sz="0" w:space="0" w:color="auto"/>
        <w:bottom w:val="none" w:sz="0" w:space="0" w:color="auto"/>
        <w:right w:val="none" w:sz="0" w:space="0" w:color="auto"/>
      </w:divBdr>
    </w:div>
    <w:div w:id="1319846892">
      <w:marLeft w:val="480"/>
      <w:marRight w:val="0"/>
      <w:marTop w:val="0"/>
      <w:marBottom w:val="0"/>
      <w:divBdr>
        <w:top w:val="none" w:sz="0" w:space="0" w:color="auto"/>
        <w:left w:val="none" w:sz="0" w:space="0" w:color="auto"/>
        <w:bottom w:val="none" w:sz="0" w:space="0" w:color="auto"/>
        <w:right w:val="none" w:sz="0" w:space="0" w:color="auto"/>
      </w:divBdr>
    </w:div>
    <w:div w:id="1568802648">
      <w:marLeft w:val="480"/>
      <w:marRight w:val="0"/>
      <w:marTop w:val="0"/>
      <w:marBottom w:val="0"/>
      <w:divBdr>
        <w:top w:val="none" w:sz="0" w:space="0" w:color="auto"/>
        <w:left w:val="none" w:sz="0" w:space="0" w:color="auto"/>
        <w:bottom w:val="none" w:sz="0" w:space="0" w:color="auto"/>
        <w:right w:val="none" w:sz="0" w:space="0" w:color="auto"/>
      </w:divBdr>
    </w:div>
    <w:div w:id="1576476143">
      <w:marLeft w:val="480"/>
      <w:marRight w:val="0"/>
      <w:marTop w:val="0"/>
      <w:marBottom w:val="0"/>
      <w:divBdr>
        <w:top w:val="none" w:sz="0" w:space="0" w:color="auto"/>
        <w:left w:val="none" w:sz="0" w:space="0" w:color="auto"/>
        <w:bottom w:val="none" w:sz="0" w:space="0" w:color="auto"/>
        <w:right w:val="none" w:sz="0" w:space="0" w:color="auto"/>
      </w:divBdr>
    </w:div>
    <w:div w:id="1583686581">
      <w:marLeft w:val="480"/>
      <w:marRight w:val="0"/>
      <w:marTop w:val="0"/>
      <w:marBottom w:val="0"/>
      <w:divBdr>
        <w:top w:val="none" w:sz="0" w:space="0" w:color="auto"/>
        <w:left w:val="none" w:sz="0" w:space="0" w:color="auto"/>
        <w:bottom w:val="none" w:sz="0" w:space="0" w:color="auto"/>
        <w:right w:val="none" w:sz="0" w:space="0" w:color="auto"/>
      </w:divBdr>
    </w:div>
    <w:div w:id="1792286151">
      <w:marLeft w:val="480"/>
      <w:marRight w:val="0"/>
      <w:marTop w:val="0"/>
      <w:marBottom w:val="0"/>
      <w:divBdr>
        <w:top w:val="none" w:sz="0" w:space="0" w:color="auto"/>
        <w:left w:val="none" w:sz="0" w:space="0" w:color="auto"/>
        <w:bottom w:val="none" w:sz="0" w:space="0" w:color="auto"/>
        <w:right w:val="none" w:sz="0" w:space="0" w:color="auto"/>
      </w:divBdr>
    </w:div>
    <w:div w:id="1822967043">
      <w:marLeft w:val="480"/>
      <w:marRight w:val="0"/>
      <w:marTop w:val="0"/>
      <w:marBottom w:val="0"/>
      <w:divBdr>
        <w:top w:val="none" w:sz="0" w:space="0" w:color="auto"/>
        <w:left w:val="none" w:sz="0" w:space="0" w:color="auto"/>
        <w:bottom w:val="none" w:sz="0" w:space="0" w:color="auto"/>
        <w:right w:val="none" w:sz="0" w:space="0" w:color="auto"/>
      </w:divBdr>
    </w:div>
    <w:div w:id="1958636297">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editorialmanager.com%2Fjibe%2Fl.asp%3Fi%3D89659%26l%3DXKTUCJR6&amp;data=05%7C02%7Calejandro.ramirez-guerra%40newcastle.ac.uk%7C629adf788a414890d51c08dd83f064af%7C9c5012c9b61644c2a91766814fbe3e87%7C1%7C0%7C638811790967961512%7CUnknown%7CTWFpbGZsb3d8eyJFbXB0eU1hcGkiOnRydWUsIlYiOiIwLjAuMDAwMCIsIlAiOiJXaW4zMiIsIkFOIjoiTWFpbCIsIldUIjoyfQ%3D%3D%7C0%7C%7C%7C&amp;sdata=Mut15Bk9ZVK5Kdw6Dd3cNSKUyvLBinQYxJcGJHtYwbI%3D&amp;reserve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E2B614C-51CF-47A0-97B9-D7F543794EA5}"/>
      </w:docPartPr>
      <w:docPartBody>
        <w:p w:rsidR="00A952E2" w:rsidRDefault="005E43F4">
          <w:r w:rsidRPr="00FA5115">
            <w:rPr>
              <w:rStyle w:val="PlaceholderText"/>
            </w:rPr>
            <w:t>Click or tap here to enter text.</w:t>
          </w:r>
        </w:p>
      </w:docPartBody>
    </w:docPart>
    <w:docPart>
      <w:docPartPr>
        <w:name w:val="D38DE606D5664266B2212612C3E9AFE2"/>
        <w:category>
          <w:name w:val="General"/>
          <w:gallery w:val="placeholder"/>
        </w:category>
        <w:types>
          <w:type w:val="bbPlcHdr"/>
        </w:types>
        <w:behaviors>
          <w:behavior w:val="content"/>
        </w:behaviors>
        <w:guid w:val="{C804805A-727A-4D2E-A1C2-EF63D8D648D6}"/>
      </w:docPartPr>
      <w:docPartBody>
        <w:p w:rsidR="00A952E2" w:rsidRDefault="005E43F4" w:rsidP="005E43F4">
          <w:pPr>
            <w:pStyle w:val="D38DE606D5664266B2212612C3E9AFE2"/>
          </w:pPr>
          <w:r w:rsidRPr="00FA5115">
            <w:rPr>
              <w:rStyle w:val="PlaceholderText"/>
            </w:rPr>
            <w:t>Click or tap here to enter text.</w:t>
          </w:r>
        </w:p>
      </w:docPartBody>
    </w:docPart>
    <w:docPart>
      <w:docPartPr>
        <w:name w:val="C23BD42DA3164D4598A8EA2142EAB4F3"/>
        <w:category>
          <w:name w:val="General"/>
          <w:gallery w:val="placeholder"/>
        </w:category>
        <w:types>
          <w:type w:val="bbPlcHdr"/>
        </w:types>
        <w:behaviors>
          <w:behavior w:val="content"/>
        </w:behaviors>
        <w:guid w:val="{AC863556-FC09-4AE3-9FAB-8B74D9195C13}"/>
      </w:docPartPr>
      <w:docPartBody>
        <w:p w:rsidR="00A952E2" w:rsidRDefault="005E43F4" w:rsidP="005E43F4">
          <w:pPr>
            <w:pStyle w:val="C23BD42DA3164D4598A8EA2142EAB4F3"/>
          </w:pPr>
          <w:r w:rsidRPr="00FA5115">
            <w:rPr>
              <w:rStyle w:val="PlaceholderText"/>
            </w:rPr>
            <w:t>Click or tap here to enter text.</w:t>
          </w:r>
        </w:p>
      </w:docPartBody>
    </w:docPart>
    <w:docPart>
      <w:docPartPr>
        <w:name w:val="D72BDFE15048471D903DBF05FE371947"/>
        <w:category>
          <w:name w:val="General"/>
          <w:gallery w:val="placeholder"/>
        </w:category>
        <w:types>
          <w:type w:val="bbPlcHdr"/>
        </w:types>
        <w:behaviors>
          <w:behavior w:val="content"/>
        </w:behaviors>
        <w:guid w:val="{026FB5F0-B92E-4FF1-BCDC-4D346578F2E2}"/>
      </w:docPartPr>
      <w:docPartBody>
        <w:p w:rsidR="00A952E2" w:rsidRDefault="005E43F4" w:rsidP="005E43F4">
          <w:pPr>
            <w:pStyle w:val="D72BDFE15048471D903DBF05FE371947"/>
          </w:pPr>
          <w:r w:rsidRPr="00FA5115">
            <w:rPr>
              <w:rStyle w:val="PlaceholderText"/>
            </w:rPr>
            <w:t>Click or tap here to enter text.</w:t>
          </w:r>
        </w:p>
      </w:docPartBody>
    </w:docPart>
    <w:docPart>
      <w:docPartPr>
        <w:name w:val="C0D9E744EC8745E6850BEBE94AA86D0F"/>
        <w:category>
          <w:name w:val="General"/>
          <w:gallery w:val="placeholder"/>
        </w:category>
        <w:types>
          <w:type w:val="bbPlcHdr"/>
        </w:types>
        <w:behaviors>
          <w:behavior w:val="content"/>
        </w:behaviors>
        <w:guid w:val="{97DD73D4-FF82-4907-AAE3-D6EDEC73BDAB}"/>
      </w:docPartPr>
      <w:docPartBody>
        <w:p w:rsidR="00A952E2" w:rsidRDefault="005E43F4" w:rsidP="005E43F4">
          <w:pPr>
            <w:pStyle w:val="C0D9E744EC8745E6850BEBE94AA86D0F"/>
          </w:pPr>
          <w:r w:rsidRPr="00FA5115">
            <w:rPr>
              <w:rStyle w:val="PlaceholderText"/>
            </w:rPr>
            <w:t>Click or tap here to enter text.</w:t>
          </w:r>
        </w:p>
      </w:docPartBody>
    </w:docPart>
    <w:docPart>
      <w:docPartPr>
        <w:name w:val="D5DC8C6BA3EF468A87B3DC8FF7384F60"/>
        <w:category>
          <w:name w:val="General"/>
          <w:gallery w:val="placeholder"/>
        </w:category>
        <w:types>
          <w:type w:val="bbPlcHdr"/>
        </w:types>
        <w:behaviors>
          <w:behavior w:val="content"/>
        </w:behaviors>
        <w:guid w:val="{6677625B-DF80-4B1D-A057-2312AEBECE15}"/>
      </w:docPartPr>
      <w:docPartBody>
        <w:p w:rsidR="00A952E2" w:rsidRDefault="005E43F4" w:rsidP="005E43F4">
          <w:pPr>
            <w:pStyle w:val="D5DC8C6BA3EF468A87B3DC8FF7384F60"/>
          </w:pPr>
          <w:r w:rsidRPr="00FA5115">
            <w:rPr>
              <w:rStyle w:val="PlaceholderText"/>
            </w:rPr>
            <w:t>Click or tap here to enter text.</w:t>
          </w:r>
        </w:p>
      </w:docPartBody>
    </w:docPart>
    <w:docPart>
      <w:docPartPr>
        <w:name w:val="3F6BBE14ACCD44B88FE5D16725469A1E"/>
        <w:category>
          <w:name w:val="General"/>
          <w:gallery w:val="placeholder"/>
        </w:category>
        <w:types>
          <w:type w:val="bbPlcHdr"/>
        </w:types>
        <w:behaviors>
          <w:behavior w:val="content"/>
        </w:behaviors>
        <w:guid w:val="{5B082E78-A5AF-475F-A0E3-30058B2BC1E4}"/>
      </w:docPartPr>
      <w:docPartBody>
        <w:p w:rsidR="00A10D8C" w:rsidRDefault="004D56D6" w:rsidP="004D56D6">
          <w:pPr>
            <w:pStyle w:val="3F6BBE14ACCD44B88FE5D16725469A1E"/>
          </w:pPr>
          <w:r w:rsidRPr="00FA5115">
            <w:rPr>
              <w:rStyle w:val="PlaceholderText"/>
            </w:rPr>
            <w:t>Click or tap here to enter text.</w:t>
          </w:r>
        </w:p>
      </w:docPartBody>
    </w:docPart>
    <w:docPart>
      <w:docPartPr>
        <w:name w:val="BD4AF6AED9F5426891197EE324B1F2AC"/>
        <w:category>
          <w:name w:val="General"/>
          <w:gallery w:val="placeholder"/>
        </w:category>
        <w:types>
          <w:type w:val="bbPlcHdr"/>
        </w:types>
        <w:behaviors>
          <w:behavior w:val="content"/>
        </w:behaviors>
        <w:guid w:val="{97B78F82-0D8F-474C-811C-5CB7F1393201}"/>
      </w:docPartPr>
      <w:docPartBody>
        <w:p w:rsidR="00A10D8C" w:rsidRDefault="004D56D6" w:rsidP="004D56D6">
          <w:pPr>
            <w:pStyle w:val="BD4AF6AED9F5426891197EE324B1F2AC"/>
          </w:pPr>
          <w:r w:rsidRPr="00FA5115">
            <w:rPr>
              <w:rStyle w:val="PlaceholderText"/>
            </w:rPr>
            <w:t>Click or tap here to enter text.</w:t>
          </w:r>
        </w:p>
      </w:docPartBody>
    </w:docPart>
    <w:docPart>
      <w:docPartPr>
        <w:name w:val="D90DBA6F600A41EAAEC6F138FF7FC219"/>
        <w:category>
          <w:name w:val="General"/>
          <w:gallery w:val="placeholder"/>
        </w:category>
        <w:types>
          <w:type w:val="bbPlcHdr"/>
        </w:types>
        <w:behaviors>
          <w:behavior w:val="content"/>
        </w:behaviors>
        <w:guid w:val="{165BE25A-872B-4DF4-B0E8-CAFAD3C2AB8E}"/>
      </w:docPartPr>
      <w:docPartBody>
        <w:p w:rsidR="00A10D8C" w:rsidRDefault="004D56D6" w:rsidP="004D56D6">
          <w:pPr>
            <w:pStyle w:val="D90DBA6F600A41EAAEC6F138FF7FC219"/>
          </w:pPr>
          <w:r w:rsidRPr="00FA5115">
            <w:rPr>
              <w:rStyle w:val="PlaceholderText"/>
            </w:rPr>
            <w:t>Click or tap here to enter text.</w:t>
          </w:r>
        </w:p>
      </w:docPartBody>
    </w:docPart>
    <w:docPart>
      <w:docPartPr>
        <w:name w:val="9A1D13749B6945F5B000C60FBDB72AD6"/>
        <w:category>
          <w:name w:val="General"/>
          <w:gallery w:val="placeholder"/>
        </w:category>
        <w:types>
          <w:type w:val="bbPlcHdr"/>
        </w:types>
        <w:behaviors>
          <w:behavior w:val="content"/>
        </w:behaviors>
        <w:guid w:val="{C6E1B9D5-44BE-403C-82F9-0590A3FBFBCE}"/>
      </w:docPartPr>
      <w:docPartBody>
        <w:p w:rsidR="00A10D8C" w:rsidRDefault="004D56D6" w:rsidP="004D56D6">
          <w:pPr>
            <w:pStyle w:val="9A1D13749B6945F5B000C60FBDB72AD6"/>
          </w:pPr>
          <w:r w:rsidRPr="00FA5115">
            <w:rPr>
              <w:rStyle w:val="PlaceholderText"/>
            </w:rPr>
            <w:t>Click or tap here to enter text.</w:t>
          </w:r>
        </w:p>
      </w:docPartBody>
    </w:docPart>
    <w:docPart>
      <w:docPartPr>
        <w:name w:val="BDD9C39014EE4538AAA2B592598E3107"/>
        <w:category>
          <w:name w:val="General"/>
          <w:gallery w:val="placeholder"/>
        </w:category>
        <w:types>
          <w:type w:val="bbPlcHdr"/>
        </w:types>
        <w:behaviors>
          <w:behavior w:val="content"/>
        </w:behaviors>
        <w:guid w:val="{AC9988C8-510E-49E8-8FC7-3813750F77BB}"/>
      </w:docPartPr>
      <w:docPartBody>
        <w:p w:rsidR="00A10D8C" w:rsidRDefault="004D56D6" w:rsidP="004D56D6">
          <w:pPr>
            <w:pStyle w:val="BDD9C39014EE4538AAA2B592598E3107"/>
          </w:pPr>
          <w:r w:rsidRPr="00FA5115">
            <w:rPr>
              <w:rStyle w:val="PlaceholderText"/>
            </w:rPr>
            <w:t>Click or tap here to enter text.</w:t>
          </w:r>
        </w:p>
      </w:docPartBody>
    </w:docPart>
    <w:docPart>
      <w:docPartPr>
        <w:name w:val="EE9A9F531EF74EAE8D612BBC25FF1990"/>
        <w:category>
          <w:name w:val="General"/>
          <w:gallery w:val="placeholder"/>
        </w:category>
        <w:types>
          <w:type w:val="bbPlcHdr"/>
        </w:types>
        <w:behaviors>
          <w:behavior w:val="content"/>
        </w:behaviors>
        <w:guid w:val="{55D0EDAF-9A35-4898-8EF4-1E2D57DDB195}"/>
      </w:docPartPr>
      <w:docPartBody>
        <w:p w:rsidR="00A10D8C" w:rsidRDefault="004D56D6" w:rsidP="004D56D6">
          <w:pPr>
            <w:pStyle w:val="EE9A9F531EF74EAE8D612BBC25FF1990"/>
          </w:pPr>
          <w:r w:rsidRPr="00FA5115">
            <w:rPr>
              <w:rStyle w:val="PlaceholderText"/>
            </w:rPr>
            <w:t>Click or tap here to enter text.</w:t>
          </w:r>
        </w:p>
      </w:docPartBody>
    </w:docPart>
    <w:docPart>
      <w:docPartPr>
        <w:name w:val="FF5FBC0DB3EF4B579EC77C27E58B2015"/>
        <w:category>
          <w:name w:val="General"/>
          <w:gallery w:val="placeholder"/>
        </w:category>
        <w:types>
          <w:type w:val="bbPlcHdr"/>
        </w:types>
        <w:behaviors>
          <w:behavior w:val="content"/>
        </w:behaviors>
        <w:guid w:val="{46ABC9C8-6849-4141-BB3F-589F995AD523}"/>
      </w:docPartPr>
      <w:docPartBody>
        <w:p w:rsidR="00A10D8C" w:rsidRDefault="004D56D6" w:rsidP="004D56D6">
          <w:pPr>
            <w:pStyle w:val="FF5FBC0DB3EF4B579EC77C27E58B2015"/>
          </w:pPr>
          <w:r w:rsidRPr="00FA5115">
            <w:rPr>
              <w:rStyle w:val="PlaceholderText"/>
            </w:rPr>
            <w:t>Click or tap here to enter text.</w:t>
          </w:r>
        </w:p>
      </w:docPartBody>
    </w:docPart>
    <w:docPart>
      <w:docPartPr>
        <w:name w:val="A32CDF74B8D1409A980623F421D268ED"/>
        <w:category>
          <w:name w:val="General"/>
          <w:gallery w:val="placeholder"/>
        </w:category>
        <w:types>
          <w:type w:val="bbPlcHdr"/>
        </w:types>
        <w:behaviors>
          <w:behavior w:val="content"/>
        </w:behaviors>
        <w:guid w:val="{C926D20B-AD87-4402-B4BE-DFD8C2100C26}"/>
      </w:docPartPr>
      <w:docPartBody>
        <w:p w:rsidR="00A10D8C" w:rsidRDefault="004D56D6" w:rsidP="004D56D6">
          <w:pPr>
            <w:pStyle w:val="A32CDF74B8D1409A980623F421D268ED"/>
          </w:pPr>
          <w:r w:rsidRPr="00FA5115">
            <w:rPr>
              <w:rStyle w:val="PlaceholderText"/>
            </w:rPr>
            <w:t>Click or tap here to enter text.</w:t>
          </w:r>
        </w:p>
      </w:docPartBody>
    </w:docPart>
    <w:docPart>
      <w:docPartPr>
        <w:name w:val="2C9DC5126FA84B9386FB1B431351D88B"/>
        <w:category>
          <w:name w:val="General"/>
          <w:gallery w:val="placeholder"/>
        </w:category>
        <w:types>
          <w:type w:val="bbPlcHdr"/>
        </w:types>
        <w:behaviors>
          <w:behavior w:val="content"/>
        </w:behaviors>
        <w:guid w:val="{079CABBC-7A0E-4FCE-86F7-D16919044D56}"/>
      </w:docPartPr>
      <w:docPartBody>
        <w:p w:rsidR="00A10D8C" w:rsidRDefault="004D56D6" w:rsidP="004D56D6">
          <w:pPr>
            <w:pStyle w:val="2C9DC5126FA84B9386FB1B431351D88B"/>
          </w:pPr>
          <w:r w:rsidRPr="00FA5115">
            <w:rPr>
              <w:rStyle w:val="PlaceholderText"/>
            </w:rPr>
            <w:t>Click or tap here to enter text.</w:t>
          </w:r>
        </w:p>
      </w:docPartBody>
    </w:docPart>
    <w:docPart>
      <w:docPartPr>
        <w:name w:val="F22B97ABDC6742D688126549C064ABB4"/>
        <w:category>
          <w:name w:val="General"/>
          <w:gallery w:val="placeholder"/>
        </w:category>
        <w:types>
          <w:type w:val="bbPlcHdr"/>
        </w:types>
        <w:behaviors>
          <w:behavior w:val="content"/>
        </w:behaviors>
        <w:guid w:val="{7C3DFABB-9F30-421C-87A8-CBE884A3BC4F}"/>
      </w:docPartPr>
      <w:docPartBody>
        <w:p w:rsidR="00A10D8C" w:rsidRDefault="004D56D6" w:rsidP="004D56D6">
          <w:pPr>
            <w:pStyle w:val="F22B97ABDC6742D688126549C064ABB4"/>
          </w:pPr>
          <w:r w:rsidRPr="00FA5115">
            <w:rPr>
              <w:rStyle w:val="PlaceholderText"/>
            </w:rPr>
            <w:t>Click or tap here to enter text.</w:t>
          </w:r>
        </w:p>
      </w:docPartBody>
    </w:docPart>
    <w:docPart>
      <w:docPartPr>
        <w:name w:val="F23F78BC4C02428B8606F018930E310E"/>
        <w:category>
          <w:name w:val="General"/>
          <w:gallery w:val="placeholder"/>
        </w:category>
        <w:types>
          <w:type w:val="bbPlcHdr"/>
        </w:types>
        <w:behaviors>
          <w:behavior w:val="content"/>
        </w:behaviors>
        <w:guid w:val="{1D3E3779-D1FD-40D1-B173-CE03E283A995}"/>
      </w:docPartPr>
      <w:docPartBody>
        <w:p w:rsidR="00A10D8C" w:rsidRDefault="004D56D6" w:rsidP="004D56D6">
          <w:pPr>
            <w:pStyle w:val="F23F78BC4C02428B8606F018930E310E"/>
          </w:pPr>
          <w:r w:rsidRPr="00FA5115">
            <w:rPr>
              <w:rStyle w:val="PlaceholderText"/>
            </w:rPr>
            <w:t>Click or tap here to enter text.</w:t>
          </w:r>
        </w:p>
      </w:docPartBody>
    </w:docPart>
    <w:docPart>
      <w:docPartPr>
        <w:name w:val="B03B68556B2E4916B4F31B0C0B8BDD72"/>
        <w:category>
          <w:name w:val="General"/>
          <w:gallery w:val="placeholder"/>
        </w:category>
        <w:types>
          <w:type w:val="bbPlcHdr"/>
        </w:types>
        <w:behaviors>
          <w:behavior w:val="content"/>
        </w:behaviors>
        <w:guid w:val="{ADE7A814-204C-4B30-9854-F6893D3B0129}"/>
      </w:docPartPr>
      <w:docPartBody>
        <w:p w:rsidR="00A10D8C" w:rsidRDefault="004D56D6" w:rsidP="004D56D6">
          <w:pPr>
            <w:pStyle w:val="B03B68556B2E4916B4F31B0C0B8BDD72"/>
          </w:pPr>
          <w:r w:rsidRPr="00FA5115">
            <w:rPr>
              <w:rStyle w:val="PlaceholderText"/>
            </w:rPr>
            <w:t>Click or tap here to enter text.</w:t>
          </w:r>
        </w:p>
      </w:docPartBody>
    </w:docPart>
    <w:docPart>
      <w:docPartPr>
        <w:name w:val="7DE5F6CF17084436B9EA69C6FC22199F"/>
        <w:category>
          <w:name w:val="General"/>
          <w:gallery w:val="placeholder"/>
        </w:category>
        <w:types>
          <w:type w:val="bbPlcHdr"/>
        </w:types>
        <w:behaviors>
          <w:behavior w:val="content"/>
        </w:behaviors>
        <w:guid w:val="{C1905B73-06DB-4BF9-8B2F-766E7EDEF69C}"/>
      </w:docPartPr>
      <w:docPartBody>
        <w:p w:rsidR="00A10D8C" w:rsidRDefault="004D56D6" w:rsidP="004D56D6">
          <w:pPr>
            <w:pStyle w:val="7DE5F6CF17084436B9EA69C6FC22199F"/>
          </w:pPr>
          <w:r w:rsidRPr="00FA5115">
            <w:rPr>
              <w:rStyle w:val="PlaceholderText"/>
            </w:rPr>
            <w:t>Click or tap here to enter text.</w:t>
          </w:r>
        </w:p>
      </w:docPartBody>
    </w:docPart>
    <w:docPart>
      <w:docPartPr>
        <w:name w:val="CCA61C8C1E584916A761B0033E302EEB"/>
        <w:category>
          <w:name w:val="General"/>
          <w:gallery w:val="placeholder"/>
        </w:category>
        <w:types>
          <w:type w:val="bbPlcHdr"/>
        </w:types>
        <w:behaviors>
          <w:behavior w:val="content"/>
        </w:behaviors>
        <w:guid w:val="{7D50280F-E6DA-411C-AC97-81E829B9AB0C}"/>
      </w:docPartPr>
      <w:docPartBody>
        <w:p w:rsidR="00A10D8C" w:rsidRDefault="004D56D6" w:rsidP="004D56D6">
          <w:pPr>
            <w:pStyle w:val="CCA61C8C1E584916A761B0033E302EEB"/>
          </w:pPr>
          <w:r w:rsidRPr="00FA5115">
            <w:rPr>
              <w:rStyle w:val="PlaceholderText"/>
            </w:rPr>
            <w:t>Click or tap here to enter text.</w:t>
          </w:r>
        </w:p>
      </w:docPartBody>
    </w:docPart>
    <w:docPart>
      <w:docPartPr>
        <w:name w:val="C17BBF5CA88C478CA4BCA7833EB0FFE8"/>
        <w:category>
          <w:name w:val="General"/>
          <w:gallery w:val="placeholder"/>
        </w:category>
        <w:types>
          <w:type w:val="bbPlcHdr"/>
        </w:types>
        <w:behaviors>
          <w:behavior w:val="content"/>
        </w:behaviors>
        <w:guid w:val="{D00ED3D0-267B-40E0-A301-754AD9E9CCE4}"/>
      </w:docPartPr>
      <w:docPartBody>
        <w:p w:rsidR="00A10D8C" w:rsidRDefault="004D56D6" w:rsidP="004D56D6">
          <w:pPr>
            <w:pStyle w:val="C17BBF5CA88C478CA4BCA7833EB0FFE8"/>
          </w:pPr>
          <w:r w:rsidRPr="00FA5115">
            <w:rPr>
              <w:rStyle w:val="PlaceholderText"/>
            </w:rPr>
            <w:t>Click or tap here to enter text.</w:t>
          </w:r>
        </w:p>
      </w:docPartBody>
    </w:docPart>
    <w:docPart>
      <w:docPartPr>
        <w:name w:val="9093F49835634DB7863612E4CCE96E3A"/>
        <w:category>
          <w:name w:val="General"/>
          <w:gallery w:val="placeholder"/>
        </w:category>
        <w:types>
          <w:type w:val="bbPlcHdr"/>
        </w:types>
        <w:behaviors>
          <w:behavior w:val="content"/>
        </w:behaviors>
        <w:guid w:val="{5C528142-442C-4213-845D-BD65CF345F96}"/>
      </w:docPartPr>
      <w:docPartBody>
        <w:p w:rsidR="00A10D8C" w:rsidRDefault="004D56D6" w:rsidP="004D56D6">
          <w:pPr>
            <w:pStyle w:val="9093F49835634DB7863612E4CCE96E3A"/>
          </w:pPr>
          <w:r w:rsidRPr="00FA5115">
            <w:rPr>
              <w:rStyle w:val="PlaceholderText"/>
            </w:rPr>
            <w:t>Click or tap here to enter text.</w:t>
          </w:r>
        </w:p>
      </w:docPartBody>
    </w:docPart>
    <w:docPart>
      <w:docPartPr>
        <w:name w:val="E8DD803A6B2040EC88B3F7E3C520F06F"/>
        <w:category>
          <w:name w:val="General"/>
          <w:gallery w:val="placeholder"/>
        </w:category>
        <w:types>
          <w:type w:val="bbPlcHdr"/>
        </w:types>
        <w:behaviors>
          <w:behavior w:val="content"/>
        </w:behaviors>
        <w:guid w:val="{1B94D930-6AE0-4872-8B95-DD1A29DD1F24}"/>
      </w:docPartPr>
      <w:docPartBody>
        <w:p w:rsidR="00A10D8C" w:rsidRDefault="004D56D6" w:rsidP="004D56D6">
          <w:pPr>
            <w:pStyle w:val="E8DD803A6B2040EC88B3F7E3C520F06F"/>
          </w:pPr>
          <w:r w:rsidRPr="00FA5115">
            <w:rPr>
              <w:rStyle w:val="PlaceholderText"/>
            </w:rPr>
            <w:t>Click or tap here to enter text.</w:t>
          </w:r>
        </w:p>
      </w:docPartBody>
    </w:docPart>
    <w:docPart>
      <w:docPartPr>
        <w:name w:val="E285B7ADF2C0443392333B79B45672AE"/>
        <w:category>
          <w:name w:val="General"/>
          <w:gallery w:val="placeholder"/>
        </w:category>
        <w:types>
          <w:type w:val="bbPlcHdr"/>
        </w:types>
        <w:behaviors>
          <w:behavior w:val="content"/>
        </w:behaviors>
        <w:guid w:val="{102BC835-CCFB-4356-9EFC-957B27F56632}"/>
      </w:docPartPr>
      <w:docPartBody>
        <w:p w:rsidR="00A10D8C" w:rsidRDefault="004D56D6" w:rsidP="004D56D6">
          <w:pPr>
            <w:pStyle w:val="E285B7ADF2C0443392333B79B45672AE"/>
          </w:pPr>
          <w:r w:rsidRPr="00FA5115">
            <w:rPr>
              <w:rStyle w:val="PlaceholderText"/>
            </w:rPr>
            <w:t>Click or tap here to enter text.</w:t>
          </w:r>
        </w:p>
      </w:docPartBody>
    </w:docPart>
    <w:docPart>
      <w:docPartPr>
        <w:name w:val="73F13DF9C38C4774BD862616AD6AF586"/>
        <w:category>
          <w:name w:val="General"/>
          <w:gallery w:val="placeholder"/>
        </w:category>
        <w:types>
          <w:type w:val="bbPlcHdr"/>
        </w:types>
        <w:behaviors>
          <w:behavior w:val="content"/>
        </w:behaviors>
        <w:guid w:val="{BCB9D41D-535D-44E8-880B-CF93D02F9E55}"/>
      </w:docPartPr>
      <w:docPartBody>
        <w:p w:rsidR="00A10D8C" w:rsidRDefault="004D56D6" w:rsidP="004D56D6">
          <w:pPr>
            <w:pStyle w:val="73F13DF9C38C4774BD862616AD6AF586"/>
          </w:pPr>
          <w:r w:rsidRPr="00FA5115">
            <w:rPr>
              <w:rStyle w:val="PlaceholderText"/>
            </w:rPr>
            <w:t>Click or tap here to enter text.</w:t>
          </w:r>
        </w:p>
      </w:docPartBody>
    </w:docPart>
    <w:docPart>
      <w:docPartPr>
        <w:name w:val="D4DDCBF65228456E95A0874F61496ECD"/>
        <w:category>
          <w:name w:val="General"/>
          <w:gallery w:val="placeholder"/>
        </w:category>
        <w:types>
          <w:type w:val="bbPlcHdr"/>
        </w:types>
        <w:behaviors>
          <w:behavior w:val="content"/>
        </w:behaviors>
        <w:guid w:val="{3C293854-60EB-4F2A-845D-1D5B3BE14734}"/>
      </w:docPartPr>
      <w:docPartBody>
        <w:p w:rsidR="00A10D8C" w:rsidRDefault="004D56D6" w:rsidP="004D56D6">
          <w:pPr>
            <w:pStyle w:val="D4DDCBF65228456E95A0874F61496ECD"/>
          </w:pPr>
          <w:r w:rsidRPr="00FA5115">
            <w:rPr>
              <w:rStyle w:val="PlaceholderText"/>
            </w:rPr>
            <w:t>Click or tap here to enter text.</w:t>
          </w:r>
        </w:p>
      </w:docPartBody>
    </w:docPart>
    <w:docPart>
      <w:docPartPr>
        <w:name w:val="1EF7F7F9FBF14967ADD4330622D278C2"/>
        <w:category>
          <w:name w:val="General"/>
          <w:gallery w:val="placeholder"/>
        </w:category>
        <w:types>
          <w:type w:val="bbPlcHdr"/>
        </w:types>
        <w:behaviors>
          <w:behavior w:val="content"/>
        </w:behaviors>
        <w:guid w:val="{8FF81312-9701-47C6-80CF-1C356FD7D98D}"/>
      </w:docPartPr>
      <w:docPartBody>
        <w:p w:rsidR="00A10D8C" w:rsidRDefault="004D56D6" w:rsidP="004D56D6">
          <w:pPr>
            <w:pStyle w:val="1EF7F7F9FBF14967ADD4330622D278C2"/>
          </w:pPr>
          <w:r w:rsidRPr="00FA5115">
            <w:rPr>
              <w:rStyle w:val="PlaceholderText"/>
            </w:rPr>
            <w:t>Click or tap here to enter text.</w:t>
          </w:r>
        </w:p>
      </w:docPartBody>
    </w:docPart>
    <w:docPart>
      <w:docPartPr>
        <w:name w:val="1DB2AE90FC5B4AC3969926D4A0640AE2"/>
        <w:category>
          <w:name w:val="General"/>
          <w:gallery w:val="placeholder"/>
        </w:category>
        <w:types>
          <w:type w:val="bbPlcHdr"/>
        </w:types>
        <w:behaviors>
          <w:behavior w:val="content"/>
        </w:behaviors>
        <w:guid w:val="{080C3DE3-CD59-4E83-A81C-51684A767E27}"/>
      </w:docPartPr>
      <w:docPartBody>
        <w:p w:rsidR="00A10D8C" w:rsidRDefault="004D56D6" w:rsidP="004D56D6">
          <w:pPr>
            <w:pStyle w:val="1DB2AE90FC5B4AC3969926D4A0640AE2"/>
          </w:pPr>
          <w:r w:rsidRPr="00FA5115">
            <w:rPr>
              <w:rStyle w:val="PlaceholderText"/>
            </w:rPr>
            <w:t>Click or tap here to enter text.</w:t>
          </w:r>
        </w:p>
      </w:docPartBody>
    </w:docPart>
    <w:docPart>
      <w:docPartPr>
        <w:name w:val="316C1098014347A5A7F7E45094F7140F"/>
        <w:category>
          <w:name w:val="General"/>
          <w:gallery w:val="placeholder"/>
        </w:category>
        <w:types>
          <w:type w:val="bbPlcHdr"/>
        </w:types>
        <w:behaviors>
          <w:behavior w:val="content"/>
        </w:behaviors>
        <w:guid w:val="{6A4E67D1-5288-4B1F-A40C-23283E625CA4}"/>
      </w:docPartPr>
      <w:docPartBody>
        <w:p w:rsidR="00A10D8C" w:rsidRDefault="004D56D6" w:rsidP="004D56D6">
          <w:pPr>
            <w:pStyle w:val="316C1098014347A5A7F7E45094F7140F"/>
          </w:pPr>
          <w:r w:rsidRPr="00FA51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F4"/>
    <w:rsid w:val="004D56D6"/>
    <w:rsid w:val="005E43F4"/>
    <w:rsid w:val="005E442D"/>
    <w:rsid w:val="006205C3"/>
    <w:rsid w:val="0081133F"/>
    <w:rsid w:val="009060BC"/>
    <w:rsid w:val="00A10D8C"/>
    <w:rsid w:val="00A43910"/>
    <w:rsid w:val="00A952E2"/>
    <w:rsid w:val="00D75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6D6"/>
    <w:rPr>
      <w:color w:val="666666"/>
    </w:rPr>
  </w:style>
  <w:style w:type="paragraph" w:customStyle="1" w:styleId="D38DE606D5664266B2212612C3E9AFE2">
    <w:name w:val="D38DE606D5664266B2212612C3E9AFE2"/>
    <w:rsid w:val="005E43F4"/>
  </w:style>
  <w:style w:type="paragraph" w:customStyle="1" w:styleId="C23BD42DA3164D4598A8EA2142EAB4F3">
    <w:name w:val="C23BD42DA3164D4598A8EA2142EAB4F3"/>
    <w:rsid w:val="005E43F4"/>
  </w:style>
  <w:style w:type="paragraph" w:customStyle="1" w:styleId="D72BDFE15048471D903DBF05FE371947">
    <w:name w:val="D72BDFE15048471D903DBF05FE371947"/>
    <w:rsid w:val="005E43F4"/>
  </w:style>
  <w:style w:type="paragraph" w:customStyle="1" w:styleId="3F6BBE14ACCD44B88FE5D16725469A1E">
    <w:name w:val="3F6BBE14ACCD44B88FE5D16725469A1E"/>
    <w:rsid w:val="004D56D6"/>
  </w:style>
  <w:style w:type="paragraph" w:customStyle="1" w:styleId="C0D9E744EC8745E6850BEBE94AA86D0F">
    <w:name w:val="C0D9E744EC8745E6850BEBE94AA86D0F"/>
    <w:rsid w:val="005E43F4"/>
  </w:style>
  <w:style w:type="paragraph" w:customStyle="1" w:styleId="D5DC8C6BA3EF468A87B3DC8FF7384F60">
    <w:name w:val="D5DC8C6BA3EF468A87B3DC8FF7384F60"/>
    <w:rsid w:val="005E43F4"/>
  </w:style>
  <w:style w:type="paragraph" w:customStyle="1" w:styleId="BD4AF6AED9F5426891197EE324B1F2AC">
    <w:name w:val="BD4AF6AED9F5426891197EE324B1F2AC"/>
    <w:rsid w:val="004D56D6"/>
  </w:style>
  <w:style w:type="paragraph" w:customStyle="1" w:styleId="D90DBA6F600A41EAAEC6F138FF7FC219">
    <w:name w:val="D90DBA6F600A41EAAEC6F138FF7FC219"/>
    <w:rsid w:val="004D56D6"/>
  </w:style>
  <w:style w:type="paragraph" w:customStyle="1" w:styleId="9A1D13749B6945F5B000C60FBDB72AD6">
    <w:name w:val="9A1D13749B6945F5B000C60FBDB72AD6"/>
    <w:rsid w:val="004D56D6"/>
  </w:style>
  <w:style w:type="paragraph" w:customStyle="1" w:styleId="BDD9C39014EE4538AAA2B592598E3107">
    <w:name w:val="BDD9C39014EE4538AAA2B592598E3107"/>
    <w:rsid w:val="004D56D6"/>
  </w:style>
  <w:style w:type="paragraph" w:customStyle="1" w:styleId="EE9A9F531EF74EAE8D612BBC25FF1990">
    <w:name w:val="EE9A9F531EF74EAE8D612BBC25FF1990"/>
    <w:rsid w:val="004D56D6"/>
  </w:style>
  <w:style w:type="paragraph" w:customStyle="1" w:styleId="FF5FBC0DB3EF4B579EC77C27E58B2015">
    <w:name w:val="FF5FBC0DB3EF4B579EC77C27E58B2015"/>
    <w:rsid w:val="004D56D6"/>
  </w:style>
  <w:style w:type="paragraph" w:customStyle="1" w:styleId="A32CDF74B8D1409A980623F421D268ED">
    <w:name w:val="A32CDF74B8D1409A980623F421D268ED"/>
    <w:rsid w:val="004D56D6"/>
  </w:style>
  <w:style w:type="paragraph" w:customStyle="1" w:styleId="2C9DC5126FA84B9386FB1B431351D88B">
    <w:name w:val="2C9DC5126FA84B9386FB1B431351D88B"/>
    <w:rsid w:val="004D56D6"/>
  </w:style>
  <w:style w:type="paragraph" w:customStyle="1" w:styleId="F22B97ABDC6742D688126549C064ABB4">
    <w:name w:val="F22B97ABDC6742D688126549C064ABB4"/>
    <w:rsid w:val="004D56D6"/>
  </w:style>
  <w:style w:type="paragraph" w:customStyle="1" w:styleId="F23F78BC4C02428B8606F018930E310E">
    <w:name w:val="F23F78BC4C02428B8606F018930E310E"/>
    <w:rsid w:val="004D56D6"/>
  </w:style>
  <w:style w:type="paragraph" w:customStyle="1" w:styleId="B03B68556B2E4916B4F31B0C0B8BDD72">
    <w:name w:val="B03B68556B2E4916B4F31B0C0B8BDD72"/>
    <w:rsid w:val="004D56D6"/>
  </w:style>
  <w:style w:type="paragraph" w:customStyle="1" w:styleId="7DE5F6CF17084436B9EA69C6FC22199F">
    <w:name w:val="7DE5F6CF17084436B9EA69C6FC22199F"/>
    <w:rsid w:val="004D56D6"/>
  </w:style>
  <w:style w:type="paragraph" w:customStyle="1" w:styleId="CCA61C8C1E584916A761B0033E302EEB">
    <w:name w:val="CCA61C8C1E584916A761B0033E302EEB"/>
    <w:rsid w:val="004D56D6"/>
  </w:style>
  <w:style w:type="paragraph" w:customStyle="1" w:styleId="C17BBF5CA88C478CA4BCA7833EB0FFE8">
    <w:name w:val="C17BBF5CA88C478CA4BCA7833EB0FFE8"/>
    <w:rsid w:val="004D56D6"/>
  </w:style>
  <w:style w:type="paragraph" w:customStyle="1" w:styleId="9093F49835634DB7863612E4CCE96E3A">
    <w:name w:val="9093F49835634DB7863612E4CCE96E3A"/>
    <w:rsid w:val="004D56D6"/>
  </w:style>
  <w:style w:type="paragraph" w:customStyle="1" w:styleId="E8DD803A6B2040EC88B3F7E3C520F06F">
    <w:name w:val="E8DD803A6B2040EC88B3F7E3C520F06F"/>
    <w:rsid w:val="004D56D6"/>
  </w:style>
  <w:style w:type="paragraph" w:customStyle="1" w:styleId="E285B7ADF2C0443392333B79B45672AE">
    <w:name w:val="E285B7ADF2C0443392333B79B45672AE"/>
    <w:rsid w:val="004D56D6"/>
  </w:style>
  <w:style w:type="paragraph" w:customStyle="1" w:styleId="73F13DF9C38C4774BD862616AD6AF586">
    <w:name w:val="73F13DF9C38C4774BD862616AD6AF586"/>
    <w:rsid w:val="004D56D6"/>
  </w:style>
  <w:style w:type="paragraph" w:customStyle="1" w:styleId="D4DDCBF65228456E95A0874F61496ECD">
    <w:name w:val="D4DDCBF65228456E95A0874F61496ECD"/>
    <w:rsid w:val="004D56D6"/>
  </w:style>
  <w:style w:type="paragraph" w:customStyle="1" w:styleId="1EF7F7F9FBF14967ADD4330622D278C2">
    <w:name w:val="1EF7F7F9FBF14967ADD4330622D278C2"/>
    <w:rsid w:val="004D56D6"/>
  </w:style>
  <w:style w:type="paragraph" w:customStyle="1" w:styleId="1DB2AE90FC5B4AC3969926D4A0640AE2">
    <w:name w:val="1DB2AE90FC5B4AC3969926D4A0640AE2"/>
    <w:rsid w:val="004D56D6"/>
  </w:style>
  <w:style w:type="paragraph" w:customStyle="1" w:styleId="316C1098014347A5A7F7E45094F7140F">
    <w:name w:val="316C1098014347A5A7F7E45094F7140F"/>
    <w:rsid w:val="004D56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8F4F9E-671C-46C8-B2E2-4E2836751AF9}">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9486280594"/>
    <we:property name="MENDELEY_CITATIONS" value="[{&quot;citationID&quot;:&quot;MENDELEY_CITATION_717fd005-3e24-4790-9dad-36dc02687642&quot;,&quot;properties&quot;:{&quot;noteIndex&quot;:0},&quot;isEdited&quot;:false,&quot;manualOverride&quot;:{&quot;isManuallyOverridden&quot;:true,&quot;citeprocText&quot;:&quot;(Melitz &amp;#38; Polanec, 2015)&quot;,&quot;manualOverrideText&quot;:&quot;Melitz &amp; Polanec (2015)&quot;},&quot;citationTag&quot;:&quot;MENDELEY_CITATION_v3_eyJjaXRhdGlvbklEIjoiTUVOREVMRVlfQ0lUQVRJT05fNzE3ZmQwMDUtM2UyNC00NzkwLTlkYWQtMzZkYzAyNjg3NjQy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ID&quot;:&quot;MENDELEY_CITATION_4450baa9-bdb3-4be1-8727-e8abf824b6cb&quot;,&quot;properties&quot;:{&quot;noteIndex&quot;:0},&quot;isEdited&quot;:false,&quot;manualOverride&quot;:{&quot;isManuallyOverridden&quot;:true,&quot;citeprocText&quot;:&quot;(Melitz &amp;#38; Polanec, 2015)&quot;,&quot;manualOverrideText&quot;:&quot;Melitz &amp; Polanec (2015)&quot;},&quot;citationTag&quot;:&quot;MENDELEY_CITATION_v3_eyJjaXRhdGlvbklEIjoiTUVOREVMRVlfQ0lUQVRJT05fNDQ1MGJhYTktYmRiMy00YmUxLTg3MjctZThhYmY4MjRiNmNi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ID&quot;:&quot;MENDELEY_CITATION_c87d04ee-c0eb-4e98-8431-e25d94c1f597&quot;,&quot;properties&quot;:{&quot;noteIndex&quot;:0},&quot;isEdited&quot;:false,&quot;manualOverride&quot;:{&quot;isManuallyOverridden&quot;:true,&quot;citeprocText&quot;:&quot;(Melitz &amp;#38; Polanec, 2015)&quot;,&quot;manualOverrideText&quot;:&quot;Melitz &amp; Polanec (2015)&quot;},&quot;citationTag&quot;:&quot;MENDELEY_CITATION_v3_eyJjaXRhdGlvbklEIjoiTUVOREVMRVlfQ0lUQVRJT05fYzg3ZDA0ZWUtYzBlYi00ZTk4LTg0MzEtZTI1ZDk0YzFmNTk3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ID&quot;:&quot;MENDELEY_CITATION_bb86d776-e6df-4e17-844f-a26704ad12d8&quot;,&quot;properties&quot;:{&quot;noteIndex&quot;:0},&quot;isEdited&quot;:false,&quot;manualOverride&quot;:{&quot;isManuallyOverridden&quot;:true,&quot;citeprocText&quot;:&quot;(Harris &amp;#38; Moffat, 2019)&quot;,&quot;manualOverrideText&quot;:&quot;Harris &amp; Moffat (2019)&quot;},&quot;citationTag&quot;:&quot;MENDELEY_CITATION_v3_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&quot;,&quot;citationItems&quot;:[{&quot;id&quot;:&quot;673a079f-f277-3afb-80e8-d0a5dc6d87be&quot;,&quot;itemData&quot;:{&quot;type&quot;:&quot;article-journal&quot;,&quot;id&quot;:&quot;673a079f-f277-3afb-80e8-d0a5dc6d87be&quot;,&quot;title&quot;:&quot;The decline of British manufacturing, 1973–2012: the role of total factor productivity&quot;,&quot;author&quot;:[{&quot;family&quot;:&quot;Harris&quot;,&quot;given&quot;:&quot;Richard&quot;,&quot;parse-names&quot;:false,&quot;dropping-particle&quot;:&quot;&quot;,&quot;non-dropping-particle&quot;:&quot;&quot;},{&quot;family&quot;:&quot;Moffat&quot;,&quot;given&quot;:&quot;John&quot;,&quot;parse-names&quot;:false,&quot;dropping-particle&quot;:&quot;&quot;,&quot;non-dropping-particle&quot;:&quot;&quot;}],&quot;container-title&quot;:&quot;National Institute Economic Review&quot;,&quot;container-title-short&quot;:&quot;Natl. Inst. Econ. Rev.&quot;,&quot;issued&quot;:{&quot;date-parts&quot;:[[2019]]},&quot;page&quot;:&quot;R19–R31&quot;,&quot;publisher&quot;:&quot;Cambridge University Press&quot;,&quot;volume&quot;:&quot;247&quot;},&quot;isTemporary&quot;:false,&quot;suppress-author&quot;:false,&quot;composite&quot;:false,&quot;author-only&quot;:false}]},{&quot;citationID&quot;:&quot;MENDELEY_CITATION_c32225d1-d133-4961-8967-4490871551de&quot;,&quot;properties&quot;:{&quot;noteIndex&quot;:0},&quot;isEdited&quot;:false,&quot;manualOverride&quot;:{&quot;isManuallyOverridden&quot;:true,&quot;citeprocText&quot;:&quot;(Melitz &amp;#38; Polanec, 2015)&quot;,&quot;manualOverrideText&quot;:&quot;Melitz &amp; Polanec (2015)&quot;},&quot;citationTag&quot;:&quot;MENDELEY_CITATION_v3_eyJjaXRhdGlvbklEIjoiTUVOREVMRVlfQ0lUQVRJT05fYzMyMjI1ZDEtZDEzMy00OTYxLTg5NjctNDQ5MDg3MTU1MWRl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ID&quot;:&quot;MENDELEY_CITATION_d95d1482-8aaa-4fba-9494-232d27444cdb&quot;,&quot;properties&quot;:{&quot;noteIndex&quot;:0},&quot;isEdited&quot;:false,&quot;manualOverride&quot;:{&quot;isManuallyOverridden&quot;:true,&quot;citeprocText&quot;:&quot;(Haltiwanger, 1997)&quot;,&quot;manualOverrideText&quot;:&quot;Haltiwanger (1997)&quot;},&quot;citationTag&quot;:&quot;MENDELEY_CITATION_v3_eyJjaXRhdGlvbklEIjoiTUVOREVMRVlfQ0lUQVRJT05fZDk1ZDE0ODItOGFhYS00ZmJhLTk0OTQtMjMyZDI3NDQ0Y2Ri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quot;,&quot;citationItems&quot;:[{&quot;id&quot;:&quot;39a858b5-d373-3094-b574-7f2cbe7da27b&quot;,&quot;itemData&quot;:{&quot;type&quot;:&quot;article-journal&quot;,&quot;id&quot;:&quot;39a858b5-d373-3094-b574-7f2cbe7da27b&quot;,&quot;title&quot;:&quot;Measuring and Analysing Aggregate Fluctuations: The Importance of Building from Microeconomic Evidence”, Federal Reserve Bank of St. Louis Economic Review, January/February&quot;,&quot;author&quot;:[{&quot;family&quot;:&quot;Haltiwanger&quot;,&quot;given&quot;:&quot;J&quot;,&quot;parse-names&quot;:false,&quot;dropping-particle&quot;:&quot;&quot;,&quot;non-dropping-particle&quot;:&quot;&quot;}],&quot;URL&quot;:&quot;https://files.stlouisfed.org/files/htdocs/publications/review/97/05/9705jh.pdf&quot;,&quot;issued&quot;:{&quot;date-parts&quot;:[[1997]]},&quot;container-title-short&quot;:&quot;&quot;},&quot;isTemporary&quot;:false,&quot;suppress-author&quot;:false,&quot;composite&quot;:false,&quot;author-only&quot;:false}]},{&quot;citationID&quot;:&quot;MENDELEY_CITATION_bbfd0b75-bf3c-4146-aff9-988a85c389cc&quot;,&quot;properties&quot;:{&quot;noteIndex&quot;:0},&quot;isEdited&quot;:false,&quot;manualOverride&quot;:{&quot;isManuallyOverridden&quot;:true,&quot;citeprocText&quot;:&quot;(Haltiwanger, 1997)&quot;,&quot;manualOverrideText&quot;:&quot;Haltiwanger (1997)&quot;},&quot;citationItems&quot;:[{&quot;id&quot;:&quot;39a858b5-d373-3094-b574-7f2cbe7da27b&quot;,&quot;itemData&quot;:{&quot;type&quot;:&quot;article-journal&quot;,&quot;id&quot;:&quot;39a858b5-d373-3094-b574-7f2cbe7da27b&quot;,&quot;title&quot;:&quot;Measuring and Analysing Aggregate Fluctuations: The Importance of Building from Microeconomic Evidence”, Federal Reserve Bank of St. Louis Economic Review, January/February&quot;,&quot;author&quot;:[{&quot;family&quot;:&quot;Haltiwanger&quot;,&quot;given&quot;:&quot;J&quot;,&quot;parse-names&quot;:false,&quot;dropping-particle&quot;:&quot;&quot;,&quot;non-dropping-particle&quot;:&quot;&quot;}],&quot;URL&quot;:&quot;https://files.stlouisfed.org/files/htdocs/publications/review/97/05/9705jh.pdf&quot;,&quot;issued&quot;:{&quot;date-parts&quot;:[[1997]]},&quot;container-title-short&quot;:&quot;&quot;},&quot;isTemporary&quot;:false,&quot;suppress-author&quot;:false,&quot;composite&quot;:false,&quot;author-only&quot;:false}],&quot;citationTag&quot;:&quot;MENDELEY_CITATION_v3_eyJjaXRhdGlvbklEIjoiTUVOREVMRVlfQ0lUQVRJT05fYmJmZDBiNzUtYmYzYy00MTQ2LWFmZjktOTg4YTg1YzM4OWNj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quot;},{&quot;citationID&quot;:&quot;MENDELEY_CITATION_57d72e89-526a-4036-98d0-c8efe898ea69&quot;,&quot;properties&quot;:{&quot;noteIndex&quot;:0},&quot;isEdited&quot;:false,&quot;manualOverride&quot;:{&quot;isManuallyOverridden&quot;:true,&quot;citeprocText&quot;:&quot;(Melitz &amp;#38; Polanec, 2015)&quot;,&quot;manualOverrideText&quot;:&quot;Melitz &amp; Polanec (2015)&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Tag&quot;:&quot;MENDELEY_CITATION_v3_eyJjaXRhdGlvbklEIjoiTUVOREVMRVlfQ0lUQVRJT05fNTdkNzJlODktNTI2YS00MDM2LTk4ZDAtYzhlZmU4OThlYTY5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D&quot;:&quot;MENDELEY_CITATION_6d806be7-c731-4337-ab2e-51454c60ef8c&quot;,&quot;properties&quot;:{&quot;noteIndex&quot;:0},&quot;isEdited&quot;:false,&quot;manualOverride&quot;:{&quot;isManuallyOverridden&quot;:true,&quot;citeprocText&quot;:&quot;(Harris, 2021)&quot;,&quot;manualOverrideText&quot;:&quot;Harris (2021)&quot;},&quot;citationTag&quot;:&quot;MENDELEY_CITATION_v3_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&quot;,&quot;citationItems&quot;:[{&quot;id&quot;:&quot;eace1aa4-f803-3349-a380-b289a66e433a&quot;,&quot;itemData&quot;:{&quot;type&quot;:&quot;article-journal&quot;,&quot;id&quot;:&quot;eace1aa4-f803-3349-a380-b289a66e433a&quot;,&quot;title&quot;:&quot;The importance of spatial differences in total factor productivity: New Zealand, 2001–16&quot;,&quot;author&quot;:[{&quot;family&quot;:&quot;Harris&quot;,&quot;given&quot;:&quot;Richard&quot;,&quot;parse-names&quot;:false,&quot;dropping-particle&quot;:&quot;&quot;,&quot;non-dropping-particle&quot;:&quot;&quot;}],&quot;container-title&quot;:&quot;Regional Studies&quot;,&quot;container-title-short&quot;:&quot;Reg. Stud.&quot;,&quot;issued&quot;:{&quot;date-parts&quot;:[[2021]]},&quot;page&quot;:&quot;1209-1227&quot;,&quot;publisher&quot;:&quot;Taylor &amp; Francis&quot;,&quot;issue&quot;:&quot;7&quot;,&quot;volume&quot;:&quot;55&quot;},&quot;isTemporary&quot;:false,&quot;suppress-author&quot;:false,&quot;composite&quot;:false,&quot;author-only&quot;:false}]},{&quot;citationID&quot;:&quot;MENDELEY_CITATION_7eaf04a2-b810-49a2-b5bf-10504ee57d85&quot;,&quot;properties&quot;:{&quot;noteIndex&quot;:0},&quot;isEdited&quot;:false,&quot;manualOverride&quot;:{&quot;isManuallyOverridden&quot;:true,&quot;citeprocText&quot;:&quot;(Dias &amp;#38; Robalo, 2021)&quot;,&quot;manualOverrideText&quot;:&quot;Dias &amp; Robalo (2021)&quot;},&quot;citationTag&quot;:&quot;MENDELEY_CITATION_v3_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&quot;,&quot;citationItems&quot;:[{&quot;id&quot;:&quot;224e71d1-f7b8-326c-a132-db4b6cb24dea&quot;,&quot;itemData&quot;:{&quot;type&quot;:&quot;article-journal&quot;,&quot;id&quot;:&quot;224e71d1-f7b8-326c-a132-db4b6cb24dea&quot;,&quot;title&quot;:&quot;From micro to macro: a note on the analysis of aggregate productivity dynamics using firm-level data&quot;,&quot;author&quot;:[{&quot;family&quot;:&quot;Dias&quot;,&quot;given&quot;:&quot;Daniel A&quot;,&quot;parse-names&quot;:false,&quot;dropping-particle&quot;:&quot;&quot;,&quot;non-dropping-particle&quot;:&quot;&quot;},{&quot;family&quot;:&quot;Robalo&quot;,&quot;given&quot;:&quot;Carlos&quot;,&quot;parse-names&quot;:false,&quot;dropping-particle&quot;:&quot;&quot;,&quot;non-dropping-particle&quot;:&quot;&quot;}],&quot;container-title&quot;:&quot;Journal of Productivity Analysis&quot;,&quot;issued&quot;:{&quot;date-parts&quot;:[[2021]]},&quot;page&quot;:&quot;1-14&quot;,&quot;publisher&quot;:&quot;Springer&quot;,&quot;issue&quot;:&quot;1&quot;,&quot;volume&quot;:&quot;56&quot;,&quot;container-title-short&quot;:&quot;&quot;},&quot;isTemporary&quot;:false,&quot;suppress-author&quot;:false,&quot;composite&quot;:false,&quot;author-only&quot;:false}]},{&quot;citationID&quot;:&quot;MENDELEY_CITATION_e06ee01c-37c7-48d5-8477-2867d89eacff&quot;,&quot;properties&quot;:{&quot;noteIndex&quot;:0},&quot;isEdited&quot;:false,&quot;manualOverride&quot;:{&quot;isManuallyOverridden&quot;:true,&quot;citeprocText&quot;:&quot;(Kauma &amp;#38; Mion, 2026)&quot;,&quot;manualOverrideText&quot;:&quot;Kauma &amp; Mion (2026)&quot;},&quot;citationTag&quot;:&quot;MENDELEY_CITATION_v3_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&quot;,&quot;citationItems&quot;:[{&quot;id&quot;:&quot;702c133e-5e6c-3b5f-babd-6a0c37f06c18&quot;,&quot;itemData&quot;:{&quot;type&quot;:&quot;article-journal&quot;,&quot;id&quot;:&quot;702c133e-5e6c-3b5f-babd-6a0c37f06c18&quot;,&quot;title&quot;:&quot;Regional Productivity Differences in the UK and France: From the Micro to the Macro&quot;,&quot;author&quot;:[{&quot;family&quot;:&quot;Kauma&quot;,&quot;given&quot;:&quot;Bridget&quot;,&quot;parse-names&quot;:false,&quot;dropping-particle&quot;:&quot;&quot;,&quot;non-dropping-particle&quot;:&quot;&quot;},{&quot;family&quot;:&quot;Mion&quot;,&quot;given&quot;:&quot;Giordano&quot;,&quot;parse-names&quot;:false,&quot;dropping-particle&quot;:&quot;&quot;,&quot;non-dropping-particle&quot;:&quot;&quot;}],&quot;container-title&quot;:&quot;Oxford Bulletin of Economics and Statistics&quot;,&quot;container-title-short&quot;:&quot;Oxf. Bull. Econ. Stat.&quot;,&quot;DOI&quot;:&quot;10.1111/obes.12689&quot;,&quot;ISSN&quot;:&quot;14680084&quot;,&quot;issued&quot;:{&quot;date-parts&quot;:[[2026,4,1]]},&quot;page&quot;:&quot;275-290&quot;,&quot;abstract&quot;:&quot;We propose a new data resource that attempts to overcome limitations of standard firm-level datasets for the United Kingdom (like the ARD/ABS) by building on administrative data covering the population of UK firms with at least one employee. We also construct a similar dataset for France and use both datasets to (1) provide some highlights of the data and an overall picture of the evolution of aggregate UK and French productivity and markups; (2) analyse the spatial distribution of productivity in both countries at a fine level of detail—228 Travel to Work Areas (TTWAs) for the United Kingdom and 297 Zones d'emploi (ZEs) for France—while focusing on the role of economic density. Our findings suggest that differences in firm productivity across regions are magnified in the aggregate by an increasing productivity return of density along the productivity distribution.&quot;,&quot;publisher&quot;:&quot;John Wiley and Sons Inc&quot;,&quot;issue&quot;:&quot;2&quot;,&quot;volume&quot;:&quot;88&quot;},&quot;isTemporary&quot;:false,&quot;suppress-author&quot;:false,&quot;composite&quot;:false,&quot;author-only&quot;:false}]},{&quot;citationID&quot;:&quot;MENDELEY_CITATION_ec00e074-5158-4361-9555-c8cde74b0adf&quot;,&quot;properties&quot;:{&quot;noteIndex&quot;:0},&quot;isEdited&quot;:false,&quot;manualOverride&quot;:{&quot;isManuallyOverridden&quot;:true,&quot;citeprocText&quot;:&quot;(Jovanovic, 1982)&quot;,&quot;manualOverrideText&quot;:&quot;Jovanovic (1982)&quot;},&quot;citationTag&quot;:&quot;MENDELEY_CITATION_v3_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&quot;,&quot;citationItems&quot;:[{&quot;id&quot;:&quot;9d6f80a8-265c-3849-b56b-10c07a3a1536&quot;,&quot;itemData&quot;:{&quot;type&quot;:&quot;article-journal&quot;,&quot;id&quot;:&quot;9d6f80a8-265c-3849-b56b-10c07a3a1536&quot;,&quot;title&quot;:&quot;Selection and the Evolution of Industry&quot;,&quot;author&quot;:[{&quot;family&quot;:&quot;Jovanovic&quot;,&quot;given&quot;:&quot;Boyan&quot;,&quot;parse-names&quot;:false,&quot;dropping-particle&quot;:&quot;&quot;,&quot;non-dropping-particle&quot;:&quot;&quot;}],&quot;container-title&quot;:&quot;Econometrica: Journal of the econometric society&quot;,&quot;container-title-short&quot;:&quot;Econometrica&quot;,&quot;issued&quot;:{&quot;date-parts&quot;:[[1982]]},&quot;page&quot;:&quot;649-670&quot;,&quot;publisher&quot;:&quot;JSTOR&quot;},&quot;isTemporary&quot;:false,&quot;suppress-author&quot;:false,&quot;composite&quot;:false,&quot;author-only&quot;:false}]},{&quot;citationID&quot;:&quot;MENDELEY_CITATION_e7acb46c-5777-46bf-b5e6-f2ffa72aa2ff&quot;,&quot;properties&quot;:{&quot;noteIndex&quot;:0},&quot;isEdited&quot;:false,&quot;manualOverride&quot;:{&quot;isManuallyOverridden&quot;:true,&quot;citeprocText&quot;:&quot;(Hopenhayn, 1992)&quot;,&quot;manualOverrideText&quot;:&quot;Hopenhayn (1992)&quot;},&quot;citationTag&quot;:&quot;MENDELEY_CITATION_v3_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&quot;,&quot;citationItems&quot;:[{&quot;id&quot;:&quot;4a30faa0-9798-338c-a88b-6468e4c0b8f6&quot;,&quot;itemData&quot;:{&quot;type&quot;:&quot;article-journal&quot;,&quot;id&quot;:&quot;4a30faa0-9798-338c-a88b-6468e4c0b8f6&quot;,&quot;title&quot;:&quot;Entry, exit, and firm dynamics in long run equilibrium&quot;,&quot;author&quot;:[{&quot;family&quot;:&quot;Hopenhayn&quot;,&quot;given&quot;:&quot;Hugo A&quot;,&quot;parse-names&quot;:false,&quot;dropping-particle&quot;:&quot;&quot;,&quot;non-dropping-particle&quot;:&quot;&quot;}],&quot;container-title&quot;:&quot;Econometrica: Journal of the Econometric Society&quot;,&quot;container-title-short&quot;:&quot;Econometrica&quot;,&quot;issued&quot;:{&quot;date-parts&quot;:[[1992]]},&quot;page&quot;:&quot;1127-1150&quot;,&quot;publisher&quot;:&quot;JSTOR&quot;},&quot;isTemporary&quot;:false,&quot;suppress-author&quot;:false,&quot;composite&quot;:false,&quot;author-only&quot;:false}]},{&quot;citationID&quot;:&quot;MENDELEY_CITATION_16093780-a452-417d-8988-a51759993e20&quot;,&quot;properties&quot;:{&quot;noteIndex&quot;:0},&quot;isEdited&quot;:false,&quot;manualOverride&quot;:{&quot;isManuallyOverridden&quot;:false,&quot;citeprocText&quot;:&quot;(Hsieh &amp;#38; Klenow, 2009; Restuccia &amp;#38; Rogerson, 2008)&quot;,&quot;manualOverrideText&quot;:&quot;&quot;},&quot;citationTag&quot;:&quot;MENDELEY_CITATION_v3_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&quot;,&quot;citationItems&quot;:[{&quot;id&quot;:&quot;f98e2810-6f82-3bcd-8d9b-67a8574aae6e&quot;,&quot;itemData&quot;:{&quot;type&quot;:&quot;article-journal&quot;,&quot;id&quot;:&quot;f98e2810-6f82-3bcd-8d9b-67a8574aae6e&quot;,&quot;title&quot;:&quot;Misallocation and manufacturing TFP in China and India&quot;,&quot;author&quot;:[{&quot;family&quot;:&quot;Hsieh&quot;,&quot;given&quot;:&quot;Chang-Tai&quot;,&quot;parse-names&quot;:false,&quot;dropping-particle&quot;:&quot;&quot;,&quot;non-dropping-particle&quot;:&quot;&quot;},{&quot;family&quot;:&quot;Klenow&quot;,&quot;given&quot;:&quot;Peter J&quot;,&quot;parse-names&quot;:false,&quot;dropping-particle&quot;:&quot;&quot;,&quot;non-dropping-particle&quot;:&quot;&quot;}],&quot;container-title&quot;:&quot;The Quarterly journal of economics&quot;,&quot;container-title-short&quot;:&quot;Q. J. Econ.&quot;,&quot;issued&quot;:{&quot;date-parts&quot;:[[2009]]},&quot;page&quot;:&quot;1403-1448&quot;,&quot;publisher&quot;:&quot;MIT Press&quot;,&quot;issue&quot;:&quot;4&quot;,&quot;volume&quot;:&quot;124&quot;},&quot;isTemporary&quot;:false},{&quot;id&quot;:&quot;9d13faf6-c2e4-318b-af7a-b754d9b0efed&quot;,&quot;itemData&quot;:{&quot;type&quot;:&quot;article-journal&quot;,&quot;id&quot;:&quot;9d13faf6-c2e4-318b-af7a-b754d9b0efed&quot;,&quot;title&quot;:&quot;Policy distortions and aggregate productivity with heterogeneous establishments&quot;,&quot;author&quot;:[{&quot;family&quot;:&quot;Restuccia&quot;,&quot;given&quot;:&quot;Diego&quot;,&quot;parse-names&quot;:false,&quot;dropping-particle&quot;:&quot;&quot;,&quot;non-dropping-particle&quot;:&quot;&quot;},{&quot;family&quot;:&quot;Rogerson&quot;,&quot;given&quot;:&quot;Richard&quot;,&quot;parse-names&quot;:false,&quot;dropping-particle&quot;:&quot;&quot;,&quot;non-dropping-particle&quot;:&quot;&quot;}],&quot;container-title&quot;:&quot;Review of Economic dynamics&quot;,&quot;container-title-short&quot;:&quot;Rev. Econ. Dyn.&quot;,&quot;issued&quot;:{&quot;date-parts&quot;:[[2008]]},&quot;page&quot;:&quot;707-720&quot;,&quot;publisher&quot;:&quot;Elsevier&quot;,&quot;issue&quot;:&quot;4&quot;,&quot;volume&quot;:&quot;11&quot;},&quot;isTemporary&quot;:false}]},{&quot;citationID&quot;:&quot;MENDELEY_CITATION_677a3ee2-7146-4e03-9225-1fe5be5abf15&quot;,&quot;properties&quot;:{&quot;noteIndex&quot;:0},&quot;isEdited&quot;:false,&quot;manualOverride&quot;:{&quot;isManuallyOverridden&quot;:true,&quot;citeprocText&quot;:&quot;(Padilla-Perez &amp;#38; Villarreal, 2017)&quot;,&quot;manualOverrideText&quot;:&quot;Padilla-Perez &amp; Villarreal (2017)&quot;},&quot;citationTag&quot;:&quot;MENDELEY_CITATION_v3_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&quot;,&quot;citationItems&quot;:[{&quot;id&quot;:&quot;9a5363d6-8708-3d4d-be3b-c2ccf64d2a8a&quot;,&quot;itemData&quot;:{&quot;type&quot;:&quot;article-journal&quot;,&quot;id&quot;:&quot;9a5363d6-8708-3d4d-be3b-c2ccf64d2a8a&quot;,&quot;title&quot;:&quot;Structural change and productivity growth in Mexico, 1990–2014&quot;,&quot;author&quot;:[{&quot;family&quot;:&quot;Padilla-Perez&quot;,&quot;given&quot;:&quot;Ramon&quot;,&quot;parse-names&quot;:false,&quot;dropping-particle&quot;:&quot;&quot;,&quot;non-dropping-particle&quot;:&quot;&quot;},{&quot;family&quot;:&quot;Villarreal&quot;,&quot;given&quot;:&quot;Francisco G&quot;,&quot;parse-names&quot;:false,&quot;dropping-particle&quot;:&quot;&quot;,&quot;non-dropping-particle&quot;:&quot;&quot;}],&quot;container-title&quot;:&quot;Structural change and economic dynamics&quot;,&quot;issued&quot;:{&quot;date-parts&quot;:[[2017]]},&quot;page&quot;:&quot;53-63&quot;,&quot;publisher&quot;:&quot;Elsevier&quot;,&quot;volume&quot;:&quot;41&quot;,&quot;container-title-short&quot;:&quot;&quot;},&quot;isTemporary&quot;:false,&quot;suppress-author&quot;:false,&quot;composite&quot;:false,&quot;author-only&quot;:false}]},{&quot;citationID&quot;:&quot;MENDELEY_CITATION_1278559f-aaa2-4b13-ad83-c1ed34e8f26e&quot;,&quot;properties&quot;:{&quot;noteIndex&quot;:0},&quot;isEdited&quot;:false,&quot;manualOverride&quot;:{&quot;isManuallyOverridden&quot;:true,&quot;citeprocText&quot;:&quot;(Foster et al., 2008)&quot;,&quot;manualOverrideText&quot;:&quot;Foster et al. (2008)&quot;},&quot;citationTag&quot;:&quot;MENDELEY_CITATION_v3_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&quot;,&quot;citationItems&quot;:[{&quot;id&quot;:&quot;8aee6ebf-b138-3f9d-95e4-09758d267286&quot;,&quot;itemData&quot;:{&quot;type&quot;:&quot;article-journal&quot;,&quot;id&quot;:&quot;8aee6ebf-b138-3f9d-95e4-09758d267286&quot;,&quot;title&quot;:&quot;Reallocation, firm turnover, and efficiency: Selection on productivity or profitability&quot;,&quot;author&quot;:[{&quot;family&quot;:&quot;Foster&quot;,&quot;given&quot;:&quot;Lucia&quot;,&quot;parse-names&quot;:false,&quot;dropping-particle&quot;:&quot;&quot;,&quot;non-dropping-particle&quot;:&quot;&quot;},{&quot;family&quot;:&quot;Haltiwanger&quot;,&quot;given&quot;:&quot;John&quot;,&quot;parse-names&quot;:false,&quot;dropping-particle&quot;:&quot;&quot;,&quot;non-dropping-particle&quot;:&quot;&quot;},{&quot;family&quot;:&quot;Syverson&quot;,&quot;given&quot;:&quot;Chad&quot;,&quot;parse-names&quot;:false,&quot;dropping-particle&quot;:&quot;&quot;,&quot;non-dropping-particle&quot;:&quot;&quot;}],&quot;container-title&quot;:&quot;American Economic Review&quot;,&quot;issued&quot;:{&quot;date-parts&quot;:[[2008]]},&quot;page&quot;:&quot;394-425&quot;,&quot;issue&quot;:&quot;1&quot;,&quot;volume&quot;:&quot;98&quot;,&quot;container-title-short&quot;:&quot;&quot;},&quot;isTemporary&quot;:false,&quot;suppress-author&quot;:false,&quot;composite&quot;:false,&quot;author-only&quot;:false}]},{&quot;citationID&quot;:&quot;MENDELEY_CITATION_e268b37d-07c9-4c86-98a5-8a8b5936b738&quot;,&quot;properties&quot;:{&quot;noteIndex&quot;:0},&quot;isEdited&quot;:false,&quot;manualOverride&quot;:{&quot;isManuallyOverridden&quot;:true,&quot;citeprocText&quot;:&quot;(Haltiwanger, 1997)&quot;,&quot;manualOverrideText&quot;:&quot;Haltiwanger (1997)&quot;},&quot;citationTag&quot;:&quot;MENDELEY_CITATION_v3_eyJjaXRhdGlvbklEIjoiTUVOREVMRVlfQ0lUQVRJT05fZTI2OGIzN2QtMDdjOS00Yzg2LTk4YTUtOGE4YjU5MzZiNzM4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quot;,&quot;citationItems&quot;:[{&quot;id&quot;:&quot;39a858b5-d373-3094-b574-7f2cbe7da27b&quot;,&quot;itemData&quot;:{&quot;type&quot;:&quot;article-journal&quot;,&quot;id&quot;:&quot;39a858b5-d373-3094-b574-7f2cbe7da27b&quot;,&quot;title&quot;:&quot;Measuring and Analysing Aggregate Fluctuations: The Importance of Building from Microeconomic Evidence”, Federal Reserve Bank of St. Louis Economic Review, January/February&quot;,&quot;author&quot;:[{&quot;family&quot;:&quot;Haltiwanger&quot;,&quot;given&quot;:&quot;J&quot;,&quot;parse-names&quot;:false,&quot;dropping-particle&quot;:&quot;&quot;,&quot;non-dropping-particle&quot;:&quot;&quot;}],&quot;URL&quot;:&quot;https://files.stlouisfed.org/files/htdocs/publications/review/97/05/9705jh.pdf&quot;,&quot;issued&quot;:{&quot;date-parts&quot;:[[1997]]},&quot;container-title-short&quot;:&quot;&quot;},&quot;isTemporary&quot;:false,&quot;suppress-author&quot;:false,&quot;composite&quot;:false,&quot;author-only&quot;:false}]},{&quot;citationID&quot;:&quot;MENDELEY_CITATION_f061b476-3f57-4c59-aef0-84bf558c18b5&quot;,&quot;properties&quot;:{&quot;noteIndex&quot;:0},&quot;isEdited&quot;:false,&quot;manualOverride&quot;:{&quot;isManuallyOverridden&quot;:true,&quot;citeprocText&quot;:&quot;(Klette &amp;#38; Griliches, 1996)&quot;,&quot;manualOverrideText&quot;:&quot;Klette &amp; Griliches (1996)&quot;},&quot;citationTag&quot;:&quot;MENDELEY_CITATION_v3_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&quot;,&quot;citationItems&quot;:[{&quot;id&quot;:&quot;827418a8-e0d2-3bc3-b32b-84f1a715288f&quot;,&quot;itemData&quot;:{&quot;type&quot;:&quot;article-journal&quot;,&quot;id&quot;:&quot;827418a8-e0d2-3bc3-b32b-84f1a715288f&quot;,&quot;title&quot;:&quot;The inconsistency of common scale estimators when output prices are unobserved and endogenous&quot;,&quot;author&quot;:[{&quot;family&quot;:&quot;Klette&quot;,&quot;given&quot;:&quot;Tor Jakob&quot;,&quot;parse-names&quot;:false,&quot;dropping-particle&quot;:&quot;&quot;,&quot;non-dropping-particle&quot;:&quot;&quot;},{&quot;family&quot;:&quot;Griliches&quot;,&quot;given&quot;:&quot;Zvi&quot;,&quot;parse-names&quot;:false,&quot;dropping-particle&quot;:&quot;&quot;,&quot;non-dropping-particle&quot;:&quot;&quot;}],&quot;container-title&quot;:&quot;Journal of applied econometrics&quot;,&quot;issued&quot;:{&quot;date-parts&quot;:[[1996]]},&quot;page&quot;:&quot;343-361&quot;,&quot;publisher&quot;:&quot;Wiley Online Library&quot;,&quot;issue&quot;:&quot;4&quot;,&quot;volume&quot;:&quot;11&quot;,&quot;container-title-short&quot;:&quot;&quot;},&quot;isTemporary&quot;:false,&quot;suppress-author&quot;:false,&quot;composite&quot;:false,&quot;author-only&quot;:false}]},{&quot;citationID&quot;:&quot;MENDELEY_CITATION_5c35b62a-bbbc-4f3f-88b3-1522d949fac2&quot;,&quot;properties&quot;:{&quot;noteIndex&quot;:0},&quot;isEdited&quot;:false,&quot;manualOverride&quot;:{&quot;isManuallyOverridden&quot;:true,&quot;citeprocText&quot;:&quot;(Wooldridge, 2009)&quot;,&quot;manualOverrideText&quot;:&quot;Wooldridge (2009)&quot;},&quot;citationTag&quot;:&quot;MENDELEY_CITATION_v3_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&quot;,&quot;citationItems&quot;:[{&quot;id&quot;:&quot;907c9fee-ae59-327e-bf35-8f9e5ba7d82f&quot;,&quot;itemData&quot;:{&quot;type&quot;:&quot;article-journal&quot;,&quot;id&quot;:&quot;907c9fee-ae59-327e-bf35-8f9e5ba7d82f&quot;,&quot;title&quot;:&quot;On estimating firm-level production functions using proxy variables to control for unobservables&quot;,&quot;author&quot;:[{&quot;family&quot;:&quot;Wooldridge&quot;,&quot;given&quot;:&quot;Jeffrey M&quot;,&quot;parse-names&quot;:false,&quot;dropping-particle&quot;:&quot;&quot;,&quot;non-dropping-particle&quot;:&quot;&quot;}],&quot;container-title&quot;:&quot;Economics letters&quot;,&quot;container-title-short&quot;:&quot;Econ. Lett.&quot;,&quot;issued&quot;:{&quot;date-parts&quot;:[[2009]]},&quot;page&quot;:&quot;112-114&quot;,&quot;publisher&quot;:&quot;Elsevier&quot;,&quot;issue&quot;:&quot;3&quot;,&quot;volume&quot;:&quot;104&quot;},&quot;isTemporary&quot;:false,&quot;suppress-author&quot;:false,&quot;composite&quot;:false,&quot;author-only&quot;:false}]},{&quot;citationID&quot;:&quot;MENDELEY_CITATION_0aa59c13-44b5-481c-a089-3f7a43da571f&quot;,&quot;properties&quot;:{&quot;noteIndex&quot;:0},&quot;isEdited&quot;:false,&quot;manualOverride&quot;:{&quot;isManuallyOverridden&quot;:true,&quot;citeprocText&quot;:&quot;(Harris, 2021)&quot;,&quot;manualOverrideText&quot;:&quot;Harris (2021)&quot;},&quot;citationItems&quot;:[{&quot;id&quot;:&quot;eace1aa4-f803-3349-a380-b289a66e433a&quot;,&quot;itemData&quot;:{&quot;type&quot;:&quot;article-journal&quot;,&quot;id&quot;:&quot;eace1aa4-f803-3349-a380-b289a66e433a&quot;,&quot;title&quot;:&quot;The importance of spatial differences in total factor productivity: New Zealand, 2001–16&quot;,&quot;author&quot;:[{&quot;family&quot;:&quot;Harris&quot;,&quot;given&quot;:&quot;Richard&quot;,&quot;parse-names&quot;:false,&quot;dropping-particle&quot;:&quot;&quot;,&quot;non-dropping-particle&quot;:&quot;&quot;}],&quot;container-title&quot;:&quot;Regional Studies&quot;,&quot;container-title-short&quot;:&quot;Reg. Stud.&quot;,&quot;issued&quot;:{&quot;date-parts&quot;:[[2021]]},&quot;page&quot;:&quot;1209-1227&quot;,&quot;publisher&quot;:&quot;Taylor &amp; Francis&quot;,&quot;issue&quot;:&quot;7&quot;,&quot;volume&quot;:&quot;55&quot;},&quot;isTemporary&quot;:false,&quot;suppress-author&quot;:false,&quot;composite&quot;:false,&quot;author-only&quot;:false}],&quot;citationTag&quot;:&quot;MENDELEY_CITATION_v3_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&quot;},{&quot;citationID&quot;:&quot;MENDELEY_CITATION_c259a1bf-49c7-4ab8-82e6-278be679c119&quot;,&quot;properties&quot;:{&quot;noteIndex&quot;:0},&quot;isEdited&quot;:false,&quot;manualOverride&quot;:{&quot;isManuallyOverridden&quot;:true,&quot;citeprocText&quot;:&quot;(Harris, 2021)&quot;,&quot;manualOverrideText&quot;:&quot;Harris (2021)&quot;},&quot;citationItems&quot;:[{&quot;id&quot;:&quot;eace1aa4-f803-3349-a380-b289a66e433a&quot;,&quot;itemData&quot;:{&quot;type&quot;:&quot;article-journal&quot;,&quot;id&quot;:&quot;eace1aa4-f803-3349-a380-b289a66e433a&quot;,&quot;title&quot;:&quot;The importance of spatial differences in total factor productivity: New Zealand, 2001–16&quot;,&quot;author&quot;:[{&quot;family&quot;:&quot;Harris&quot;,&quot;given&quot;:&quot;Richard&quot;,&quot;parse-names&quot;:false,&quot;dropping-particle&quot;:&quot;&quot;,&quot;non-dropping-particle&quot;:&quot;&quot;}],&quot;container-title&quot;:&quot;Regional Studies&quot;,&quot;container-title-short&quot;:&quot;Reg. Stud.&quot;,&quot;issued&quot;:{&quot;date-parts&quot;:[[2021]]},&quot;page&quot;:&quot;1209-1227&quot;,&quot;publisher&quot;:&quot;Taylor &amp; Francis&quot;,&quot;issue&quot;:&quot;7&quot;,&quot;volume&quot;:&quot;55&quot;},&quot;isTemporary&quot;:false,&quot;suppress-author&quot;:false,&quot;composite&quot;:false,&quot;author-only&quot;:false}],&quot;citationTag&quot;:&quot;MENDELEY_CITATION_v3_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&quot;},{&quot;citationID&quot;:&quot;MENDELEY_CITATION_807298d3-81a1-4430-8e40-4ec42cba1239&quot;,&quot;properties&quot;:{&quot;noteIndex&quot;:0},&quot;isEdited&quot;:false,&quot;manualOverride&quot;:{&quot;isManuallyOverridden&quot;:true,&quot;citeprocText&quot;:&quot;(Foster et al., 2001)&quot;,&quot;manualOverrideText&quot;:&quot;Foster et al. (2001)&quot;},&quot;citationTag&quot;:&quot;MENDELEY_CITATION_v3_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&quot;,&quot;citationItems&quot;:[{&quot;id&quot;:&quot;22132d4b-8ee1-356a-a291-a620e3512e9e&quot;,&quot;itemData&quot;:{&quot;type&quot;:&quot;chapter&quot;,&quot;id&quot;:&quot;22132d4b-8ee1-356a-a291-a620e3512e9e&quot;,&quot;title&quot;:&quot;Aggregate productivity growth: Lessons from microeconomic evidence&quot;,&quot;author&quot;:[{&quot;family&quot;:&quot;Foster&quot;,&quot;given&quot;:&quot;Lucia&quot;,&quot;parse-names&quot;:false,&quot;dropping-particle&quot;:&quot;&quot;,&quot;non-dropping-particle&quot;:&quot;&quot;},{&quot;family&quot;:&quot;Haltiwanger&quot;,&quot;given&quot;:&quot;John C&quot;,&quot;parse-names&quot;:false,&quot;dropping-particle&quot;:&quot;&quot;,&quot;non-dropping-particle&quot;:&quot;&quot;},{&quot;family&quot;:&quot;Krizan&quot;,&quot;given&quot;:&quot;Cornell John&quot;,&quot;parse-names&quot;:false,&quot;dropping-particle&quot;:&quot;&quot;,&quot;non-dropping-particle&quot;:&quot;&quot;}],&quot;container-title&quot;:&quot;New developments in productivity analysis&quot;,&quot;issued&quot;:{&quot;date-parts&quot;:[[2001]]},&quot;page&quot;:&quot;303-372&quot;,&quot;publisher&quot;:&quot;University of Chicago Press&quot;,&quot;container-title-short&quot;:&quot;&quot;},&quot;isTemporary&quot;:false,&quot;suppress-author&quot;:false,&quot;composite&quot;:false,&quot;author-only&quot;:false}]},{&quot;citationID&quot;:&quot;MENDELEY_CITATION_c8bdf083-52a4-4e13-81e8-338b36b23bd8&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YzhiZGYwODMtNTJhNC00ZTEzLTgxZTgtMzM4YjM2YjIzYmQ4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1160fdb1-7304-448a-8fc3-cf4b0c458091&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MTE2MGZkYjEtNzMwNC00NDhhLThmYzMtY2Y0YjBjNDU4MDk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802f6063-e832-42d7-bdf0-a5b9af63a501&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ODAyZjYwNjMtZTgzMi00MmQ3LWJkZjAtYTViOWFmNjNhNTA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a47765f4-e4a6-4591-9ac1-5b7e202bebcf&quot;,&quot;properties&quot;:{&quot;noteIndex&quot;:0},&quot;isEdited&quot;:false,&quot;manualOverride&quot;:{&quot;isManuallyOverridden&quot;:true,&quot;citeprocText&quot;:&quot;(Haltiwanger, 1997)&quot;,&quot;manualOverrideText&quot;:&quot;Haltiwanger (1997)&quot;},&quot;citationItems&quot;:[{&quot;id&quot;:&quot;39a858b5-d373-3094-b574-7f2cbe7da27b&quot;,&quot;itemData&quot;:{&quot;type&quot;:&quot;article-journal&quot;,&quot;id&quot;:&quot;39a858b5-d373-3094-b574-7f2cbe7da27b&quot;,&quot;title&quot;:&quot;Measuring and Analysing Aggregate Fluctuations: The Importance of Building from Microeconomic Evidence”, Federal Reserve Bank of St. Louis Economic Review, January/February&quot;,&quot;author&quot;:[{&quot;family&quot;:&quot;Haltiwanger&quot;,&quot;given&quot;:&quot;J&quot;,&quot;parse-names&quot;:false,&quot;dropping-particle&quot;:&quot;&quot;,&quot;non-dropping-particle&quot;:&quot;&quot;}],&quot;URL&quot;:&quot;https://files.stlouisfed.org/files/htdocs/publications/review/97/05/9705jh.pdf&quot;,&quot;issued&quot;:{&quot;date-parts&quot;:[[1997]]},&quot;container-title-short&quot;:&quot;&quot;},&quot;isTemporary&quot;:false,&quot;suppress-author&quot;:false,&quot;composite&quot;:false,&quot;author-only&quot;:false}],&quot;citationTag&quot;:&quot;MENDELEY_CITATION_v3_eyJjaXRhdGlvbklEIjoiTUVOREVMRVlfQ0lUQVRJT05fYTQ3NzY1ZjQtZTRhNi00NTkxLTlhYzEtNWI3ZTIwMmJlYmNm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quot;},{&quot;citationID&quot;:&quot;MENDELEY_CITATION_a2f49706-1ad5-4961-8daf-ad3c8c03afce&quot;,&quot;properties&quot;:{&quot;noteIndex&quot;:0},&quot;isEdited&quot;:false,&quot;manualOverride&quot;:{&quot;isManuallyOverridden&quot;:true,&quot;citeprocText&quot;:&quot;(Melitz &amp;#38; Polanec, 2015)&quot;,&quot;manualOverrideText&quot;:&quot;Melitz &amp; Polanec (2015)&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Tag&quot;:&quot;MENDELEY_CITATION_v3_eyJjaXRhdGlvbklEIjoiTUVOREVMRVlfQ0lUQVRJT05fYTJmNDk3MDYtMWFkNS00OTYxLThkYWYtYWQzYzhjMDNhZmNl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D&quot;:&quot;MENDELEY_CITATION_7338440c-ecc5-4fb6-8409-379bac35491d&quot;,&quot;properties&quot;:{&quot;noteIndex&quot;:0},&quot;isEdited&quot;:false,&quot;manualOverride&quot;:{&quot;isManuallyOverridden&quot;:true,&quot;citeprocText&quot;:&quot;(Foster et al., 2001)&quot;,&quot;manualOverrideText&quot;:&quot;Foster et al. (2001)&quot;},&quot;citationItems&quot;:[{&quot;id&quot;:&quot;22132d4b-8ee1-356a-a291-a620e3512e9e&quot;,&quot;itemData&quot;:{&quot;type&quot;:&quot;chapter&quot;,&quot;id&quot;:&quot;22132d4b-8ee1-356a-a291-a620e3512e9e&quot;,&quot;title&quot;:&quot;Aggregate productivity growth: Lessons from microeconomic evidence&quot;,&quot;author&quot;:[{&quot;family&quot;:&quot;Foster&quot;,&quot;given&quot;:&quot;Lucia&quot;,&quot;parse-names&quot;:false,&quot;dropping-particle&quot;:&quot;&quot;,&quot;non-dropping-particle&quot;:&quot;&quot;},{&quot;family&quot;:&quot;Haltiwanger&quot;,&quot;given&quot;:&quot;John C&quot;,&quot;parse-names&quot;:false,&quot;dropping-particle&quot;:&quot;&quot;,&quot;non-dropping-particle&quot;:&quot;&quot;},{&quot;family&quot;:&quot;Krizan&quot;,&quot;given&quot;:&quot;Cornell John&quot;,&quot;parse-names&quot;:false,&quot;dropping-particle&quot;:&quot;&quot;,&quot;non-dropping-particle&quot;:&quot;&quot;}],&quot;container-title&quot;:&quot;New developments in productivity analysis&quot;,&quot;issued&quot;:{&quot;date-parts&quot;:[[2001]]},&quot;page&quot;:&quot;303-372&quot;,&quot;publisher&quot;:&quot;University of Chicago Press&quot;,&quot;container-title-short&quot;:&quot;&quot;},&quot;isTemporary&quot;:false,&quot;suppress-author&quot;:false,&quot;composite&quot;:false,&quot;author-only&quot;:false}],&quot;citationTag&quot;:&quot;MENDELEY_CITATION_v3_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&quot;},{&quot;citationID&quot;:&quot;MENDELEY_CITATION_3ec9b294-0bd5-432d-9739-200c52ba6fa5&quot;,&quot;properties&quot;:{&quot;noteIndex&quot;:0},&quot;isEdited&quot;:false,&quot;manualOverride&quot;:{&quot;isManuallyOverridden&quot;:true,&quot;citeprocText&quot;:&quot;(Foster et al., 2001)&quot;,&quot;manualOverrideText&quot;:&quot;Foster et al. (2001)&quot;},&quot;citationItems&quot;:[{&quot;id&quot;:&quot;22132d4b-8ee1-356a-a291-a620e3512e9e&quot;,&quot;itemData&quot;:{&quot;type&quot;:&quot;chapter&quot;,&quot;id&quot;:&quot;22132d4b-8ee1-356a-a291-a620e3512e9e&quot;,&quot;title&quot;:&quot;Aggregate productivity growth: Lessons from microeconomic evidence&quot;,&quot;author&quot;:[{&quot;family&quot;:&quot;Foster&quot;,&quot;given&quot;:&quot;Lucia&quot;,&quot;parse-names&quot;:false,&quot;dropping-particle&quot;:&quot;&quot;,&quot;non-dropping-particle&quot;:&quot;&quot;},{&quot;family&quot;:&quot;Haltiwanger&quot;,&quot;given&quot;:&quot;John C&quot;,&quot;parse-names&quot;:false,&quot;dropping-particle&quot;:&quot;&quot;,&quot;non-dropping-particle&quot;:&quot;&quot;},{&quot;family&quot;:&quot;Krizan&quot;,&quot;given&quot;:&quot;Cornell John&quot;,&quot;parse-names&quot;:false,&quot;dropping-particle&quot;:&quot;&quot;,&quot;non-dropping-particle&quot;:&quot;&quot;}],&quot;container-title&quot;:&quot;New developments in productivity analysis&quot;,&quot;issued&quot;:{&quot;date-parts&quot;:[[2001]]},&quot;page&quot;:&quot;303-372&quot;,&quot;publisher&quot;:&quot;University of Chicago Press&quot;,&quot;container-title-short&quot;:&quot;&quot;},&quot;isTemporary&quot;:false,&quot;suppress-author&quot;:false,&quot;composite&quot;:false,&quot;author-only&quot;:false}],&quot;citationTag&quot;:&quot;MENDELEY_CITATION_v3_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&quot;},{&quot;citationID&quot;:&quot;MENDELEY_CITATION_fb453b09-e8a4-419f-8c83-aa92cee74129&quot;,&quot;properties&quot;:{&quot;noteIndex&quot;:0},&quot;isEdited&quot;:false,&quot;manualOverride&quot;:{&quot;isManuallyOverridden&quot;:false,&quot;citeprocText&quot;:&quot;(Kydland &amp;#38; Prescott, 1982)&quot;,&quot;manualOverrideText&quot;:&quot;&quot;},&quot;citationTag&quot;:&quot;MENDELEY_CITATION_v3_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&quot;,&quot;citationItems&quot;:[{&quot;id&quot;:&quot;a397c48e-3896-367c-b40b-10e555a57bb7&quot;,&quot;itemData&quot;:{&quot;type&quot;:&quot;article-journal&quot;,&quot;id&quot;:&quot;a397c48e-3896-367c-b40b-10e555a57bb7&quot;,&quot;title&quot;:&quot;Time to build and aggregate fluctuations&quot;,&quot;author&quot;:[{&quot;family&quot;:&quot;Kydland&quot;,&quot;given&quot;:&quot;Finn E&quot;,&quot;parse-names&quot;:false,&quot;dropping-particle&quot;:&quot;&quot;,&quot;non-dropping-particle&quot;:&quot;&quot;},{&quot;family&quot;:&quot;Prescott&quot;,&quot;given&quot;:&quot;Edward C&quot;,&quot;parse-names&quot;:false,&quot;dropping-particle&quot;:&quot;&quot;,&quot;non-dropping-particle&quot;:&quot;&quot;}],&quot;container-title&quot;:&quot;Econometrica: Journal of the Econometric Society&quot;,&quot;container-title-short&quot;:&quot;Econometrica&quot;,&quot;issued&quot;:{&quot;date-parts&quot;:[[1982]]},&quot;page&quot;:&quot;1345-1370&quot;,&quot;publisher&quot;:&quot;JSTOR&quot;},&quot;isTemporary&quot;:false,&quot;suppress-author&quot;:false,&quot;composite&quot;:false,&quot;author-only&quot;:false}]},{&quot;citationID&quot;:&quot;MENDELEY_CITATION_8e6a5783-43bf-489b-8eea-67a2be0f737c&quot;,&quot;properties&quot;:{&quot;noteIndex&quot;:0},&quot;isEdited&quot;:false,&quot;manualOverride&quot;:{&quot;isManuallyOverridden&quot;:true,&quot;citeprocText&quot;:&quot;(Levy Algazi, 2018)&quot;,&quot;manualOverrideText&quot;:&quot;Levy Algazi (2018)&quot;},&quot;citationTag&quot;:&quot;MENDELEY_CITATION_v3_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&quot;,&quot;citationItems&quot;:[{&quot;id&quot;:&quot;22c6b0d8-e4d3-3815-8785-be9c1f8ee6ec&quot;,&quot;itemData&quot;:{&quot;type&quot;:&quot;book&quot;,&quot;id&quot;:&quot;22c6b0d8-e4d3-3815-8785-be9c1f8ee6ec&quot;,&quot;title&quot;:&quot;Under-rewarded efforts: The elusive quest for prosperity in Mexico&quot;,&quot;author&quot;:[{&quot;family&quot;:&quot;Levy Algazi&quot;,&quot;given&quot;:&quot;Santiago&quot;,&quot;parse-names&quot;:false,&quot;dropping-particle&quot;:&quot;&quot;,&quot;non-dropping-particle&quot;:&quot;&quot;}],&quot;accessed&quot;:{&quot;date-parts&quot;:[[2025,12,19]]},&quot;URL&quot;:&quot;https://doi.org/10.18235/0001189&quot;,&quot;issued&quot;:{&quot;date-parts&quot;:[[2018]]},&quot;publisher&quot;:&quot;Inter-American Development Bank&quot;,&quot;container-title-short&quot;:&quot;&quot;},&quot;isTemporary&quot;:false,&quot;suppress-author&quot;:false,&quot;composite&quot;:false,&quot;author-only&quot;:false}]},{&quot;citationID&quot;:&quot;MENDELEY_CITATION_aa8f47c9-6001-49f9-9ba2-62b74cf015b8&quot;,&quot;properties&quot;:{&quot;noteIndex&quot;:0},&quot;isEdited&quot;:false,&quot;manualOverride&quot;:{&quot;isManuallyOverridden&quot;:false,&quot;citeprocText&quot;:&quot;(Ros-Bosch, 2019)&quot;,&quot;manualOverrideText&quot;:&quot;&quot;},&quot;citationTag&quot;:&quot;MENDELEY_CITATION_v3_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&quot;,&quot;citationItems&quot;:[{&quot;id&quot;:&quot;fdbebd4f-f56e-3cf8-998d-e5070986fd6c&quot;,&quot;itemData&quot;:{&quot;type&quot;:&quot;article-journal&quot;,&quot;id&quot;:&quot;fdbebd4f-f56e-3cf8-998d-e5070986fd6c&quot;,&quot;title&quot;:&quot;Dinámica empresarial disfuncional y productividad estancada: una reseña del nuevo libro de Santiago Levy&quot;,&quot;author&quot;:[{&quot;family&quot;:&quot;Ros-Bosch&quot;,&quot;given&quot;:&quot;Jaime&quot;,&quot;parse-names&quot;:false,&quot;dropping-particle&quot;:&quot;&quot;,&quot;non-dropping-particle&quot;:&quot;&quot;}],&quot;container-title&quot;:&quot;Econom\\'\\ia UNAM&quot;,&quot;issued&quot;:{&quot;date-parts&quot;:[[2019]]},&quot;page&quot;:&quot;270-283&quot;,&quot;publisher&quot;:&quot;Universidad Nacional Autónoma de México, Instituto de Investigaciones Económicas&quot;,&quot;issue&quot;:&quot;46&quot;,&quot;volume&quot;:&quot;16&quot;,&quot;container-title-short&quot;:&quot;&quot;},&quot;isTemporary&quot;:false,&quot;suppress-author&quot;:false,&quot;composite&quot;:false,&quot;author-only&quot;:false}]},{&quot;citationID&quot;:&quot;MENDELEY_CITATION_2fc8b8ce-5aa9-4a54-addb-bdd0fbd4815b&quot;,&quot;properties&quot;:{&quot;noteIndex&quot;:0},&quot;isEdited&quot;:false,&quot;manualOverride&quot;:{&quot;isManuallyOverridden&quot;:true,&quot;citeprocText&quot;:&quot;(Haltiwanger, 1997)&quot;,&quot;manualOverrideText&quot;:&quot;Haltiwanger (1997)&quot;},&quot;citationItems&quot;:[{&quot;id&quot;:&quot;39a858b5-d373-3094-b574-7f2cbe7da27b&quot;,&quot;itemData&quot;:{&quot;type&quot;:&quot;article-journal&quot;,&quot;id&quot;:&quot;39a858b5-d373-3094-b574-7f2cbe7da27b&quot;,&quot;title&quot;:&quot;Measuring and Analysing Aggregate Fluctuations: The Importance of Building from Microeconomic Evidence”, Federal Reserve Bank of St. Louis Economic Review, January/February&quot;,&quot;author&quot;:[{&quot;family&quot;:&quot;Haltiwanger&quot;,&quot;given&quot;:&quot;J&quot;,&quot;parse-names&quot;:false,&quot;dropping-particle&quot;:&quot;&quot;,&quot;non-dropping-particle&quot;:&quot;&quot;}],&quot;URL&quot;:&quot;https://files.stlouisfed.org/files/htdocs/publications/review/97/05/9705jh.pdf&quot;,&quot;issued&quot;:{&quot;date-parts&quot;:[[1997]]},&quot;container-title-short&quot;:&quot;&quot;},&quot;isTemporary&quot;:false,&quot;suppress-author&quot;:false,&quot;composite&quot;:false,&quot;author-only&quot;:false}],&quot;citationTag&quot;:&quot;MENDELEY_CITATION_v3_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&quot;},{&quot;citationID&quot;:&quot;MENDELEY_CITATION_d5245060-449d-41bd-83c9-16eb374cba0b&quot;,&quot;properties&quot;:{&quot;noteIndex&quot;:0},&quot;isEdited&quot;:false,&quot;manualOverride&quot;:{&quot;isManuallyOverridden&quot;:true,&quot;citeprocText&quot;:&quot;(Melitz &amp;#38; Polanec, 2015)&quot;,&quot;manualOverrideText&quot;:&quot;Melitz &amp; Polanec (2015)&quot;},&quot;citationItems&quot;:[{&quot;id&quot;:&quot;7353fb7f-b388-3868-882e-02376d681ff7&quot;,&quot;itemData&quot;:{&quot;type&quot;:&quot;article-journal&quot;,&quot;id&quot;:&quot;7353fb7f-b388-3868-882e-02376d681ff7&quot;,&quot;title&quot;:&quot;Dynamic Olley-Pakes productivity decomposition with entry and exit&quot;,&quot;author&quot;:[{&quot;family&quot;:&quot;Melitz&quot;,&quot;given&quot;:&quot;Marc J&quot;,&quot;parse-names&quot;:false,&quot;dropping-particle&quot;:&quot;&quot;,&quot;non-dropping-particle&quot;:&quot;&quot;},{&quot;family&quot;:&quot;Polanec&quot;,&quot;given&quot;:&quot;Sašo&quot;,&quot;parse-names&quot;:false,&quot;dropping-particle&quot;:&quot;&quot;,&quot;non-dropping-particle&quot;:&quot;&quot;}],&quot;container-title&quot;:&quot;The Rand journal of economics&quot;,&quot;container-title-short&quot;:&quot;Rand J. Econ.&quot;,&quot;issued&quot;:{&quot;date-parts&quot;:[[2015]]},&quot;page&quot;:&quot;362-375&quot;,&quot;publisher&quot;:&quot;Wiley Online Library&quot;,&quot;issue&quot;:&quot;2&quot;,&quot;volume&quot;:&quot;46&quot;},&quot;isTemporary&quot;:false,&quot;suppress-author&quot;:false,&quot;composite&quot;:false,&quot;author-only&quot;:false}],&quot;citationTag&quot;:&quot;MENDELEY_CITATION_v3_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&quot;},{&quot;citationID&quot;:&quot;MENDELEY_CITATION_b10949d8-e312-4852-817b-84d7e3489ab5&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YjEwOTQ5ZDgtZTMxMi00ODUyLTgxN2ItODRkN2UzNDg5YWI1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a08fd76c-d9df-46c1-90cf-41d20141af4b&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YTA4ZmQ3NmMtZDlkZi00NmMxLTkwY2YtNDFkMjAxNDFhZjRi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3da3a853-6ee8-453c-80a9-8c4777fcdf31&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M2RhM2E4NTMtNmVlOC00NTNjLTgwYTktOGM0Nzc3ZmNkZjM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470587fc-ab72-4d34-b6e4-ce7ccc3a7f5e&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NDcwNTg3ZmMtYWI3Mi00ZDM0LWI2ZTQtY2U3Y2NjM2E3ZjVl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3b04cc03-5584-4f09-990a-6180994ae85f&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M2IwNGNjMDMtNTU4NC00ZjA5LTk5MGEtNjE4MDk5NGFlODVm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11f79c5f-eb0a-42c7-bbb9-09e367b06281&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MTFmNzljNWYtZWIwYS00MmM3LWJiYjktMDllMzY3YjA2Mjg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73ac99cb-f97e-4056-ae63-5c5f945b3852&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NzNhYzk5Y2ItZjk3ZS00MDU2LWFlNjMtNWM1Zjk0NWIzODUy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f2cda332-aea6-4843-9686-ef68e79b98fb&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ZjJjZGEzMzItYWVhNi00ODQzLTk2ODYtZWY2OGU3OWI5OGZi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cd8e8953-4628-4b51-a457-cb0ce0dfef46&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Y2Q4ZTg5NTMtNDYyOC00YjUxLWE0NTctY2IwY2UwZGZlZjQ2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a9387480-3637-4578-9ab3-34700ebb7da1&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YTkzODc0ODAtMzYzNy00NTc4LTlhYjMtMzQ3MDBlYmI3ZGEx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e1763c39-b091-4fa7-a95d-cd62f9352b72&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ZTE3NjNjMzktYjA5MS00ZmE3LWE5NWQtY2Q2MmY5MzUyYjcy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d0b26a33-afa7-4fc0-8716-715200b55374&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ZDBiMjZhMzMtYWZhNy00ZmMwLTg3MTYtNzE1MjAwYjU1Mzc0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e5990c83-0e54-4bbd-a075-9c3238b06e6c&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ZTU5OTBjODMtMGU1NC00YmJkLWEwNzUtOWMzMjM4YjA2ZTZj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52d2cb42-b799-4b0f-a087-3b5b119758bf&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NTJkMmNiNDItYjc5OS00YjBmLWEwODctM2I1YjExOTc1OGJm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a7718768-935f-40dc-ae0e-13498810c9b2&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YTc3MTg3NjgtOTM1Zi00MGRjLWFlMGUtMTM0OTg4MTBjOWIy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quot;citationID&quot;:&quot;MENDELEY_CITATION_293e8fe7-2a41-40f3-b5c1-37c9bc476a78&quot;,&quot;properties&quot;:{&quot;noteIndex&quot;:0},&quot;isEdited&quot;:false,&quot;manualOverride&quot;:{&quot;isManuallyOverridden&quot;:true,&quot;citeprocText&quot;:&quot;(Dosi et al., 2021)&quot;,&quot;manualOverrideText&quot;:&quot;Dosi et al. (2021)&quot;},&quot;citationItems&quot;:[{&quot;id&quot;:&quot;91638e74-c67a-30a0-8312-449c3e7b53e3&quot;,&quot;itemData&quot;:{&quot;type&quot;:&quot;article-journal&quot;,&quot;id&quot;:&quot;91638e74-c67a-30a0-8312-449c3e7b53e3&quot;,&quot;title&quot;:&quot;Productivity Decomposition in Heterogeneous Industries&quot;,&quot;author&quot;:[{&quot;family&quot;:&quot;Dosi&quot;,&quot;given&quot;:&quot;Giovanni&quot;,&quot;parse-names&quot;:false,&quot;dropping-particle&quot;:&quot;&quot;,&quot;non-dropping-particle&quot;:&quot;&quot;},{&quot;family&quot;:&quot;Grazzi&quot;,&quot;given&quot;:&quot;Marco&quot;,&quot;parse-names&quot;:false,&quot;dropping-particle&quot;:&quot;&quot;,&quot;non-dropping-particle&quot;:&quot;&quot;},{&quot;family&quot;:&quot;Li&quot;,&quot;given&quot;:&quot;Le&quot;,&quot;parse-names&quot;:false,&quot;dropping-particle&quot;:&quot;&quot;,&quot;non-dropping-particle&quot;:&quot;&quot;},{&quot;family&quot;:&quot;Marengo&quot;,&quot;given&quot;:&quot;Luigi&quot;,&quot;parse-names&quot;:false,&quot;dropping-particle&quot;:&quot;&quot;,&quot;non-dropping-particle&quot;:&quot;&quot;},{&quot;family&quot;:&quot;Settepanella&quot;,&quot;given&quot;:&quot;Simona&quot;,&quot;parse-names&quot;:false,&quot;dropping-particle&quot;:&quot;&quot;,&quot;non-dropping-particle&quot;:&quot;&quot;}],&quot;container-title&quot;:&quot;Journal of Industrial Economics&quot;,&quot;DOI&quot;:&quot;10.1111/joie.12252&quot;,&quot;ISSN&quot;:&quot;14676451&quot;,&quot;issued&quot;:{&quot;date-parts&quot;:[[2021,9,1]]},&quot;page&quot;:&quot;615-652&quot;,&quot;abstract&quot;:&quot;We propose a novel methodology for computing variations of aggregate productivity and its decomposition into changes of individual firms’ productivities and of industry composition. Industry productivity should be measured in principle on industry total inputs and outputs but it is believed that this measure does not allow for such decomposition. Thus, weighted averages of individual productivities are used which introduce serious biases especially when industries are heterogeneous. We propose a geometric approach where aggregate productivity can be measured directly on industry data, but nevertheless its variations can be decomposed into between and within effects plus a heterogeneity effect.&quot;,&quot;publisher&quot;:&quot;John Wiley and Sons Inc&quot;,&quot;issue&quot;:&quot;3&quot;,&quot;volume&quot;:&quot;69&quot;,&quot;container-title-short&quot;:&quot;&quot;},&quot;isTemporary&quot;:false,&quot;suppress-author&quot;:false,&quot;composite&quot;:false,&quot;author-only&quot;:false}],&quot;citationTag&quot;:&quot;MENDELEY_CITATION_v3_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&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8730D-3622-4975-916F-A567301A7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9950</TotalTime>
  <Pages>16</Pages>
  <Words>7585</Words>
  <Characters>42958</Characters>
  <Application>Microsoft Office Word</Application>
  <DocSecurity>0</DocSecurity>
  <Lines>947</Lines>
  <Paragraphs>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Ramírez Guerra</dc:creator>
  <cp:keywords/>
  <dc:description/>
  <cp:lastModifiedBy>Alejandro Ramírez Guerra</cp:lastModifiedBy>
  <cp:revision>1459</cp:revision>
  <dcterms:created xsi:type="dcterms:W3CDTF">2025-06-20T17:13:00Z</dcterms:created>
  <dcterms:modified xsi:type="dcterms:W3CDTF">2026-09-20T13:09:00Z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f86f3d9c-af83-445a-824b-c6b50dbaf846</vt:lpwstr>
  </property>
</Properties>
</file>