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927AD" w14:textId="77777777" w:rsidR="006116D1" w:rsidRDefault="006116D1" w:rsidP="00FF3503">
      <w:pPr>
        <w:spacing w:before="100" w:beforeAutospacing="1" w:after="100" w:afterAutospacing="1"/>
        <w:jc w:val="center"/>
        <w:rPr>
          <w:b/>
          <w:i/>
          <w:sz w:val="28"/>
          <w:szCs w:val="28"/>
          <w:lang w:eastAsia="zh-CN"/>
        </w:rPr>
      </w:pPr>
      <w:r>
        <w:rPr>
          <w:b/>
          <w:i/>
          <w:sz w:val="28"/>
          <w:szCs w:val="28"/>
          <w:lang w:eastAsia="zh-CN"/>
        </w:rPr>
        <w:t>Earth Science Informatics</w:t>
      </w:r>
    </w:p>
    <w:p w14:paraId="2CB29489" w14:textId="03BF9163" w:rsidR="00FF3503" w:rsidRPr="009C6760" w:rsidRDefault="00E56612" w:rsidP="00FF3503">
      <w:pPr>
        <w:spacing w:before="100" w:beforeAutospacing="1" w:after="100" w:afterAutospacing="1"/>
        <w:jc w:val="center"/>
        <w:rPr>
          <w:sz w:val="28"/>
          <w:szCs w:val="28"/>
        </w:rPr>
      </w:pPr>
      <w:bookmarkStart w:id="0" w:name="_GoBack"/>
      <w:bookmarkEnd w:id="0"/>
      <w:r>
        <w:rPr>
          <w:sz w:val="28"/>
          <w:szCs w:val="28"/>
        </w:rPr>
        <w:t>Supplementary Material for</w:t>
      </w:r>
    </w:p>
    <w:p w14:paraId="16FCBD49" w14:textId="64FDA221" w:rsidR="00221DA3" w:rsidRDefault="00221DA3" w:rsidP="009328BA">
      <w:pPr>
        <w:spacing w:before="100" w:beforeAutospacing="1" w:after="100" w:afterAutospacing="1"/>
        <w:jc w:val="center"/>
        <w:rPr>
          <w:sz w:val="22"/>
          <w:szCs w:val="22"/>
        </w:rPr>
      </w:pPr>
      <w:r>
        <w:rPr>
          <w:b/>
          <w:sz w:val="28"/>
          <w:szCs w:val="28"/>
        </w:rPr>
        <w:t>Cross-Scale Micro-CT Super-Resolution for Digital Rock Reconstruction in Heterogeneous Conglomerate Reservoirs</w:t>
      </w:r>
    </w:p>
    <w:p w14:paraId="7141B6C2" w14:textId="77777777" w:rsidR="009328BA" w:rsidRPr="009328BA" w:rsidRDefault="009328BA" w:rsidP="009328BA">
      <w:pPr>
        <w:spacing w:before="100" w:beforeAutospacing="1" w:after="100" w:afterAutospacing="1"/>
        <w:jc w:val="center"/>
        <w:rPr>
          <w:sz w:val="22"/>
          <w:szCs w:val="22"/>
        </w:rPr>
      </w:pPr>
    </w:p>
    <w:p w14:paraId="1CD128B3" w14:textId="77777777" w:rsidR="00111843" w:rsidRPr="009C6760" w:rsidRDefault="00111843" w:rsidP="00111843">
      <w:pPr>
        <w:rPr>
          <w:b/>
          <w:szCs w:val="24"/>
        </w:rPr>
      </w:pPr>
      <w:r>
        <w:rPr>
          <w:b/>
          <w:szCs w:val="24"/>
        </w:rPr>
        <w:t xml:space="preserve">Contents of this file </w:t>
      </w:r>
    </w:p>
    <w:p w14:paraId="1F13291B" w14:textId="77777777" w:rsidR="00E43D2D" w:rsidRPr="009C6760" w:rsidRDefault="00E43D2D" w:rsidP="00111843">
      <w:pPr>
        <w:rPr>
          <w:szCs w:val="24"/>
        </w:rPr>
      </w:pPr>
    </w:p>
    <w:p w14:paraId="10640459" w14:textId="3C57B599" w:rsidR="00111843" w:rsidRPr="009C6760" w:rsidRDefault="00263FF1" w:rsidP="00111843">
      <w:pPr>
        <w:ind w:left="720"/>
        <w:rPr>
          <w:szCs w:val="24"/>
        </w:rPr>
      </w:pPr>
      <w:r>
        <w:rPr>
          <w:szCs w:val="24"/>
        </w:rPr>
        <w:t>Figures S1 to S11</w:t>
      </w:r>
    </w:p>
    <w:p w14:paraId="795CD27E" w14:textId="74A59793" w:rsidR="00111843" w:rsidRPr="009C6760" w:rsidRDefault="00263FF1" w:rsidP="008A0847">
      <w:pPr>
        <w:ind w:left="720"/>
        <w:rPr>
          <w:szCs w:val="24"/>
        </w:rPr>
      </w:pPr>
      <w:r>
        <w:rPr>
          <w:szCs w:val="24"/>
        </w:rPr>
        <w:t xml:space="preserve">Tables S1 to S2 </w:t>
      </w:r>
    </w:p>
    <w:p w14:paraId="7A3EFD80" w14:textId="77777777" w:rsidR="00E56612" w:rsidRPr="009C6760" w:rsidRDefault="00E56612" w:rsidP="00FF3503">
      <w:pPr>
        <w:spacing w:before="100" w:beforeAutospacing="1" w:after="100" w:afterAutospacing="1"/>
        <w:rPr>
          <w:b/>
          <w:bCs/>
          <w:szCs w:val="24"/>
        </w:rPr>
      </w:pPr>
    </w:p>
    <w:p w14:paraId="79042C92" w14:textId="77777777" w:rsidR="00FF3503" w:rsidRPr="005F7881" w:rsidRDefault="00FF3503" w:rsidP="00FF3503">
      <w:pPr>
        <w:spacing w:before="100" w:beforeAutospacing="1" w:after="100" w:afterAutospacing="1"/>
        <w:rPr>
          <w:b/>
          <w:szCs w:val="24"/>
        </w:rPr>
      </w:pPr>
      <w:r>
        <w:rPr>
          <w:b/>
          <w:bCs/>
          <w:szCs w:val="24"/>
        </w:rPr>
        <w:t>Introduction</w:t>
      </w:r>
      <w:r>
        <w:rPr>
          <w:b/>
          <w:szCs w:val="24"/>
        </w:rPr>
        <w:t xml:space="preserve"> </w:t>
      </w:r>
    </w:p>
    <w:p w14:paraId="0ECFE603" w14:textId="5128B374" w:rsidR="005F7881" w:rsidRPr="005F7881" w:rsidRDefault="005F7881" w:rsidP="005F7881">
      <w:pPr>
        <w:numPr>
          <w:ilvl w:val="0"/>
          <w:numId w:val="11"/>
        </w:numPr>
        <w:spacing w:before="100" w:beforeAutospacing="1" w:after="100" w:afterAutospacing="1"/>
        <w:rPr>
          <w:szCs w:val="24"/>
        </w:rPr>
      </w:pPr>
      <w:r>
        <w:rPr>
          <w:szCs w:val="24"/>
        </w:rPr>
        <w:t>Section S1: Dataset Preprocessing and REV Analysis</w:t>
      </w:r>
    </w:p>
    <w:p w14:paraId="58B7B131" w14:textId="399CD874" w:rsidR="005F7881" w:rsidRPr="005F7881" w:rsidRDefault="005F7881" w:rsidP="005F7881">
      <w:pPr>
        <w:numPr>
          <w:ilvl w:val="0"/>
          <w:numId w:val="11"/>
        </w:numPr>
        <w:spacing w:before="100" w:beforeAutospacing="1" w:after="100" w:afterAutospacing="1"/>
        <w:rPr>
          <w:szCs w:val="24"/>
        </w:rPr>
      </w:pPr>
      <w:r>
        <w:rPr>
          <w:szCs w:val="24"/>
        </w:rPr>
        <w:t xml:space="preserve">Section S2: Additional Qualitative Comparisons </w:t>
      </w:r>
    </w:p>
    <w:p w14:paraId="1A15962C" w14:textId="404F3479" w:rsidR="005F7881" w:rsidRPr="005F7881" w:rsidRDefault="005F7881" w:rsidP="005F7881">
      <w:pPr>
        <w:numPr>
          <w:ilvl w:val="0"/>
          <w:numId w:val="11"/>
        </w:numPr>
        <w:spacing w:before="100" w:beforeAutospacing="1" w:after="100" w:afterAutospacing="1"/>
        <w:rPr>
          <w:szCs w:val="24"/>
        </w:rPr>
      </w:pPr>
      <w:r>
        <w:rPr>
          <w:szCs w:val="24"/>
        </w:rPr>
        <w:t xml:space="preserve">Section S3: Segmentation and Physical Accuracy Assessment </w:t>
      </w:r>
    </w:p>
    <w:p w14:paraId="492EC2A4" w14:textId="21EDF14F" w:rsidR="005F7881" w:rsidRPr="005F7881" w:rsidRDefault="005F7881" w:rsidP="005F7881">
      <w:pPr>
        <w:numPr>
          <w:ilvl w:val="0"/>
          <w:numId w:val="11"/>
        </w:numPr>
        <w:spacing w:before="100" w:beforeAutospacing="1" w:after="100" w:afterAutospacing="1"/>
        <w:rPr>
          <w:szCs w:val="24"/>
        </w:rPr>
      </w:pPr>
      <w:r>
        <w:rPr>
          <w:szCs w:val="24"/>
        </w:rPr>
        <w:t>Section S4: Generalization and Transfer Learning Details</w:t>
      </w:r>
    </w:p>
    <w:p w14:paraId="219875C5" w14:textId="77777777" w:rsidR="005F7881" w:rsidRPr="0013146B" w:rsidRDefault="005F7881" w:rsidP="005F7881">
      <w:pPr>
        <w:spacing w:before="100" w:beforeAutospacing="1" w:after="100" w:afterAutospacing="1"/>
        <w:ind w:left="720"/>
        <w:rPr>
          <w:szCs w:val="24"/>
          <w:highlight w:val="yellow"/>
        </w:rPr>
      </w:pPr>
    </w:p>
    <w:p w14:paraId="6FEFC846" w14:textId="217956C3" w:rsidR="008A0847" w:rsidRDefault="005B725D" w:rsidP="005B725D">
      <w:pPr>
        <w:pStyle w:val="SMText"/>
        <w:rPr>
          <w:szCs w:val="24"/>
        </w:rPr>
      </w:pPr>
      <w:r>
        <w:rPr>
          <w:szCs w:val="24"/>
        </w:rPr>
        <w:br w:type="page"/>
      </w:r>
    </w:p>
    <w:p w14:paraId="407A329D" w14:textId="4B799DB4" w:rsidR="005F7881" w:rsidRPr="003C1F43" w:rsidRDefault="005F7881" w:rsidP="005F7881">
      <w:pPr>
        <w:pStyle w:val="SMText"/>
        <w:ind w:firstLine="0"/>
        <w:rPr>
          <w:b/>
          <w:szCs w:val="24"/>
        </w:rPr>
      </w:pPr>
      <w:r>
        <w:rPr>
          <w:b/>
          <w:szCs w:val="24"/>
        </w:rPr>
        <w:lastRenderedPageBreak/>
        <w:t>Section S1: Dataset Preprocessing and REV Analysis</w:t>
      </w:r>
    </w:p>
    <w:p w14:paraId="4AEFC1D8" w14:textId="15D8B70A" w:rsidR="008E671C" w:rsidRDefault="003C1F43" w:rsidP="003C1F43">
      <w:pPr>
        <w:pStyle w:val="SMText"/>
        <w:ind w:firstLine="0"/>
        <w:jc w:val="center"/>
        <w:rPr>
          <w:b/>
          <w:sz w:val="28"/>
          <w:szCs w:val="24"/>
        </w:rPr>
      </w:pPr>
      <w:r>
        <w:rPr>
          <w:noProof/>
        </w:rPr>
        <w:drawing>
          <wp:inline distT="0" distB="0" distL="0" distR="0" wp14:anchorId="6068201E" wp14:editId="311244F7">
            <wp:extent cx="4661633" cy="3372181"/>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a:stretch/>
                  </pic:blipFill>
                  <pic:spPr bwMode="auto">
                    <a:xfrm>
                      <a:off x="0" y="0"/>
                      <a:ext cx="4682914" cy="3387576"/>
                    </a:xfrm>
                    <a:prstGeom prst="rect">
                      <a:avLst/>
                    </a:prstGeom>
                    <a:noFill/>
                    <a:ln>
                      <a:noFill/>
                    </a:ln>
                    <a:extLst>
                      <a:ext uri="{53640926-AAD7-44D8-BBD7-CCE9431645EC}">
                        <a14:shadowObscured xmlns:a14="http://schemas.microsoft.com/office/drawing/2010/main"/>
                      </a:ext>
                    </a:extLst>
                  </pic:spPr>
                </pic:pic>
              </a:graphicData>
            </a:graphic>
          </wp:inline>
        </w:drawing>
      </w:r>
    </w:p>
    <w:p w14:paraId="35F2AA83" w14:textId="3984400D" w:rsidR="003C1F43" w:rsidRPr="005F7881" w:rsidRDefault="003C1F43" w:rsidP="003C1F43">
      <w:pPr>
        <w:pStyle w:val="SMText"/>
        <w:ind w:firstLine="0"/>
        <w:jc w:val="center"/>
        <w:rPr>
          <w:b/>
          <w:sz w:val="28"/>
          <w:szCs w:val="24"/>
        </w:rPr>
      </w:pPr>
      <w:r>
        <w:rPr>
          <w:noProof/>
        </w:rPr>
        <w:drawing>
          <wp:inline distT="0" distB="0" distL="0" distR="0" wp14:anchorId="219A121C" wp14:editId="4BDD6C9C">
            <wp:extent cx="4661535" cy="3359978"/>
            <wp:effectExtent l="0" t="0" r="571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r="-16"/>
                    <a:stretch/>
                  </pic:blipFill>
                  <pic:spPr bwMode="auto">
                    <a:xfrm>
                      <a:off x="0" y="0"/>
                      <a:ext cx="4700443" cy="3388023"/>
                    </a:xfrm>
                    <a:prstGeom prst="rect">
                      <a:avLst/>
                    </a:prstGeom>
                    <a:noFill/>
                    <a:ln>
                      <a:noFill/>
                    </a:ln>
                    <a:extLst>
                      <a:ext uri="{53640926-AAD7-44D8-BBD7-CCE9431645EC}">
                        <a14:shadowObscured xmlns:a14="http://schemas.microsoft.com/office/drawing/2010/main"/>
                      </a:ext>
                    </a:extLst>
                  </pic:spPr>
                </pic:pic>
              </a:graphicData>
            </a:graphic>
          </wp:inline>
        </w:drawing>
      </w:r>
    </w:p>
    <w:p w14:paraId="25569D69" w14:textId="0501EF38" w:rsidR="00774634" w:rsidRDefault="00227D86" w:rsidP="003C1F43">
      <w:pPr>
        <w:pStyle w:val="SMHeading"/>
        <w:keepNext w:val="0"/>
        <w:jc w:val="both"/>
        <w:rPr>
          <w:b w:val="0"/>
          <w:lang w:eastAsia="zh-CN"/>
        </w:rPr>
      </w:pPr>
      <w:r>
        <w:rPr>
          <w:sz w:val="21"/>
        </w:rPr>
        <w:t xml:space="preserve">Figure S1. </w:t>
      </w:r>
      <w:r>
        <w:rPr>
          <w:b w:val="0"/>
          <w:sz w:val="21"/>
        </w:rPr>
        <w:t>Determination of the Representative Elementary Volume (REV) using statistical analysis. The figure illustrates the variation of Gray-Level Size Zone Matrix (GLSZM) features—Low Gray-level Emphasis (LGE) and Large Area Low Gray-level Emphasis (LALE)—with increasing window sizes (from 0 to 800 voxels). The error bars represent the standard deviation across multiple samples. Note that both metrics converge at a window size of approximately 768</w:t>
      </w:r>
      <w:r>
        <w:rPr>
          <w:b w:val="0"/>
          <w:sz w:val="21"/>
          <w:vertAlign w:val="superscript"/>
        </w:rPr>
        <w:t>3</w:t>
      </w:r>
      <w:r>
        <w:rPr>
          <w:b w:val="0"/>
          <w:sz w:val="21"/>
        </w:rPr>
        <w:t xml:space="preserve"> voxels, which statistically validates that our chosen 855</w:t>
      </w:r>
      <w:r>
        <w:rPr>
          <w:b w:val="0"/>
          <w:sz w:val="21"/>
          <w:vertAlign w:val="superscript"/>
        </w:rPr>
        <w:t>3</w:t>
      </w:r>
      <w:r>
        <w:rPr>
          <w:b w:val="0"/>
          <w:sz w:val="21"/>
        </w:rPr>
        <w:t xml:space="preserve"> dataset is sufficient to represent the macroscopic heterogeneity of the conglomerate rock.</w:t>
      </w:r>
      <w:r>
        <w:rPr>
          <w:b w:val="0"/>
          <w:lang w:eastAsia="zh-CN"/>
        </w:rPr>
        <w:br w:type="page"/>
      </w:r>
    </w:p>
    <w:p w14:paraId="3642DDDC" w14:textId="0770F3EA" w:rsidR="003C1F43" w:rsidRPr="003C1F43" w:rsidRDefault="003C1F43" w:rsidP="003C1F43">
      <w:pPr>
        <w:pStyle w:val="SMHeading"/>
        <w:keepNext w:val="0"/>
        <w:jc w:val="both"/>
      </w:pPr>
      <w:r>
        <w:lastRenderedPageBreak/>
        <w:t>Section S2: Additional Qualitative Comparisons</w:t>
      </w:r>
    </w:p>
    <w:p w14:paraId="45F71F50" w14:textId="6034016E" w:rsidR="00774634" w:rsidRPr="009C6760" w:rsidRDefault="003C1F43" w:rsidP="00EA1927">
      <w:pPr>
        <w:pStyle w:val="SMcaption"/>
        <w:rPr>
          <w:szCs w:val="24"/>
        </w:rPr>
      </w:pPr>
      <w:r>
        <w:rPr>
          <w:noProof/>
          <w:szCs w:val="24"/>
          <w:lang w:eastAsia="zh-CN"/>
        </w:rPr>
        <w:drawing>
          <wp:inline distT="0" distB="0" distL="0" distR="0" wp14:anchorId="5B6B056D" wp14:editId="730CCA57">
            <wp:extent cx="5483325" cy="2041556"/>
            <wp:effectExtent l="0" t="0" r="317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a:stretch/>
                  </pic:blipFill>
                  <pic:spPr bwMode="auto">
                    <a:xfrm>
                      <a:off x="0" y="0"/>
                      <a:ext cx="5508390" cy="2050888"/>
                    </a:xfrm>
                    <a:prstGeom prst="rect">
                      <a:avLst/>
                    </a:prstGeom>
                    <a:noFill/>
                    <a:ln>
                      <a:noFill/>
                    </a:ln>
                    <a:extLst>
                      <a:ext uri="{53640926-AAD7-44D8-BBD7-CCE9431645EC}">
                        <a14:shadowObscured xmlns:a14="http://schemas.microsoft.com/office/drawing/2010/main"/>
                      </a:ext>
                    </a:extLst>
                  </pic:spPr>
                </pic:pic>
              </a:graphicData>
            </a:graphic>
          </wp:inline>
        </w:drawing>
      </w:r>
      <w:r>
        <w:rPr>
          <w:noProof/>
          <w:szCs w:val="24"/>
        </w:rPr>
        <w:drawing>
          <wp:inline distT="0" distB="0" distL="0" distR="0" wp14:anchorId="5D28E064" wp14:editId="4627D1D2">
            <wp:extent cx="5585988" cy="2131133"/>
            <wp:effectExtent l="0" t="0" r="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a:stretch/>
                  </pic:blipFill>
                  <pic:spPr bwMode="auto">
                    <a:xfrm>
                      <a:off x="0" y="0"/>
                      <a:ext cx="5629980" cy="2147917"/>
                    </a:xfrm>
                    <a:prstGeom prst="rect">
                      <a:avLst/>
                    </a:prstGeom>
                    <a:noFill/>
                    <a:ln>
                      <a:noFill/>
                    </a:ln>
                    <a:extLst>
                      <a:ext uri="{53640926-AAD7-44D8-BBD7-CCE9431645EC}">
                        <a14:shadowObscured xmlns:a14="http://schemas.microsoft.com/office/drawing/2010/main"/>
                      </a:ext>
                    </a:extLst>
                  </pic:spPr>
                </pic:pic>
              </a:graphicData>
            </a:graphic>
          </wp:inline>
        </w:drawing>
        <w:drawing>
          <wp:inline distT="0" distB="0" distL="0" distR="0" wp14:anchorId="4439CCE4" wp14:editId="65A87230">
            <wp:extent cx="5631256" cy="2112921"/>
            <wp:effectExtent l="0" t="0" r="7620" b="190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a:stretch/>
                  </pic:blipFill>
                  <pic:spPr bwMode="auto">
                    <a:xfrm>
                      <a:off x="0" y="0"/>
                      <a:ext cx="5650677" cy="2120208"/>
                    </a:xfrm>
                    <a:prstGeom prst="rect">
                      <a:avLst/>
                    </a:prstGeom>
                    <a:noFill/>
                    <a:ln>
                      <a:noFill/>
                    </a:ln>
                    <a:extLst>
                      <a:ext uri="{53640926-AAD7-44D8-BBD7-CCE9431645EC}">
                        <a14:shadowObscured xmlns:a14="http://schemas.microsoft.com/office/drawing/2010/main"/>
                      </a:ext>
                    </a:extLst>
                  </pic:spPr>
                </pic:pic>
              </a:graphicData>
            </a:graphic>
          </wp:inline>
        </w:drawing>
      </w:r>
    </w:p>
    <w:p w14:paraId="39601416" w14:textId="52760476" w:rsidR="00EA1927" w:rsidRPr="009965A0" w:rsidRDefault="003C1F43" w:rsidP="003C1F43">
      <w:pPr>
        <w:pStyle w:val="SMHeading"/>
        <w:jc w:val="both"/>
        <w:rPr>
          <w:b w:val="0"/>
          <w:sz w:val="21"/>
          <w:lang w:eastAsia="zh-CN"/>
        </w:rPr>
      </w:pPr>
      <w:r>
        <w:rPr>
          <w:sz w:val="21"/>
          <w:lang w:eastAsia="zh-CN"/>
        </w:rPr>
        <w:t>Fig. S2.</w:t>
      </w:r>
      <w:r>
        <w:rPr>
          <w:b w:val="0"/>
          <w:sz w:val="21"/>
          <w:lang w:eastAsia="zh-CN"/>
        </w:rPr>
        <w:t xml:space="preserve"> Additional zoomed-in visual comparisons of reconstruction results. The figure displays representative 2D slices from different locations within the 3D volume. Compared to representative methods (top row: RCAN, EDSR, SwinIR, HAT, RRDB, SRCNN) and bicubic interpolation (bottom row), Hy-MambaIR consistently recovers sharper mineral boundaries and suppresses noise more effectively, demonstrating robustness across different viewing angles and slice positions.</w:t>
      </w:r>
    </w:p>
    <w:p w14:paraId="08C510CD" w14:textId="77777777" w:rsidR="00EA1927" w:rsidRPr="009C6760" w:rsidRDefault="00EA1927" w:rsidP="00477182">
      <w:pPr>
        <w:pStyle w:val="SMcaption"/>
        <w:rPr>
          <w:b/>
          <w:i/>
          <w:szCs w:val="24"/>
        </w:rPr>
      </w:pPr>
    </w:p>
    <w:p w14:paraId="394200A0" w14:textId="46724513" w:rsidR="00853E4A" w:rsidRDefault="003C1F43" w:rsidP="005B725D">
      <w:pPr>
        <w:pStyle w:val="SMHeading"/>
        <w:jc w:val="both"/>
      </w:pPr>
      <w:bookmarkStart w:id="1" w:name="_Hlk214823965"/>
      <w:r>
        <w:lastRenderedPageBreak/>
        <w:t>Section S3: Segmentation and Physical Accuracy Assessment</w:t>
      </w:r>
      <w:bookmarkEnd w:id="1"/>
    </w:p>
    <w:p w14:paraId="4E310A6B" w14:textId="00A93E9C" w:rsidR="00853E4A" w:rsidRPr="00853E4A" w:rsidRDefault="00853E4A" w:rsidP="005B725D">
      <w:pPr>
        <w:pStyle w:val="SMHeading"/>
        <w:jc w:val="both"/>
      </w:pPr>
      <w:r>
        <w:rPr>
          <w:noProof/>
        </w:rPr>
        <w:drawing>
          <wp:inline distT="0" distB="0" distL="0" distR="0" wp14:anchorId="77D38790" wp14:editId="69F43553">
            <wp:extent cx="5532967" cy="4210197"/>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a:stretch/>
                  </pic:blipFill>
                  <pic:spPr bwMode="auto">
                    <a:xfrm>
                      <a:off x="0" y="0"/>
                      <a:ext cx="5542468" cy="4217427"/>
                    </a:xfrm>
                    <a:prstGeom prst="rect">
                      <a:avLst/>
                    </a:prstGeom>
                    <a:noFill/>
                    <a:ln>
                      <a:noFill/>
                    </a:ln>
                    <a:extLst>
                      <a:ext uri="{53640926-AAD7-44D8-BBD7-CCE9431645EC}">
                        <a14:shadowObscured xmlns:a14="http://schemas.microsoft.com/office/drawing/2010/main"/>
                      </a:ext>
                    </a:extLst>
                  </pic:spPr>
                </pic:pic>
              </a:graphicData>
            </a:graphic>
          </wp:inline>
        </w:drawing>
      </w:r>
    </w:p>
    <w:p w14:paraId="5BF9A39D" w14:textId="1306B5C6" w:rsidR="00853E4A" w:rsidRPr="009965A0" w:rsidRDefault="00774634" w:rsidP="005B725D">
      <w:pPr>
        <w:pStyle w:val="SMHeading"/>
        <w:jc w:val="both"/>
        <w:rPr>
          <w:b w:val="0"/>
          <w:sz w:val="21"/>
        </w:rPr>
      </w:pPr>
      <w:r>
        <w:rPr>
          <w:sz w:val="21"/>
        </w:rPr>
        <w:t xml:space="preserve">Figure S3. </w:t>
      </w:r>
      <w:r>
        <w:rPr>
          <w:b w:val="0"/>
          <w:sz w:val="21"/>
        </w:rPr>
        <w:t>3D streamline visualization for ablation study variants.</w:t>
      </w:r>
      <w:r>
        <w:rPr>
          <w:sz w:val="21"/>
        </w:rPr>
        <w:t xml:space="preserve"> </w:t>
      </w:r>
      <w:r>
        <w:rPr>
          <w:b w:val="0"/>
          <w:sz w:val="21"/>
        </w:rPr>
        <w:t>The full Hy-MambaIR model (center) exhibits flow path connectivity and density most similar to the reference. Models lacking the SCAB module or with improper DyT usage show either blocked paths (underestimated flow) or non-physical shortcuts (overestimated flow), highlighting the contribution of each component to hydraulic connectivity.</w:t>
      </w:r>
    </w:p>
    <w:p w14:paraId="55E96914" w14:textId="05A0920D" w:rsidR="00774634" w:rsidRDefault="00774634" w:rsidP="00477182">
      <w:pPr>
        <w:pStyle w:val="SMcaption"/>
        <w:rPr>
          <w:b/>
          <w:i/>
          <w:szCs w:val="24"/>
        </w:rPr>
      </w:pPr>
    </w:p>
    <w:p w14:paraId="435C793C" w14:textId="03782A73" w:rsidR="00EC49CE" w:rsidRDefault="00EC49CE" w:rsidP="00953767">
      <w:pPr>
        <w:pStyle w:val="SMcaption"/>
        <w:rPr>
          <w:b/>
          <w:i/>
          <w:szCs w:val="24"/>
        </w:rPr>
      </w:pPr>
    </w:p>
    <w:p w14:paraId="46FD6122" w14:textId="384A2DED" w:rsidR="00D10F2D" w:rsidRPr="009C6760" w:rsidRDefault="00853E4A" w:rsidP="00953767">
      <w:pPr>
        <w:pStyle w:val="SMcaption"/>
        <w:rPr>
          <w:szCs w:val="24"/>
        </w:rPr>
      </w:pPr>
      <w:r>
        <w:rPr>
          <w:noProof/>
        </w:rPr>
        <w:lastRenderedPageBreak/>
        <w:drawing>
          <wp:inline distT="0" distB="0" distL="0" distR="0" wp14:anchorId="43A1570D" wp14:editId="442ACC9E">
            <wp:extent cx="5094035" cy="26162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a:stretch/>
                  </pic:blipFill>
                  <pic:spPr bwMode="auto">
                    <a:xfrm>
                      <a:off x="0" y="0"/>
                      <a:ext cx="5098631" cy="2618560"/>
                    </a:xfrm>
                    <a:prstGeom prst="rect">
                      <a:avLst/>
                    </a:prstGeom>
                    <a:noFill/>
                    <a:ln>
                      <a:noFill/>
                    </a:ln>
                    <a:extLst>
                      <a:ext uri="{53640926-AAD7-44D8-BBD7-CCE9431645EC}">
                        <a14:shadowObscured xmlns:a14="http://schemas.microsoft.com/office/drawing/2010/main"/>
                      </a:ext>
                    </a:extLst>
                  </pic:spPr>
                </pic:pic>
              </a:graphicData>
            </a:graphic>
          </wp:inline>
        </w:drawing>
      </w:r>
    </w:p>
    <w:p w14:paraId="58821E15" w14:textId="4D943156" w:rsidR="005B725D" w:rsidRPr="009965A0" w:rsidRDefault="00953767" w:rsidP="009965A0">
      <w:pPr>
        <w:pStyle w:val="SMHeading"/>
        <w:jc w:val="both"/>
        <w:rPr>
          <w:sz w:val="21"/>
        </w:rPr>
      </w:pPr>
      <w:r>
        <w:rPr>
          <w:sz w:val="21"/>
        </w:rPr>
        <w:t xml:space="preserve">Figure S4. </w:t>
      </w:r>
      <w:r>
        <w:rPr>
          <w:b w:val="0"/>
          <w:sz w:val="21"/>
        </w:rPr>
        <w:t>Quantitative comparison of segmentation accuracy.</w:t>
      </w:r>
      <w:r>
        <w:rPr>
          <w:sz w:val="21"/>
        </w:rPr>
        <w:t xml:space="preserve"> </w:t>
      </w:r>
      <w:r>
        <w:rPr>
          <w:b w:val="0"/>
          <w:sz w:val="21"/>
        </w:rPr>
        <w:t>The bar chart compares the Intersection over Union (IoU) and Dice coefficient of different SR methods under a unified segmentation threshold (167). Hy-MambaIR achieves the highest scores (IoU: 0.901, Dice: 0.948), significantly outperforming Transformer-based HAT (IoU: 0.723) and CNN-based EDSR (IoU: 0.820). This indicates that our reconstruction results provide the most accurate geometric basis for subsequent pore network extraction.</w:t>
      </w:r>
    </w:p>
    <w:p w14:paraId="085E5D8D" w14:textId="0310EF02" w:rsidR="005B725D" w:rsidRPr="009C6760" w:rsidRDefault="009965A0" w:rsidP="00263FF1">
      <w:pPr>
        <w:pStyle w:val="SMcaption"/>
        <w:rPr>
          <w:szCs w:val="24"/>
        </w:rPr>
      </w:pPr>
      <w:r>
        <w:rPr>
          <w:noProof/>
        </w:rPr>
        <w:drawing>
          <wp:inline distT="0" distB="0" distL="0" distR="0" wp14:anchorId="158129CE" wp14:editId="0F3EF0AF">
            <wp:extent cx="5569850" cy="3530562"/>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a:extLst>
                        <a:ext uri="{28A0092B-C50C-407E-A947-70E740481C1C}">
                          <a14:useLocalDpi xmlns:a14="http://schemas.microsoft.com/office/drawing/2010/main" val="0"/>
                        </a:ext>
                      </a:extLst>
                    </a:blip>
                    <a:srcRect/>
                    <a:stretch/>
                  </pic:blipFill>
                  <pic:spPr bwMode="auto">
                    <a:xfrm>
                      <a:off x="0" y="0"/>
                      <a:ext cx="5574747" cy="3533666"/>
                    </a:xfrm>
                    <a:prstGeom prst="rect">
                      <a:avLst/>
                    </a:prstGeom>
                    <a:noFill/>
                    <a:ln>
                      <a:noFill/>
                    </a:ln>
                    <a:extLst>
                      <a:ext uri="{53640926-AAD7-44D8-BBD7-CCE9431645EC}">
                        <a14:shadowObscured xmlns:a14="http://schemas.microsoft.com/office/drawing/2010/main"/>
                      </a:ext>
                    </a:extLst>
                  </pic:spPr>
                </pic:pic>
              </a:graphicData>
            </a:graphic>
          </wp:inline>
        </w:drawing>
      </w:r>
    </w:p>
    <w:p w14:paraId="32758A47" w14:textId="09919417" w:rsidR="00B50CFA" w:rsidRPr="00B50CFA" w:rsidRDefault="00263FF1" w:rsidP="00B50CFA">
      <w:pPr>
        <w:pStyle w:val="SMHeading"/>
        <w:jc w:val="both"/>
        <w:rPr>
          <w:b w:val="0"/>
          <w:sz w:val="21"/>
        </w:rPr>
      </w:pPr>
      <w:r>
        <w:rPr>
          <w:sz w:val="21"/>
        </w:rPr>
        <w:t xml:space="preserve">Figure S5. </w:t>
      </w:r>
      <w:r>
        <w:rPr>
          <w:b w:val="0"/>
          <w:sz w:val="21"/>
        </w:rPr>
        <w:t>Absolute permeability values calculated on the full-scale REV (855</w:t>
      </w:r>
      <w:r>
        <w:rPr>
          <w:b w:val="0"/>
          <w:sz w:val="21"/>
          <w:vertAlign w:val="superscript"/>
        </w:rPr>
        <w:t>3</w:t>
      </w:r>
      <w:r>
        <w:rPr>
          <w:b w:val="0"/>
          <w:sz w:val="21"/>
        </w:rPr>
        <w:t xml:space="preserve"> voxels; permeability values are reported in mD). Comparison of computed absolute permeability in the x, y, and z directions. Hy-MambaIR yields values closest to the HR ground truth with the lowest mean relative error. In </w:t>
        <w:lastRenderedPageBreak/>
        <w:t>contrast, SRCNN overestimates permeability due to artifacts, while bicubic underestimates it due to pore blockage.</w:t>
      </w:r>
    </w:p>
    <w:p w14:paraId="1D589BAD" w14:textId="4F521AD7" w:rsidR="00263FF1" w:rsidRDefault="00263FF1" w:rsidP="00263FF1">
      <w:pPr>
        <w:pStyle w:val="SMcaption"/>
        <w:rPr>
          <w:b/>
          <w:i/>
          <w:szCs w:val="24"/>
        </w:rPr>
      </w:pPr>
    </w:p>
    <w:p w14:paraId="75F829FF" w14:textId="77777777" w:rsidR="009B4E19" w:rsidRPr="009104A0" w:rsidRDefault="009B4E19" w:rsidP="009B4E19">
      <w:pPr>
        <w:pStyle w:val="SMcaption"/>
        <w:jc w:val="both"/>
        <w:rPr>
          <w:b/>
        </w:rPr>
      </w:pPr>
    </w:p>
    <w:tbl>
      <w:tblPr>
        <w:tblW w:w="7120" w:type="dxa"/>
        <w:tblCellMar>
          <w:left w:w="0" w:type="dxa"/>
          <w:right w:w="0" w:type="dxa"/>
        </w:tblCellMar>
        <w:tblLook w:val="0420" w:firstRow="1" w:lastRow="0" w:firstColumn="0" w:lastColumn="0" w:noHBand="0" w:noVBand="1"/>
      </w:tblPr>
      <w:tblGrid>
        <w:gridCol w:w="2952"/>
        <w:gridCol w:w="938"/>
        <w:gridCol w:w="938"/>
        <w:gridCol w:w="938"/>
        <w:gridCol w:w="1354"/>
      </w:tblGrid>
      <w:tr w:rsidR="009B4E19" w:rsidRPr="009104A0" w14:paraId="50277811" w14:textId="77777777" w:rsidTr="005C14C4">
        <w:tc>
          <w:tcPr>
            <w:tcW w:w="2952"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C7015B2" w14:textId="77777777" w:rsidR="009B4E19" w:rsidRPr="009104A0" w:rsidRDefault="009B4E19" w:rsidP="00E672D0">
            <w:pPr>
              <w:jc w:val="center"/>
              <w:rPr>
                <w:rFonts w:ascii="Arial" w:eastAsia="宋体" w:hAnsi="Arial" w:cs="Arial"/>
                <w:sz w:val="36"/>
                <w:szCs w:val="36"/>
                <w:lang w:eastAsia="zh-CN"/>
              </w:rPr>
            </w:pPr>
            <w:r>
              <w:rPr>
                <w:rFonts w:eastAsia="宋体"/>
                <w:color w:val="000000" w:themeColor="text1"/>
                <w:kern w:val="24"/>
                <w:sz w:val="20"/>
                <w:lang w:eastAsia="zh-CN"/>
              </w:rPr>
              <w:t>Model</w:t>
            </w:r>
          </w:p>
        </w:tc>
        <w:tc>
          <w:tcPr>
            <w:tcW w:w="2814" w:type="dxa"/>
            <w:gridSpan w:val="3"/>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2FD2376" w14:textId="77777777" w:rsidR="009B4E19" w:rsidRPr="009104A0" w:rsidRDefault="009B4E19" w:rsidP="00E672D0">
            <w:pPr>
              <w:jc w:val="center"/>
              <w:rPr>
                <w:rFonts w:ascii="Arial" w:eastAsia="宋体" w:hAnsi="Arial" w:cs="Arial"/>
                <w:sz w:val="36"/>
                <w:szCs w:val="36"/>
                <w:lang w:eastAsia="zh-CN"/>
              </w:rPr>
            </w:pPr>
            <w:r>
              <w:rPr>
                <w:rFonts w:eastAsia="宋体"/>
                <w:color w:val="000000" w:themeColor="text1"/>
                <w:kern w:val="24"/>
                <w:sz w:val="20"/>
                <w:lang w:eastAsia="zh-CN"/>
              </w:rPr>
              <w:t>Permeability (mD)</w:t>
            </w:r>
          </w:p>
        </w:tc>
        <w:tc>
          <w:tcPr>
            <w:tcW w:w="1354"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4461885" w14:textId="77777777" w:rsidR="009B4E19" w:rsidRPr="009104A0" w:rsidRDefault="009B4E19" w:rsidP="00E672D0">
            <w:pPr>
              <w:jc w:val="center"/>
              <w:rPr>
                <w:rFonts w:ascii="Arial" w:eastAsia="宋体" w:hAnsi="Arial" w:cs="Arial"/>
                <w:sz w:val="36"/>
                <w:szCs w:val="36"/>
                <w:lang w:eastAsia="zh-CN"/>
              </w:rPr>
            </w:pPr>
            <w:r>
              <w:rPr>
                <w:rFonts w:eastAsia="宋体"/>
                <w:color w:val="000000" w:themeColor="text1"/>
                <w:kern w:val="24"/>
                <w:sz w:val="20"/>
                <w:lang w:eastAsia="zh-CN"/>
              </w:rPr>
              <w:t>MRE(k) (%)</w:t>
            </w:r>
          </w:p>
        </w:tc>
      </w:tr>
      <w:tr w:rsidR="009B4E19" w:rsidRPr="009104A0" w14:paraId="727837D2" w14:textId="77777777" w:rsidTr="005C14C4">
        <w:tc>
          <w:tcPr>
            <w:tcW w:w="0" w:type="auto"/>
            <w:vMerge/>
            <w:tcBorders>
              <w:top w:val="single" w:sz="8" w:space="0" w:color="000000"/>
              <w:left w:val="nil"/>
              <w:bottom w:val="single" w:sz="8" w:space="0" w:color="000000"/>
              <w:right w:val="nil"/>
            </w:tcBorders>
            <w:vAlign w:val="center"/>
            <w:hideMark/>
          </w:tcPr>
          <w:p w14:paraId="1535F52D" w14:textId="77777777" w:rsidR="009B4E19" w:rsidRPr="009104A0" w:rsidRDefault="009B4E19" w:rsidP="00E672D0">
            <w:pPr>
              <w:rPr>
                <w:rFonts w:ascii="Arial" w:eastAsia="宋体" w:hAnsi="Arial" w:cs="Arial"/>
                <w:sz w:val="36"/>
                <w:szCs w:val="36"/>
                <w:lang w:eastAsia="zh-CN"/>
              </w:rPr>
            </w:pPr>
          </w:p>
        </w:tc>
        <w:tc>
          <w:tcPr>
            <w:tcW w:w="93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20B8062" w14:textId="77777777" w:rsidR="009B4E19" w:rsidRPr="009104A0" w:rsidRDefault="009B4E19" w:rsidP="00E672D0">
            <w:pPr>
              <w:jc w:val="center"/>
              <w:rPr>
                <w:rFonts w:ascii="Arial" w:eastAsia="宋体" w:hAnsi="Arial" w:cs="Arial"/>
                <w:sz w:val="36"/>
                <w:szCs w:val="36"/>
                <w:lang w:eastAsia="zh-CN"/>
              </w:rPr>
            </w:pPr>
            <w:r>
              <w:rPr>
                <w:rFonts w:ascii="Cambria" w:eastAsia="Cambria" w:hAnsi="Cambria" w:cs="Calibri"/>
                <w:i/>
                <w:iCs/>
                <w:color w:val="1F1F1F"/>
                <w:kern w:val="24"/>
                <w:sz w:val="20"/>
                <w:lang w:eastAsia="zh-CN"/>
              </w:rPr>
              <w:t>k</w:t>
            </w:r>
            <w:r>
              <w:rPr>
                <w:rFonts w:ascii="Cambria" w:eastAsia="Cambria" w:hAnsi="Cambria" w:cs="Calibri"/>
                <w:i/>
                <w:iCs/>
                <w:color w:val="1F1F1F"/>
                <w:kern w:val="24"/>
                <w:position w:val="-5"/>
                <w:sz w:val="20"/>
                <w:vertAlign w:val="subscript"/>
                <w:lang w:eastAsia="zh-CN"/>
              </w:rPr>
              <w:t>x</w:t>
            </w:r>
          </w:p>
        </w:tc>
        <w:tc>
          <w:tcPr>
            <w:tcW w:w="93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E4922EB" w14:textId="77777777" w:rsidR="009B4E19" w:rsidRPr="009104A0" w:rsidRDefault="009B4E19" w:rsidP="00E672D0">
            <w:pPr>
              <w:jc w:val="center"/>
              <w:rPr>
                <w:rFonts w:ascii="Arial" w:eastAsia="宋体" w:hAnsi="Arial" w:cs="Arial"/>
                <w:sz w:val="36"/>
                <w:szCs w:val="36"/>
                <w:lang w:eastAsia="zh-CN"/>
              </w:rPr>
            </w:pPr>
            <w:r>
              <w:rPr>
                <w:rFonts w:ascii="Cambria" w:eastAsia="Cambria" w:hAnsi="Cambria" w:cs="Calibri"/>
                <w:i/>
                <w:iCs/>
                <w:color w:val="1F1F1F"/>
                <w:kern w:val="24"/>
                <w:sz w:val="20"/>
                <w:lang w:eastAsia="zh-CN"/>
              </w:rPr>
              <w:t>k</w:t>
            </w:r>
            <w:r>
              <w:rPr>
                <w:rFonts w:ascii="Cambria" w:eastAsia="Cambria" w:hAnsi="Cambria" w:cs="Calibri"/>
                <w:i/>
                <w:iCs/>
                <w:color w:val="1F1F1F"/>
                <w:kern w:val="24"/>
                <w:position w:val="-5"/>
                <w:sz w:val="20"/>
                <w:vertAlign w:val="subscript"/>
                <w:lang w:eastAsia="zh-CN"/>
              </w:rPr>
              <w:t>y</w:t>
            </w:r>
          </w:p>
        </w:tc>
        <w:tc>
          <w:tcPr>
            <w:tcW w:w="93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6CD59C0" w14:textId="77777777" w:rsidR="009B4E19" w:rsidRPr="009104A0" w:rsidRDefault="009B4E19" w:rsidP="00E672D0">
            <w:pPr>
              <w:jc w:val="center"/>
              <w:rPr>
                <w:rFonts w:ascii="Arial" w:eastAsia="宋体" w:hAnsi="Arial" w:cs="Arial"/>
                <w:sz w:val="36"/>
                <w:szCs w:val="36"/>
                <w:lang w:eastAsia="zh-CN"/>
              </w:rPr>
            </w:pPr>
            <w:r>
              <w:rPr>
                <w:rFonts w:ascii="Cambria" w:eastAsia="Cambria" w:hAnsi="Cambria" w:cs="Calibri"/>
                <w:i/>
                <w:iCs/>
                <w:color w:val="1F1F1F"/>
                <w:kern w:val="24"/>
                <w:sz w:val="20"/>
                <w:lang w:eastAsia="zh-CN"/>
              </w:rPr>
              <w:t>k</w:t>
            </w:r>
            <w:r>
              <w:rPr>
                <w:rFonts w:ascii="Cambria" w:eastAsia="Cambria" w:hAnsi="Cambria" w:cs="Calibri"/>
                <w:i/>
                <w:iCs/>
                <w:color w:val="1F1F1F"/>
                <w:kern w:val="24"/>
                <w:position w:val="-5"/>
                <w:sz w:val="20"/>
                <w:vertAlign w:val="subscript"/>
                <w:lang w:eastAsia="zh-CN"/>
              </w:rPr>
              <w:t>z</w:t>
            </w:r>
          </w:p>
        </w:tc>
        <w:tc>
          <w:tcPr>
            <w:tcW w:w="0" w:type="auto"/>
            <w:vMerge/>
            <w:tcBorders>
              <w:top w:val="single" w:sz="8" w:space="0" w:color="000000"/>
              <w:left w:val="nil"/>
              <w:bottom w:val="single" w:sz="8" w:space="0" w:color="000000"/>
              <w:right w:val="nil"/>
            </w:tcBorders>
            <w:vAlign w:val="center"/>
            <w:hideMark/>
          </w:tcPr>
          <w:p w14:paraId="3EF9066C" w14:textId="77777777" w:rsidR="009B4E19" w:rsidRPr="009104A0" w:rsidRDefault="009B4E19" w:rsidP="00E672D0">
            <w:pPr>
              <w:rPr>
                <w:rFonts w:ascii="Arial" w:eastAsia="宋体" w:hAnsi="Arial" w:cs="Arial"/>
                <w:sz w:val="36"/>
                <w:szCs w:val="36"/>
                <w:lang w:eastAsia="zh-CN"/>
              </w:rPr>
            </w:pPr>
          </w:p>
        </w:tc>
      </w:tr>
      <w:tr w:rsidR="009B4E19" w:rsidRPr="009104A0" w14:paraId="15FE5AA6" w14:textId="77777777" w:rsidTr="005C14C4">
        <w:trPr>
          <w:trHeight w:val="262"/>
        </w:trPr>
        <w:tc>
          <w:tcPr>
            <w:tcW w:w="2952" w:type="dxa"/>
            <w:tcBorders>
              <w:top w:val="single" w:sz="8" w:space="0" w:color="000000"/>
              <w:left w:val="nil"/>
              <w:bottom w:val="nil"/>
              <w:right w:val="nil"/>
            </w:tcBorders>
            <w:shd w:val="clear" w:color="auto" w:fill="auto"/>
            <w:tcMar>
              <w:top w:w="60" w:type="dxa"/>
              <w:left w:w="120" w:type="dxa"/>
              <w:bottom w:w="60" w:type="dxa"/>
              <w:right w:w="120" w:type="dxa"/>
            </w:tcMar>
            <w:vAlign w:val="center"/>
            <w:hideMark/>
          </w:tcPr>
          <w:p w14:paraId="09026449"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HR</w:t>
            </w:r>
          </w:p>
        </w:tc>
        <w:tc>
          <w:tcPr>
            <w:tcW w:w="938" w:type="dxa"/>
            <w:tcBorders>
              <w:top w:val="single" w:sz="8" w:space="0" w:color="000000"/>
              <w:left w:val="nil"/>
              <w:bottom w:val="nil"/>
              <w:right w:val="nil"/>
            </w:tcBorders>
            <w:shd w:val="clear" w:color="auto" w:fill="auto"/>
            <w:tcMar>
              <w:top w:w="60" w:type="dxa"/>
              <w:left w:w="120" w:type="dxa"/>
              <w:bottom w:w="60" w:type="dxa"/>
              <w:right w:w="120" w:type="dxa"/>
            </w:tcMar>
            <w:vAlign w:val="center"/>
            <w:hideMark/>
          </w:tcPr>
          <w:p w14:paraId="3BCDF4B3"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5.0691</w:t>
            </w:r>
          </w:p>
        </w:tc>
        <w:tc>
          <w:tcPr>
            <w:tcW w:w="938" w:type="dxa"/>
            <w:tcBorders>
              <w:top w:val="single" w:sz="8" w:space="0" w:color="000000"/>
              <w:left w:val="nil"/>
              <w:bottom w:val="nil"/>
              <w:right w:val="nil"/>
            </w:tcBorders>
            <w:shd w:val="clear" w:color="auto" w:fill="auto"/>
            <w:tcMar>
              <w:top w:w="60" w:type="dxa"/>
              <w:left w:w="120" w:type="dxa"/>
              <w:bottom w:w="60" w:type="dxa"/>
              <w:right w:w="120" w:type="dxa"/>
            </w:tcMar>
            <w:vAlign w:val="center"/>
            <w:hideMark/>
          </w:tcPr>
          <w:p w14:paraId="673148FF"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6.3417</w:t>
            </w:r>
          </w:p>
        </w:tc>
        <w:tc>
          <w:tcPr>
            <w:tcW w:w="938" w:type="dxa"/>
            <w:tcBorders>
              <w:top w:val="single" w:sz="8" w:space="0" w:color="000000"/>
              <w:left w:val="nil"/>
              <w:bottom w:val="nil"/>
              <w:right w:val="nil"/>
            </w:tcBorders>
            <w:shd w:val="clear" w:color="auto" w:fill="auto"/>
            <w:tcMar>
              <w:top w:w="60" w:type="dxa"/>
              <w:left w:w="120" w:type="dxa"/>
              <w:bottom w:w="60" w:type="dxa"/>
              <w:right w:w="120" w:type="dxa"/>
            </w:tcMar>
            <w:vAlign w:val="center"/>
            <w:hideMark/>
          </w:tcPr>
          <w:p w14:paraId="68CA53E6"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6.5409</w:t>
            </w:r>
          </w:p>
        </w:tc>
        <w:tc>
          <w:tcPr>
            <w:tcW w:w="1354" w:type="dxa"/>
            <w:tcBorders>
              <w:top w:val="single" w:sz="8" w:space="0" w:color="000000"/>
              <w:left w:val="nil"/>
              <w:bottom w:val="nil"/>
              <w:right w:val="nil"/>
            </w:tcBorders>
            <w:shd w:val="clear" w:color="auto" w:fill="auto"/>
            <w:tcMar>
              <w:top w:w="60" w:type="dxa"/>
              <w:left w:w="120" w:type="dxa"/>
              <w:bottom w:w="60" w:type="dxa"/>
              <w:right w:w="120" w:type="dxa"/>
            </w:tcMar>
            <w:vAlign w:val="center"/>
            <w:hideMark/>
          </w:tcPr>
          <w:p w14:paraId="350182A9"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0</w:t>
            </w:r>
          </w:p>
        </w:tc>
      </w:tr>
      <w:tr w:rsidR="009B4E19" w:rsidRPr="009104A0" w14:paraId="3219C328" w14:textId="77777777" w:rsidTr="005C14C4">
        <w:trPr>
          <w:trHeight w:val="452"/>
        </w:trPr>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59E85032"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Bicubic</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4059695A"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6.6462</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412B7DB5"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8.6785</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3C8264B1"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8.2722</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715DAF44"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31.48</w:t>
            </w:r>
          </w:p>
        </w:tc>
      </w:tr>
      <w:tr w:rsidR="009B4E19" w:rsidRPr="009104A0" w14:paraId="20A26B44" w14:textId="77777777" w:rsidTr="005C14C4">
        <w:trPr>
          <w:trHeight w:val="452"/>
        </w:trPr>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2160AE53"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Hy-MambaIR</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150C62FF"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5.6959</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173E96FF"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7.4541</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57337D9E"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6.7805</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6D66ED17"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11.19</w:t>
            </w:r>
          </w:p>
        </w:tc>
      </w:tr>
      <w:tr w:rsidR="009B4E19" w:rsidRPr="009104A0" w14:paraId="2A7256A4" w14:textId="77777777" w:rsidTr="005C14C4">
        <w:trPr>
          <w:trHeight w:val="452"/>
        </w:trPr>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11F9D65D"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EDSR</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38A16C47"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5.6498</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23C3A601"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8.0857</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23C42F69"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6.9628</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385B87B7"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15.14</w:t>
            </w:r>
          </w:p>
        </w:tc>
      </w:tr>
      <w:tr w:rsidR="009B4E19" w:rsidRPr="009104A0" w14:paraId="5BB14E1C" w14:textId="77777777" w:rsidTr="005C14C4">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7F729F46"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HAT</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6B554E7E"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5.6507</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42B12099"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8.0840</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203C6BEB"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6.9675</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4904E425"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15.16</w:t>
            </w:r>
          </w:p>
        </w:tc>
      </w:tr>
      <w:tr w:rsidR="009B4E19" w:rsidRPr="009104A0" w14:paraId="699CCB37" w14:textId="77777777" w:rsidTr="005C14C4">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3C0E6CE0"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RCAN</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1073AC03"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5.6863</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409AB260"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8.1009</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09B9EB10"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7.0131</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3C7B84A7"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15.71</w:t>
            </w:r>
          </w:p>
        </w:tc>
      </w:tr>
      <w:tr w:rsidR="009B4E19" w:rsidRPr="009104A0" w14:paraId="4A4A55CA" w14:textId="77777777" w:rsidTr="005C14C4">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3F2CE0EF"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RRDB</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37BE1681"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5.7481</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12721900"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8.2429</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3E35C913"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7.0519</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306FC0F5"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17.06</w:t>
            </w:r>
          </w:p>
        </w:tc>
      </w:tr>
      <w:tr w:rsidR="009B4E19" w:rsidRPr="009104A0" w14:paraId="06E5AB30" w14:textId="77777777" w:rsidTr="005C14C4">
        <w:tc>
          <w:tcPr>
            <w:tcW w:w="2952" w:type="dxa"/>
            <w:tcBorders>
              <w:top w:val="nil"/>
              <w:left w:val="nil"/>
              <w:bottom w:val="nil"/>
              <w:right w:val="nil"/>
            </w:tcBorders>
            <w:shd w:val="clear" w:color="auto" w:fill="auto"/>
            <w:tcMar>
              <w:top w:w="60" w:type="dxa"/>
              <w:left w:w="120" w:type="dxa"/>
              <w:bottom w:w="60" w:type="dxa"/>
              <w:right w:w="120" w:type="dxa"/>
            </w:tcMar>
            <w:vAlign w:val="center"/>
            <w:hideMark/>
          </w:tcPr>
          <w:p w14:paraId="20C9F79B"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SRCNN</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7F2CCB3F"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6.0281</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747E3D33"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8.5370</w:t>
            </w:r>
          </w:p>
        </w:tc>
        <w:tc>
          <w:tcPr>
            <w:tcW w:w="938" w:type="dxa"/>
            <w:tcBorders>
              <w:top w:val="nil"/>
              <w:left w:val="nil"/>
              <w:bottom w:val="nil"/>
              <w:right w:val="nil"/>
            </w:tcBorders>
            <w:shd w:val="clear" w:color="auto" w:fill="auto"/>
            <w:tcMar>
              <w:top w:w="60" w:type="dxa"/>
              <w:left w:w="120" w:type="dxa"/>
              <w:bottom w:w="60" w:type="dxa"/>
              <w:right w:w="120" w:type="dxa"/>
            </w:tcMar>
            <w:vAlign w:val="center"/>
            <w:hideMark/>
          </w:tcPr>
          <w:p w14:paraId="29FEBD8C"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7.4949</w:t>
            </w:r>
          </w:p>
        </w:tc>
        <w:tc>
          <w:tcPr>
            <w:tcW w:w="1354" w:type="dxa"/>
            <w:tcBorders>
              <w:top w:val="nil"/>
              <w:left w:val="nil"/>
              <w:bottom w:val="nil"/>
              <w:right w:val="nil"/>
            </w:tcBorders>
            <w:shd w:val="clear" w:color="auto" w:fill="auto"/>
            <w:tcMar>
              <w:top w:w="60" w:type="dxa"/>
              <w:left w:w="120" w:type="dxa"/>
              <w:bottom w:w="60" w:type="dxa"/>
              <w:right w:w="120" w:type="dxa"/>
            </w:tcMar>
            <w:vAlign w:val="center"/>
            <w:hideMark/>
          </w:tcPr>
          <w:p w14:paraId="2CBA6C9E"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22.71</w:t>
            </w:r>
          </w:p>
        </w:tc>
      </w:tr>
      <w:tr w:rsidR="009B4E19" w:rsidRPr="009104A0" w14:paraId="2AD72184" w14:textId="77777777" w:rsidTr="005C14C4">
        <w:trPr>
          <w:trHeight w:val="452"/>
        </w:trPr>
        <w:tc>
          <w:tcPr>
            <w:tcW w:w="2952" w:type="dxa"/>
            <w:tcBorders>
              <w:top w:val="nil"/>
              <w:left w:val="nil"/>
              <w:bottom w:val="single" w:sz="8" w:space="0" w:color="000000"/>
              <w:right w:val="nil"/>
            </w:tcBorders>
            <w:shd w:val="clear" w:color="auto" w:fill="auto"/>
            <w:tcMar>
              <w:top w:w="60" w:type="dxa"/>
              <w:left w:w="120" w:type="dxa"/>
              <w:bottom w:w="60" w:type="dxa"/>
              <w:right w:w="120" w:type="dxa"/>
            </w:tcMar>
            <w:vAlign w:val="center"/>
            <w:hideMark/>
          </w:tcPr>
          <w:p w14:paraId="33E51659"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swinIR</w:t>
            </w:r>
          </w:p>
        </w:tc>
        <w:tc>
          <w:tcPr>
            <w:tcW w:w="938" w:type="dxa"/>
            <w:tcBorders>
              <w:top w:val="nil"/>
              <w:left w:val="nil"/>
              <w:bottom w:val="single" w:sz="8" w:space="0" w:color="000000"/>
              <w:right w:val="nil"/>
            </w:tcBorders>
            <w:shd w:val="clear" w:color="auto" w:fill="auto"/>
            <w:tcMar>
              <w:top w:w="60" w:type="dxa"/>
              <w:left w:w="120" w:type="dxa"/>
              <w:bottom w:w="60" w:type="dxa"/>
              <w:right w:w="120" w:type="dxa"/>
            </w:tcMar>
            <w:vAlign w:val="center"/>
            <w:hideMark/>
          </w:tcPr>
          <w:p w14:paraId="769719DD"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5.6235</w:t>
            </w:r>
          </w:p>
        </w:tc>
        <w:tc>
          <w:tcPr>
            <w:tcW w:w="938" w:type="dxa"/>
            <w:tcBorders>
              <w:top w:val="nil"/>
              <w:left w:val="nil"/>
              <w:bottom w:val="single" w:sz="8" w:space="0" w:color="000000"/>
              <w:right w:val="nil"/>
            </w:tcBorders>
            <w:shd w:val="clear" w:color="auto" w:fill="auto"/>
            <w:tcMar>
              <w:top w:w="60" w:type="dxa"/>
              <w:left w:w="120" w:type="dxa"/>
              <w:bottom w:w="60" w:type="dxa"/>
              <w:right w:w="120" w:type="dxa"/>
            </w:tcMar>
            <w:vAlign w:val="center"/>
            <w:hideMark/>
          </w:tcPr>
          <w:p w14:paraId="1DC822B5"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8.0753</w:t>
            </w:r>
          </w:p>
        </w:tc>
        <w:tc>
          <w:tcPr>
            <w:tcW w:w="938" w:type="dxa"/>
            <w:tcBorders>
              <w:top w:val="nil"/>
              <w:left w:val="nil"/>
              <w:bottom w:val="single" w:sz="8" w:space="0" w:color="000000"/>
              <w:right w:val="nil"/>
            </w:tcBorders>
            <w:shd w:val="clear" w:color="auto" w:fill="auto"/>
            <w:tcMar>
              <w:top w:w="60" w:type="dxa"/>
              <w:left w:w="120" w:type="dxa"/>
              <w:bottom w:w="60" w:type="dxa"/>
              <w:right w:w="120" w:type="dxa"/>
            </w:tcMar>
            <w:vAlign w:val="center"/>
            <w:hideMark/>
          </w:tcPr>
          <w:p w14:paraId="21E83121"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6.9864</w:t>
            </w:r>
          </w:p>
        </w:tc>
        <w:tc>
          <w:tcPr>
            <w:tcW w:w="1354" w:type="dxa"/>
            <w:tcBorders>
              <w:top w:val="nil"/>
              <w:left w:val="nil"/>
              <w:bottom w:val="single" w:sz="8" w:space="0" w:color="000000"/>
              <w:right w:val="nil"/>
            </w:tcBorders>
            <w:shd w:val="clear" w:color="auto" w:fill="auto"/>
            <w:tcMar>
              <w:top w:w="60" w:type="dxa"/>
              <w:left w:w="120" w:type="dxa"/>
              <w:bottom w:w="60" w:type="dxa"/>
              <w:right w:w="120" w:type="dxa"/>
            </w:tcMar>
            <w:vAlign w:val="center"/>
            <w:hideMark/>
          </w:tcPr>
          <w:p w14:paraId="63B17B61" w14:textId="77777777" w:rsidR="009B4E19" w:rsidRPr="009104A0" w:rsidRDefault="009B4E19" w:rsidP="00E672D0">
            <w:pPr>
              <w:jc w:val="center"/>
              <w:rPr>
                <w:rFonts w:ascii="Arial" w:eastAsia="宋体" w:hAnsi="Arial" w:cs="Arial"/>
                <w:sz w:val="36"/>
                <w:szCs w:val="36"/>
                <w:lang w:eastAsia="zh-CN"/>
              </w:rPr>
            </w:pPr>
            <w:r>
              <w:rPr>
                <w:color w:val="000000" w:themeColor="text1"/>
                <w:kern w:val="24"/>
                <w:sz w:val="20"/>
                <w:lang w:eastAsia="zh-CN"/>
              </w:rPr>
              <w:t>15.03</w:t>
            </w:r>
          </w:p>
        </w:tc>
      </w:tr>
    </w:tbl>
    <w:p w14:paraId="129AAF15" w14:textId="47A9B910" w:rsidR="005C14C4" w:rsidRDefault="005C14C4" w:rsidP="009B4E19">
      <w:pPr>
        <w:pStyle w:val="SMHeading"/>
        <w:jc w:val="both"/>
        <w:rPr>
          <w:sz w:val="21"/>
        </w:rPr>
      </w:pPr>
      <w:r>
        <w:rPr>
          <w:noProof/>
        </w:rPr>
        <w:drawing>
          <wp:inline distT="0" distB="0" distL="0" distR="0" wp14:anchorId="75A63AB5" wp14:editId="01E1E2E0">
            <wp:extent cx="4583927" cy="2511407"/>
            <wp:effectExtent l="0" t="0" r="7620" b="381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6">
                      <a:extLst>
                        <a:ext uri="{28A0092B-C50C-407E-A947-70E740481C1C}">
                          <a14:useLocalDpi xmlns:a14="http://schemas.microsoft.com/office/drawing/2010/main" val="0"/>
                        </a:ext>
                      </a:extLst>
                    </a:blip>
                    <a:srcRect/>
                    <a:stretch/>
                  </pic:blipFill>
                  <pic:spPr bwMode="auto">
                    <a:xfrm>
                      <a:off x="0" y="0"/>
                      <a:ext cx="4601085" cy="2520807"/>
                    </a:xfrm>
                    <a:prstGeom prst="rect">
                      <a:avLst/>
                    </a:prstGeom>
                    <a:noFill/>
                    <a:ln>
                      <a:noFill/>
                    </a:ln>
                    <a:extLst>
                      <a:ext uri="{53640926-AAD7-44D8-BBD7-CCE9431645EC}">
                        <a14:shadowObscured xmlns:a14="http://schemas.microsoft.com/office/drawing/2010/main"/>
                      </a:ext>
                    </a:extLst>
                  </pic:spPr>
                </pic:pic>
              </a:graphicData>
            </a:graphic>
          </wp:inline>
        </w:drawing>
      </w:r>
    </w:p>
    <w:p w14:paraId="1A2D804D" w14:textId="5EB2F62B" w:rsidR="009B4E19" w:rsidRPr="009B4E19" w:rsidRDefault="009B4E19" w:rsidP="009B4E19">
      <w:pPr>
        <w:pStyle w:val="SMHeading"/>
        <w:jc w:val="both"/>
        <w:rPr>
          <w:b w:val="0"/>
          <w:sz w:val="21"/>
        </w:rPr>
      </w:pPr>
      <w:r>
        <w:rPr>
          <w:sz w:val="21"/>
        </w:rPr>
        <w:t>Table S1.</w:t>
      </w:r>
      <w:r>
        <w:rPr>
          <w:b w:val="0"/>
          <w:sz w:val="21"/>
        </w:rPr>
        <w:t xml:space="preserve"> Absolute permeability calculated on the local sub-volume (125</w:t>
      </w:r>
      <w:r>
        <w:rPr>
          <w:b w:val="0"/>
          <w:sz w:val="21"/>
          <w:vertAlign w:val="superscript"/>
        </w:rPr>
        <w:t>3</w:t>
      </w:r>
      <w:r>
        <w:rPr>
          <w:b w:val="0"/>
          <w:sz w:val="21"/>
        </w:rPr>
        <w:t xml:space="preserve"> voxels; permeability values are reported in mD).</w:t>
      </w:r>
      <w:r>
        <w:t xml:space="preserve"> </w:t>
      </w:r>
      <w:r>
        <w:rPr>
          <w:b w:val="0"/>
          <w:sz w:val="21"/>
        </w:rPr>
        <w:t>Quantitative comparison of three-directional absolute permeability for the local region shown in Fig. 15 of the main text. Even at this local scale, Hy-MambaIR achieves a mean relative error (MRE) of 11.19%, outperforming the compared methods (e.g., RCAN: 15.71%, HAT: 15.16%). This confirms that the model reconstructs both macroscopic trends and local pore connectivity relevant to fluid transport.</w:t>
      </w:r>
    </w:p>
    <w:p w14:paraId="7B0609D3" w14:textId="502191C3" w:rsidR="00263FF1" w:rsidRPr="009C6760" w:rsidRDefault="00263FF1" w:rsidP="00263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Cs w:val="24"/>
        </w:rPr>
      </w:pPr>
    </w:p>
    <w:p w14:paraId="3776F910" w14:textId="77777777" w:rsidR="00B50CFA" w:rsidRDefault="00B50CFA" w:rsidP="00B50CFA">
      <w:pPr>
        <w:pStyle w:val="SMHeading"/>
        <w:jc w:val="center"/>
      </w:pPr>
      <w:r>
        <w:rPr>
          <w:noProof/>
        </w:rPr>
        <w:lastRenderedPageBreak/>
        <w:drawing>
          <wp:inline distT="0" distB="0" distL="0" distR="0" wp14:anchorId="1A21D689" wp14:editId="79B39FB2">
            <wp:extent cx="5585988" cy="167794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7">
                      <a:extLst>
                        <a:ext uri="{28A0092B-C50C-407E-A947-70E740481C1C}">
                          <a14:useLocalDpi xmlns:a14="http://schemas.microsoft.com/office/drawing/2010/main" val="0"/>
                        </a:ext>
                      </a:extLst>
                    </a:blip>
                    <a:srcRect/>
                    <a:stretch/>
                  </pic:blipFill>
                  <pic:spPr bwMode="auto">
                    <a:xfrm>
                      <a:off x="0" y="0"/>
                      <a:ext cx="5611509" cy="1685611"/>
                    </a:xfrm>
                    <a:prstGeom prst="rect">
                      <a:avLst/>
                    </a:prstGeom>
                    <a:noFill/>
                    <a:ln>
                      <a:noFill/>
                    </a:ln>
                    <a:extLst>
                      <a:ext uri="{53640926-AAD7-44D8-BBD7-CCE9431645EC}">
                        <a14:shadowObscured xmlns:a14="http://schemas.microsoft.com/office/drawing/2010/main"/>
                      </a:ext>
                    </a:extLst>
                  </pic:spPr>
                </pic:pic>
              </a:graphicData>
            </a:graphic>
          </wp:inline>
        </w:drawing>
      </w:r>
    </w:p>
    <w:p w14:paraId="075088CE" w14:textId="06653B16" w:rsidR="00B50CFA" w:rsidRPr="005C14C4" w:rsidRDefault="00263FF1" w:rsidP="005B725D">
      <w:pPr>
        <w:pStyle w:val="SMHeading"/>
        <w:jc w:val="both"/>
        <w:rPr>
          <w:b w:val="0"/>
          <w:sz w:val="21"/>
        </w:rPr>
      </w:pPr>
      <w:r>
        <w:rPr>
          <w:sz w:val="21"/>
        </w:rPr>
        <w:t xml:space="preserve">Figure S6. </w:t>
      </w:r>
      <w:r>
        <w:rPr>
          <w:b w:val="0"/>
          <w:sz w:val="21"/>
        </w:rPr>
        <w:t>Distributions of pore volume (Left) and throat length (Right). Hy-MambaIR (red line) closely tracks the HR distribution (dark blue square) across the entire range, validating its ability to recover both small and large pore geometries accurately.</w:t>
      </w:r>
    </w:p>
    <w:p w14:paraId="4C2061FF" w14:textId="5F068A1E" w:rsidR="00B50CFA" w:rsidRDefault="00B50CFA" w:rsidP="005B725D">
      <w:pPr>
        <w:pStyle w:val="SMHeading"/>
        <w:jc w:val="both"/>
        <w:rPr>
          <w:rFonts w:eastAsia="等线"/>
          <w:b w:val="0"/>
          <w:lang w:eastAsia="zh-CN"/>
        </w:rPr>
      </w:pPr>
      <w:r>
        <w:rPr>
          <w:rFonts w:eastAsia="等线"/>
          <w:b w:val="0"/>
          <w:noProof/>
          <w:lang w:eastAsia="zh-CN"/>
        </w:rPr>
        <w:drawing>
          <wp:inline distT="0" distB="0" distL="0" distR="0" wp14:anchorId="159661AD" wp14:editId="467DB145">
            <wp:extent cx="5801014" cy="1816873"/>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8">
                      <a:extLst>
                        <a:ext uri="{28A0092B-C50C-407E-A947-70E740481C1C}">
                          <a14:useLocalDpi xmlns:a14="http://schemas.microsoft.com/office/drawing/2010/main" val="0"/>
                        </a:ext>
                      </a:extLst>
                    </a:blip>
                    <a:srcRect/>
                    <a:stretch/>
                  </pic:blipFill>
                  <pic:spPr bwMode="auto">
                    <a:xfrm>
                      <a:off x="0" y="0"/>
                      <a:ext cx="5817085" cy="1821906"/>
                    </a:xfrm>
                    <a:prstGeom prst="rect">
                      <a:avLst/>
                    </a:prstGeom>
                    <a:noFill/>
                    <a:ln>
                      <a:noFill/>
                    </a:ln>
                    <a:extLst>
                      <a:ext uri="{53640926-AAD7-44D8-BBD7-CCE9431645EC}">
                        <a14:shadowObscured xmlns:a14="http://schemas.microsoft.com/office/drawing/2010/main"/>
                      </a:ext>
                    </a:extLst>
                  </pic:spPr>
                </pic:pic>
              </a:graphicData>
            </a:graphic>
          </wp:inline>
        </w:drawing>
      </w:r>
    </w:p>
    <w:p w14:paraId="5686F3D7" w14:textId="12455CFE" w:rsidR="00B50CFA" w:rsidRPr="005C14C4" w:rsidRDefault="00B50CFA" w:rsidP="00B50CFA">
      <w:pPr>
        <w:pStyle w:val="SMHeading"/>
        <w:jc w:val="both"/>
        <w:rPr>
          <w:rFonts w:eastAsia="等线"/>
          <w:b w:val="0"/>
          <w:sz w:val="21"/>
          <w:lang w:eastAsia="zh-CN"/>
        </w:rPr>
      </w:pPr>
      <w:r>
        <w:rPr>
          <w:sz w:val="21"/>
        </w:rPr>
        <w:t xml:space="preserve">Figure S7. </w:t>
      </w:r>
      <w:r>
        <w:rPr>
          <w:b w:val="0"/>
          <w:sz w:val="21"/>
          <w:lang w:eastAsia="zh-CN"/>
        </w:rPr>
        <w:t>Distributions of pore surface area (Left) and cross-sectional area (Right). The high overlap between Hy-MambaIR and HR curves confirms the preservation of complex morphological features, which is essential for accurate fluid-solid interaction simulations.</w:t>
      </w:r>
    </w:p>
    <w:p w14:paraId="18ED89E0" w14:textId="7EE88FAD" w:rsidR="00B50CFA" w:rsidRPr="009104A0" w:rsidRDefault="00B50CFA" w:rsidP="009104A0">
      <w:pPr>
        <w:pStyle w:val="SMcaption"/>
        <w:jc w:val="both"/>
        <w:rPr>
          <w:b/>
          <w:i/>
          <w:szCs w:val="24"/>
        </w:rPr>
      </w:pPr>
      <w:r>
        <w:rPr>
          <w:b/>
          <w:i/>
          <w:szCs w:val="24"/>
        </w:rPr>
        <w:br w:type="page"/>
      </w:r>
    </w:p>
    <w:p w14:paraId="4EDBCA03" w14:textId="139EA11A" w:rsidR="00B50CFA" w:rsidRDefault="00B50CFA" w:rsidP="005B725D">
      <w:pPr>
        <w:pStyle w:val="SMHeading"/>
        <w:jc w:val="both"/>
        <w:rPr>
          <w:rFonts w:eastAsia="等线"/>
          <w:b w:val="0"/>
          <w:lang w:eastAsia="zh-CN"/>
        </w:rPr>
      </w:pPr>
      <w:r>
        <w:rPr>
          <w:noProof/>
        </w:rPr>
        <w:lastRenderedPageBreak/>
        <w:drawing>
          <wp:inline distT="0" distB="0" distL="0" distR="0" wp14:anchorId="5B539816" wp14:editId="7047F569">
            <wp:extent cx="5498072" cy="3764943"/>
            <wp:effectExtent l="0" t="0" r="7620" b="698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9">
                      <a:extLst>
                        <a:ext uri="{28A0092B-C50C-407E-A947-70E740481C1C}">
                          <a14:useLocalDpi xmlns:a14="http://schemas.microsoft.com/office/drawing/2010/main" val="0"/>
                        </a:ext>
                      </a:extLst>
                    </a:blip>
                    <a:srcRect/>
                    <a:stretch/>
                  </pic:blipFill>
                  <pic:spPr bwMode="auto">
                    <a:xfrm>
                      <a:off x="0" y="0"/>
                      <a:ext cx="5506143" cy="3770470"/>
                    </a:xfrm>
                    <a:prstGeom prst="rect">
                      <a:avLst/>
                    </a:prstGeom>
                    <a:noFill/>
                    <a:ln>
                      <a:noFill/>
                    </a:ln>
                    <a:extLst>
                      <a:ext uri="{53640926-AAD7-44D8-BBD7-CCE9431645EC}">
                        <a14:shadowObscured xmlns:a14="http://schemas.microsoft.com/office/drawing/2010/main"/>
                      </a:ext>
                    </a:extLst>
                  </pic:spPr>
                </pic:pic>
              </a:graphicData>
            </a:graphic>
          </wp:inline>
        </w:drawing>
      </w:r>
    </w:p>
    <w:p w14:paraId="479721E9" w14:textId="5AEF7A41" w:rsidR="00B50CFA" w:rsidRDefault="00B50CFA" w:rsidP="005B725D">
      <w:pPr>
        <w:pStyle w:val="SMHeading"/>
        <w:jc w:val="both"/>
        <w:rPr>
          <w:rFonts w:eastAsia="等线"/>
          <w:b w:val="0"/>
          <w:lang w:eastAsia="zh-CN"/>
        </w:rPr>
      </w:pPr>
      <w:r>
        <w:rPr>
          <w:noProof/>
        </w:rPr>
        <w:drawing>
          <wp:inline distT="0" distB="0" distL="0" distR="0" wp14:anchorId="732B4B59" wp14:editId="54962B1B">
            <wp:extent cx="2519216" cy="158628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0">
                      <a:extLst>
                        <a:ext uri="{28A0092B-C50C-407E-A947-70E740481C1C}">
                          <a14:useLocalDpi xmlns:a14="http://schemas.microsoft.com/office/drawing/2010/main" val="0"/>
                        </a:ext>
                      </a:extLst>
                    </a:blip>
                    <a:srcRect/>
                    <a:stretch/>
                  </pic:blipFill>
                  <pic:spPr bwMode="auto">
                    <a:xfrm>
                      <a:off x="0" y="0"/>
                      <a:ext cx="2533340" cy="1595178"/>
                    </a:xfrm>
                    <a:prstGeom prst="rect">
                      <a:avLst/>
                    </a:prstGeom>
                    <a:noFill/>
                    <a:ln>
                      <a:noFill/>
                    </a:ln>
                    <a:extLst>
                      <a:ext uri="{53640926-AAD7-44D8-BBD7-CCE9431645EC}">
                        <a14:shadowObscured xmlns:a14="http://schemas.microsoft.com/office/drawing/2010/main"/>
                      </a:ext>
                    </a:extLst>
                  </pic:spPr>
                </pic:pic>
              </a:graphicData>
            </a:graphic>
          </wp:inline>
        </w:drawing>
      </w:r>
    </w:p>
    <w:p w14:paraId="1228A8B8" w14:textId="77777777" w:rsidR="00B50CFA" w:rsidRPr="005C14C4" w:rsidRDefault="00B50CFA" w:rsidP="005B725D">
      <w:pPr>
        <w:pStyle w:val="SMHeading"/>
        <w:jc w:val="both"/>
        <w:rPr>
          <w:rFonts w:eastAsia="等线"/>
          <w:b w:val="0"/>
          <w:sz w:val="21"/>
          <w:lang w:eastAsia="zh-CN"/>
        </w:rPr>
      </w:pPr>
      <w:r>
        <w:rPr>
          <w:sz w:val="21"/>
        </w:rPr>
        <w:t xml:space="preserve">Figure S8. </w:t>
      </w:r>
      <w:r>
        <w:rPr>
          <w:b w:val="0"/>
          <w:sz w:val="21"/>
          <w:lang w:eastAsia="zh-CN"/>
        </w:rPr>
        <w:t>Pore network parameters extracted by OpenPNM. The distributions of throat radius, throat length, and tortuosity derived from Hy-MambaIR align well with the HR reference. This demonstrates the robustness of our method across different pore network extraction algorithms.</w:t>
      </w:r>
    </w:p>
    <w:p w14:paraId="744FDDD5" w14:textId="1D7B1620" w:rsidR="008A0847" w:rsidRDefault="005B725D" w:rsidP="005B725D">
      <w:pPr>
        <w:pStyle w:val="SMcaption"/>
        <w:jc w:val="both"/>
        <w:rPr>
          <w:b/>
          <w:i/>
          <w:szCs w:val="24"/>
        </w:rPr>
      </w:pPr>
      <w:r>
        <w:rPr>
          <w:b/>
          <w:i/>
          <w:szCs w:val="24"/>
        </w:rPr>
        <w:br w:type="page"/>
      </w:r>
    </w:p>
    <w:p w14:paraId="010B5E9B" w14:textId="4E1B3CF5" w:rsidR="009104A0" w:rsidRDefault="009104A0" w:rsidP="009104A0">
      <w:pPr>
        <w:pStyle w:val="SMcaption"/>
        <w:jc w:val="both"/>
        <w:rPr>
          <w:b/>
        </w:rPr>
      </w:pPr>
      <w:r>
        <w:rPr>
          <w:b/>
        </w:rPr>
        <w:lastRenderedPageBreak/>
        <w:t>Section S4: Generalization and Transfer Learning Details</w:t>
      </w:r>
    </w:p>
    <w:p w14:paraId="5B633CF3" w14:textId="1939010B" w:rsidR="009104A0" w:rsidRPr="009104A0" w:rsidRDefault="009B4E19" w:rsidP="009104A0">
      <w:pPr>
        <w:pStyle w:val="SMcaption"/>
        <w:jc w:val="both"/>
        <w:rPr>
          <w:b/>
        </w:rPr>
      </w:pPr>
      <w:r>
        <w:rPr>
          <w:noProof/>
        </w:rPr>
        <w:drawing>
          <wp:inline distT="0" distB="0" distL="0" distR="0" wp14:anchorId="2F8633C7" wp14:editId="004A3C8D">
            <wp:extent cx="5463406" cy="3395207"/>
            <wp:effectExtent l="0" t="0" r="444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1">
                      <a:extLst>
                        <a:ext uri="{28A0092B-C50C-407E-A947-70E740481C1C}">
                          <a14:useLocalDpi xmlns:a14="http://schemas.microsoft.com/office/drawing/2010/main" val="0"/>
                        </a:ext>
                      </a:extLst>
                    </a:blip>
                    <a:srcRect/>
                    <a:stretch/>
                  </pic:blipFill>
                  <pic:spPr bwMode="auto">
                    <a:xfrm>
                      <a:off x="0" y="0"/>
                      <a:ext cx="5474607" cy="3402168"/>
                    </a:xfrm>
                    <a:prstGeom prst="rect">
                      <a:avLst/>
                    </a:prstGeom>
                    <a:noFill/>
                    <a:ln>
                      <a:noFill/>
                    </a:ln>
                    <a:extLst>
                      <a:ext uri="{53640926-AAD7-44D8-BBD7-CCE9431645EC}">
                        <a14:shadowObscured xmlns:a14="http://schemas.microsoft.com/office/drawing/2010/main"/>
                      </a:ext>
                    </a:extLst>
                  </pic:spPr>
                </pic:pic>
              </a:graphicData>
            </a:graphic>
          </wp:inline>
        </w:drawing>
      </w:r>
    </w:p>
    <w:p w14:paraId="73060EC0" w14:textId="4A70C972" w:rsidR="005C14C4" w:rsidRPr="005C14C4" w:rsidRDefault="009B4E19" w:rsidP="005C14C4">
      <w:pPr>
        <w:pStyle w:val="SMHeading"/>
        <w:jc w:val="both"/>
        <w:rPr>
          <w:b w:val="0"/>
          <w:sz w:val="21"/>
        </w:rPr>
      </w:pPr>
      <w:r>
        <w:rPr>
          <w:sz w:val="21"/>
        </w:rPr>
        <w:t>Figure S9.</w:t>
      </w:r>
      <w:r>
        <w:rPr>
          <w:b w:val="0"/>
          <w:sz w:val="21"/>
        </w:rPr>
        <w:t xml:space="preserve"> Physical property distributions for generalization test (Pore/Throat Size).</w:t>
      </w:r>
      <w:r>
        <w:rPr>
          <w:rFonts w:eastAsia="等线" w:hint="eastAsia"/>
          <w:b w:val="0"/>
          <w:sz w:val="21"/>
          <w:lang w:eastAsia="zh-CN"/>
        </w:rPr>
        <w:t xml:space="preserve"> </w:t>
      </w:r>
      <w:r>
        <w:rPr>
          <w:b w:val="0"/>
          <w:sz w:val="21"/>
        </w:rPr>
        <w:t>Comparison of throat radius, throat length, and pore radius on the pebbly sandstone dataset. The Fine-tuned model (purple line) aligns much better with the Ground Truth (blue line) than the Zero-Shot baseline (red dotted line), especially in the peak regions of the distributions.</w:t>
      </w:r>
    </w:p>
    <w:p w14:paraId="518DE532" w14:textId="184D73EE" w:rsidR="00D406FA" w:rsidRDefault="00D406FA" w:rsidP="008A0847">
      <w:pPr>
        <w:pStyle w:val="SMHeading"/>
        <w:keepNext w:val="0"/>
        <w:rPr>
          <w:b w:val="0"/>
        </w:rPr>
      </w:pPr>
    </w:p>
    <w:p w14:paraId="4B5DB5F0" w14:textId="1E808ADA" w:rsidR="005C14C4" w:rsidRPr="005C14C4" w:rsidRDefault="005C14C4" w:rsidP="005C14C4">
      <w:pPr>
        <w:rPr>
          <w:bCs/>
          <w:kern w:val="32"/>
          <w:szCs w:val="24"/>
        </w:rPr>
      </w:pPr>
      <w:r>
        <w:rPr>
          <w:b/>
        </w:rPr>
        <w:br w:type="page"/>
      </w:r>
    </w:p>
    <w:p w14:paraId="398EBB7E" w14:textId="5D20113C" w:rsidR="005C14C4" w:rsidRDefault="005C14C4" w:rsidP="008A0847">
      <w:pPr>
        <w:pStyle w:val="SMHeading"/>
        <w:keepNext w:val="0"/>
        <w:rPr>
          <w:b w:val="0"/>
        </w:rPr>
      </w:pPr>
      <w:r>
        <w:rPr>
          <w:b w:val="0"/>
          <w:noProof/>
        </w:rPr>
        <w:lastRenderedPageBreak/>
        <w:drawing>
          <wp:inline distT="0" distB="0" distL="0" distR="0" wp14:anchorId="421CD43E" wp14:editId="7D64C94C">
            <wp:extent cx="5486400" cy="3408247"/>
            <wp:effectExtent l="0" t="0" r="0" b="190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2">
                      <a:extLst>
                        <a:ext uri="{28A0092B-C50C-407E-A947-70E740481C1C}">
                          <a14:useLocalDpi xmlns:a14="http://schemas.microsoft.com/office/drawing/2010/main" val="0"/>
                        </a:ext>
                      </a:extLst>
                    </a:blip>
                    <a:srcRect/>
                    <a:stretch/>
                  </pic:blipFill>
                  <pic:spPr bwMode="auto">
                    <a:xfrm>
                      <a:off x="0" y="0"/>
                      <a:ext cx="5486400" cy="3408247"/>
                    </a:xfrm>
                    <a:prstGeom prst="rect">
                      <a:avLst/>
                    </a:prstGeom>
                    <a:noFill/>
                    <a:ln>
                      <a:noFill/>
                    </a:ln>
                    <a:extLst>
                      <a:ext uri="{53640926-AAD7-44D8-BBD7-CCE9431645EC}">
                        <a14:shadowObscured xmlns:a14="http://schemas.microsoft.com/office/drawing/2010/main"/>
                      </a:ext>
                    </a:extLst>
                  </pic:spPr>
                </pic:pic>
              </a:graphicData>
            </a:graphic>
          </wp:inline>
        </w:drawing>
      </w:r>
    </w:p>
    <w:p w14:paraId="2198A629" w14:textId="2CA222B5" w:rsidR="00BF13A3" w:rsidRDefault="005C14C4" w:rsidP="005C14C4">
      <w:pPr>
        <w:pStyle w:val="SMHeading"/>
        <w:jc w:val="both"/>
        <w:rPr>
          <w:b w:val="0"/>
          <w:sz w:val="21"/>
        </w:rPr>
      </w:pPr>
      <w:r>
        <w:rPr>
          <w:sz w:val="21"/>
        </w:rPr>
        <w:t>Figure S10.</w:t>
      </w:r>
      <w:r>
        <w:rPr>
          <w:b w:val="0"/>
          <w:sz w:val="21"/>
        </w:rPr>
        <w:t xml:space="preserve"> Physical property distributions for generalization test (Geometry). Distributions of surface area, volume, and coordination number. The results confirm that fine-tuning allows the model to adapt to the specific pore geometry of the new rock type.</w:t>
      </w:r>
    </w:p>
    <w:p w14:paraId="631A4CFF" w14:textId="77777777" w:rsidR="00BF13A3" w:rsidRPr="005C14C4" w:rsidRDefault="00BF13A3" w:rsidP="005C14C4">
      <w:pPr>
        <w:pStyle w:val="SMHeading"/>
        <w:jc w:val="both"/>
        <w:rPr>
          <w:b w:val="0"/>
          <w:sz w:val="21"/>
        </w:rPr>
      </w:pPr>
    </w:p>
    <w:tbl>
      <w:tblPr>
        <w:tblW w:w="8820" w:type="dxa"/>
        <w:tblCellMar>
          <w:left w:w="0" w:type="dxa"/>
          <w:right w:w="0" w:type="dxa"/>
        </w:tblCellMar>
        <w:tblLook w:val="0420" w:firstRow="1" w:lastRow="0" w:firstColumn="0" w:lastColumn="0" w:noHBand="0" w:noVBand="1"/>
      </w:tblPr>
      <w:tblGrid>
        <w:gridCol w:w="1451"/>
        <w:gridCol w:w="969"/>
        <w:gridCol w:w="1255"/>
        <w:gridCol w:w="749"/>
        <w:gridCol w:w="749"/>
        <w:gridCol w:w="750"/>
        <w:gridCol w:w="969"/>
        <w:gridCol w:w="1139"/>
        <w:gridCol w:w="789"/>
      </w:tblGrid>
      <w:tr w:rsidR="005C14C4" w:rsidRPr="005C14C4" w14:paraId="6FA23AAA" w14:textId="77777777" w:rsidTr="00BF13A3">
        <w:trPr>
          <w:trHeight w:val="229"/>
        </w:trPr>
        <w:tc>
          <w:tcPr>
            <w:tcW w:w="1451"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F816F0A"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Model</w:t>
            </w:r>
          </w:p>
        </w:tc>
        <w:tc>
          <w:tcPr>
            <w:tcW w:w="969"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38D8D61"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Porosity</w:t>
            </w:r>
          </w:p>
          <w:p w14:paraId="3875854D"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w:t>
            </w:r>
          </w:p>
        </w:tc>
        <w:tc>
          <w:tcPr>
            <w:tcW w:w="1255"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F87A441" w14:textId="77777777" w:rsidR="005C14C4" w:rsidRPr="005C14C4" w:rsidRDefault="005C14C4" w:rsidP="005C14C4">
            <w:pPr>
              <w:jc w:val="center"/>
              <w:rPr>
                <w:rFonts w:ascii="Arial" w:eastAsia="宋体" w:hAnsi="Arial" w:cs="Arial"/>
                <w:sz w:val="36"/>
                <w:szCs w:val="36"/>
                <w:lang w:eastAsia="zh-CN"/>
              </w:rPr>
            </w:pPr>
            <w:r>
              <w:rPr>
                <w:rFonts w:ascii="Cambria" w:eastAsia="Cambria" w:hAnsi="Cambria"/>
                <w:i/>
                <w:iCs/>
                <w:color w:val="000000" w:themeColor="text1"/>
                <w:kern w:val="24"/>
                <w:sz w:val="20"/>
                <w:lang w:val="el-GR" w:eastAsia="zh-CN"/>
              </w:rPr>
              <w:t>χ</w:t>
            </w:r>
            <w:r>
              <w:rPr>
                <w:rFonts w:ascii="Cambria" w:eastAsia="Cambria" w:hAnsi="Cambria"/>
                <w:i/>
                <w:iCs/>
                <w:color w:val="000000" w:themeColor="text1"/>
                <w:kern w:val="24"/>
                <w:position w:val="-5"/>
                <w:sz w:val="20"/>
                <w:vertAlign w:val="subscript"/>
                <w:lang w:eastAsia="zh-CN"/>
              </w:rPr>
              <w:t>v</w:t>
            </w:r>
            <w:r>
              <w:rPr>
                <w:rFonts w:ascii="Cambria" w:eastAsia="Cambria" w:hAnsi="Cambria"/>
                <w:i/>
                <w:iCs/>
                <w:color w:val="000000" w:themeColor="text1"/>
                <w:kern w:val="24"/>
                <w:position w:val="-5"/>
                <w:sz w:val="20"/>
                <w:vertAlign w:val="subscript"/>
                <w:lang w:val="el-GR" w:eastAsia="zh-CN"/>
              </w:rPr>
              <w:t xml:space="preserve"> </w:t>
            </w:r>
          </w:p>
          <w:p w14:paraId="61B51DD0" w14:textId="77777777" w:rsidR="005C14C4" w:rsidRPr="005C14C4" w:rsidRDefault="005C14C4" w:rsidP="005C14C4">
            <w:pPr>
              <w:jc w:val="center"/>
              <w:rPr>
                <w:rFonts w:ascii="Arial" w:eastAsia="宋体" w:hAnsi="Arial" w:cs="Arial"/>
                <w:sz w:val="36"/>
                <w:szCs w:val="36"/>
                <w:lang w:eastAsia="zh-CN"/>
              </w:rPr>
            </w:pPr>
            <w:r>
              <w:rPr>
                <w:rFonts w:ascii="宋体" w:eastAsia="宋体" w:hAnsi="宋体" w:cs="宋体"/>
                <w:b/>
                <w:bCs/>
                <w:color w:val="000000" w:themeColor="text1"/>
                <w:kern w:val="24"/>
                <w:sz w:val="20"/>
                <w:lang w:eastAsia="zh-CN"/>
              </w:rPr>
              <w:t>（</w:t>
            </w:r>
            <w:r>
              <w:rPr>
                <w:rFonts w:eastAsia="Cambria" w:hAnsi="Cambria"/>
                <w:color w:val="000000" w:themeColor="text1"/>
                <w:kern w:val="24"/>
                <w:sz w:val="20"/>
                <w:lang w:val="el-GR" w:eastAsia="zh-CN"/>
              </w:rPr>
              <w:t>× 10</w:t>
            </w:r>
            <w:r>
              <w:rPr>
                <w:rFonts w:eastAsia="Cambria"/>
                <w:color w:val="000000" w:themeColor="text1"/>
                <w:kern w:val="24"/>
                <w:position w:val="6"/>
                <w:sz w:val="20"/>
                <w:vertAlign w:val="superscript"/>
                <w:lang w:val="el-GR" w:eastAsia="zh-CN"/>
              </w:rPr>
              <w:t xml:space="preserve">−6 </w:t>
            </w:r>
            <w:r>
              <w:rPr>
                <w:rFonts w:eastAsia="Cambria"/>
                <w:color w:val="000000" w:themeColor="text1"/>
                <w:kern w:val="24"/>
                <w:sz w:val="20"/>
                <w:lang w:val="el-GR" w:eastAsia="zh-CN"/>
              </w:rPr>
              <w:t>μ</w:t>
            </w:r>
            <w:r>
              <w:rPr>
                <w:rFonts w:eastAsia="Cambria"/>
                <w:color w:val="000000" w:themeColor="text1"/>
                <w:kern w:val="24"/>
                <w:sz w:val="20"/>
                <w:lang w:eastAsia="zh-CN"/>
              </w:rPr>
              <w:t>m</w:t>
            </w:r>
            <w:r>
              <w:rPr>
                <w:rFonts w:eastAsia="Cambria"/>
                <w:color w:val="000000" w:themeColor="text1"/>
                <w:kern w:val="24"/>
                <w:position w:val="6"/>
                <w:sz w:val="20"/>
                <w:vertAlign w:val="superscript"/>
                <w:lang w:eastAsia="zh-CN"/>
              </w:rPr>
              <w:t>−3</w:t>
            </w:r>
            <w:r>
              <w:rPr>
                <w:rFonts w:ascii="宋体" w:eastAsia="宋体" w:hAnsi="宋体" w:cs="宋体"/>
                <w:color w:val="000000" w:themeColor="text1"/>
                <w:kern w:val="24"/>
                <w:sz w:val="20"/>
                <w:lang w:eastAsia="zh-CN"/>
              </w:rPr>
              <w:t>）</w:t>
            </w:r>
            <w:r>
              <w:rPr>
                <w:rFonts w:eastAsia="宋体"/>
                <w:color w:val="000000" w:themeColor="text1"/>
                <w:kern w:val="24"/>
                <w:sz w:val="20"/>
                <w:lang w:eastAsia="zh-CN"/>
              </w:rPr>
              <w:t xml:space="preserve"> </w:t>
            </w:r>
          </w:p>
        </w:tc>
        <w:tc>
          <w:tcPr>
            <w:tcW w:w="2248" w:type="dxa"/>
            <w:gridSpan w:val="3"/>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C45AA59"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Permeability (D)</w:t>
            </w:r>
          </w:p>
        </w:tc>
        <w:tc>
          <w:tcPr>
            <w:tcW w:w="969"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7A506DB"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MRE(k) (%)</w:t>
            </w:r>
          </w:p>
        </w:tc>
        <w:tc>
          <w:tcPr>
            <w:tcW w:w="1139"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104B00A"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Tortuosity</w:t>
            </w:r>
          </w:p>
          <w:p w14:paraId="1BE2371E"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(Mean)</w:t>
            </w:r>
          </w:p>
        </w:tc>
        <w:tc>
          <w:tcPr>
            <w:tcW w:w="789"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0693850"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Path Count</w:t>
            </w:r>
          </w:p>
        </w:tc>
      </w:tr>
      <w:tr w:rsidR="00BF13A3" w:rsidRPr="005C14C4" w14:paraId="35B04858" w14:textId="77777777" w:rsidTr="00BF13A3">
        <w:trPr>
          <w:trHeight w:val="399"/>
        </w:trPr>
        <w:tc>
          <w:tcPr>
            <w:tcW w:w="1451" w:type="dxa"/>
            <w:vMerge/>
            <w:tcBorders>
              <w:top w:val="single" w:sz="8" w:space="0" w:color="000000"/>
              <w:left w:val="nil"/>
              <w:bottom w:val="single" w:sz="8" w:space="0" w:color="000000"/>
              <w:right w:val="nil"/>
            </w:tcBorders>
            <w:vAlign w:val="center"/>
            <w:hideMark/>
          </w:tcPr>
          <w:p w14:paraId="3DB17149" w14:textId="77777777" w:rsidR="005C14C4" w:rsidRPr="005C14C4" w:rsidRDefault="005C14C4" w:rsidP="005C14C4">
            <w:pPr>
              <w:rPr>
                <w:rFonts w:ascii="Arial" w:eastAsia="宋体" w:hAnsi="Arial" w:cs="Arial"/>
                <w:sz w:val="36"/>
                <w:szCs w:val="36"/>
                <w:lang w:eastAsia="zh-CN"/>
              </w:rPr>
            </w:pPr>
          </w:p>
        </w:tc>
        <w:tc>
          <w:tcPr>
            <w:tcW w:w="969" w:type="dxa"/>
            <w:vMerge/>
            <w:tcBorders>
              <w:top w:val="single" w:sz="8" w:space="0" w:color="000000"/>
              <w:left w:val="nil"/>
              <w:bottom w:val="single" w:sz="8" w:space="0" w:color="000000"/>
              <w:right w:val="nil"/>
            </w:tcBorders>
            <w:vAlign w:val="center"/>
            <w:hideMark/>
          </w:tcPr>
          <w:p w14:paraId="5B53DC27" w14:textId="77777777" w:rsidR="005C14C4" w:rsidRPr="005C14C4" w:rsidRDefault="005C14C4" w:rsidP="005C14C4">
            <w:pPr>
              <w:rPr>
                <w:rFonts w:ascii="Arial" w:eastAsia="宋体" w:hAnsi="Arial" w:cs="Arial"/>
                <w:sz w:val="36"/>
                <w:szCs w:val="36"/>
                <w:lang w:eastAsia="zh-CN"/>
              </w:rPr>
            </w:pPr>
          </w:p>
        </w:tc>
        <w:tc>
          <w:tcPr>
            <w:tcW w:w="0" w:type="auto"/>
            <w:vMerge/>
            <w:tcBorders>
              <w:top w:val="single" w:sz="8" w:space="0" w:color="000000"/>
              <w:left w:val="nil"/>
              <w:bottom w:val="single" w:sz="8" w:space="0" w:color="000000"/>
              <w:right w:val="nil"/>
            </w:tcBorders>
            <w:vAlign w:val="center"/>
            <w:hideMark/>
          </w:tcPr>
          <w:p w14:paraId="3B31ADD1" w14:textId="77777777" w:rsidR="005C14C4" w:rsidRPr="005C14C4" w:rsidRDefault="005C14C4" w:rsidP="005C14C4">
            <w:pPr>
              <w:rPr>
                <w:rFonts w:ascii="Arial" w:eastAsia="宋体" w:hAnsi="Arial" w:cs="Arial"/>
                <w:sz w:val="36"/>
                <w:szCs w:val="36"/>
                <w:lang w:eastAsia="zh-CN"/>
              </w:rPr>
            </w:pPr>
          </w:p>
        </w:tc>
        <w:tc>
          <w:tcPr>
            <w:tcW w:w="74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BE6091B" w14:textId="77777777" w:rsidR="005C14C4" w:rsidRPr="005C14C4" w:rsidRDefault="005C14C4" w:rsidP="005C14C4">
            <w:pPr>
              <w:jc w:val="center"/>
              <w:rPr>
                <w:rFonts w:ascii="Arial" w:eastAsia="宋体" w:hAnsi="Arial" w:cs="Arial"/>
                <w:sz w:val="36"/>
                <w:szCs w:val="36"/>
                <w:lang w:eastAsia="zh-CN"/>
              </w:rPr>
            </w:pPr>
            <w:r>
              <w:rPr>
                <w:rFonts w:ascii="Cambria" w:eastAsia="Cambria" w:hAnsi="Cambria" w:cs="Calibri"/>
                <w:i/>
                <w:iCs/>
                <w:color w:val="1F1F1F"/>
                <w:kern w:val="24"/>
                <w:sz w:val="20"/>
                <w:lang w:eastAsia="zh-CN"/>
              </w:rPr>
              <w:t>k</w:t>
            </w:r>
            <w:r>
              <w:rPr>
                <w:rFonts w:ascii="Cambria" w:eastAsia="Cambria" w:hAnsi="Cambria" w:cs="Calibri"/>
                <w:i/>
                <w:iCs/>
                <w:color w:val="1F1F1F"/>
                <w:kern w:val="24"/>
                <w:position w:val="-5"/>
                <w:sz w:val="20"/>
                <w:vertAlign w:val="subscript"/>
                <w:lang w:eastAsia="zh-CN"/>
              </w:rPr>
              <w:t>x</w:t>
            </w:r>
          </w:p>
        </w:tc>
        <w:tc>
          <w:tcPr>
            <w:tcW w:w="74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2F85D60" w14:textId="77777777" w:rsidR="005C14C4" w:rsidRPr="005C14C4" w:rsidRDefault="005C14C4" w:rsidP="005C14C4">
            <w:pPr>
              <w:jc w:val="center"/>
              <w:rPr>
                <w:rFonts w:ascii="Arial" w:eastAsia="宋体" w:hAnsi="Arial" w:cs="Arial"/>
                <w:sz w:val="36"/>
                <w:szCs w:val="36"/>
                <w:lang w:eastAsia="zh-CN"/>
              </w:rPr>
            </w:pPr>
            <w:r>
              <w:rPr>
                <w:rFonts w:ascii="Cambria" w:eastAsia="Cambria" w:hAnsi="Cambria" w:cs="Calibri"/>
                <w:i/>
                <w:iCs/>
                <w:color w:val="1F1F1F"/>
                <w:kern w:val="24"/>
                <w:sz w:val="20"/>
                <w:lang w:eastAsia="zh-CN"/>
              </w:rPr>
              <w:t>k</w:t>
            </w:r>
            <w:r>
              <w:rPr>
                <w:rFonts w:ascii="Cambria" w:eastAsia="Cambria" w:hAnsi="Cambria" w:cs="Calibri"/>
                <w:i/>
                <w:iCs/>
                <w:color w:val="1F1F1F"/>
                <w:kern w:val="24"/>
                <w:position w:val="-5"/>
                <w:sz w:val="20"/>
                <w:vertAlign w:val="subscript"/>
                <w:lang w:eastAsia="zh-CN"/>
              </w:rPr>
              <w:t>y</w:t>
            </w:r>
          </w:p>
        </w:tc>
        <w:tc>
          <w:tcPr>
            <w:tcW w:w="7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D22FC6C" w14:textId="77777777" w:rsidR="005C14C4" w:rsidRPr="005C14C4" w:rsidRDefault="005C14C4" w:rsidP="005C14C4">
            <w:pPr>
              <w:jc w:val="center"/>
              <w:rPr>
                <w:rFonts w:ascii="Arial" w:eastAsia="宋体" w:hAnsi="Arial" w:cs="Arial"/>
                <w:sz w:val="36"/>
                <w:szCs w:val="36"/>
                <w:lang w:eastAsia="zh-CN"/>
              </w:rPr>
            </w:pPr>
            <w:r>
              <w:rPr>
                <w:rFonts w:ascii="Cambria" w:eastAsia="Cambria" w:hAnsi="Cambria" w:cs="Calibri"/>
                <w:i/>
                <w:iCs/>
                <w:color w:val="1F1F1F"/>
                <w:kern w:val="24"/>
                <w:sz w:val="20"/>
                <w:lang w:eastAsia="zh-CN"/>
              </w:rPr>
              <w:t>k</w:t>
            </w:r>
            <w:r>
              <w:rPr>
                <w:rFonts w:ascii="Cambria" w:eastAsia="Cambria" w:hAnsi="Cambria" w:cs="Calibri"/>
                <w:i/>
                <w:iCs/>
                <w:color w:val="1F1F1F"/>
                <w:kern w:val="24"/>
                <w:position w:val="-5"/>
                <w:sz w:val="20"/>
                <w:vertAlign w:val="subscript"/>
                <w:lang w:eastAsia="zh-CN"/>
              </w:rPr>
              <w:t>z</w:t>
            </w:r>
          </w:p>
        </w:tc>
        <w:tc>
          <w:tcPr>
            <w:tcW w:w="0" w:type="auto"/>
            <w:vMerge/>
            <w:tcBorders>
              <w:top w:val="single" w:sz="8" w:space="0" w:color="000000"/>
              <w:left w:val="nil"/>
              <w:bottom w:val="single" w:sz="8" w:space="0" w:color="000000"/>
              <w:right w:val="nil"/>
            </w:tcBorders>
            <w:vAlign w:val="center"/>
            <w:hideMark/>
          </w:tcPr>
          <w:p w14:paraId="523A9F30" w14:textId="77777777" w:rsidR="005C14C4" w:rsidRPr="005C14C4" w:rsidRDefault="005C14C4" w:rsidP="005C14C4">
            <w:pPr>
              <w:rPr>
                <w:rFonts w:ascii="Arial" w:eastAsia="宋体" w:hAnsi="Arial" w:cs="Arial"/>
                <w:sz w:val="36"/>
                <w:szCs w:val="36"/>
                <w:lang w:eastAsia="zh-CN"/>
              </w:rPr>
            </w:pPr>
          </w:p>
        </w:tc>
        <w:tc>
          <w:tcPr>
            <w:tcW w:w="0" w:type="auto"/>
            <w:vMerge/>
            <w:tcBorders>
              <w:top w:val="single" w:sz="8" w:space="0" w:color="000000"/>
              <w:left w:val="nil"/>
              <w:bottom w:val="single" w:sz="8" w:space="0" w:color="000000"/>
              <w:right w:val="nil"/>
            </w:tcBorders>
            <w:vAlign w:val="center"/>
            <w:hideMark/>
          </w:tcPr>
          <w:p w14:paraId="2DF9DA1E" w14:textId="77777777" w:rsidR="005C14C4" w:rsidRPr="005C14C4" w:rsidRDefault="005C14C4" w:rsidP="005C14C4">
            <w:pPr>
              <w:rPr>
                <w:rFonts w:ascii="Arial" w:eastAsia="宋体" w:hAnsi="Arial" w:cs="Arial"/>
                <w:sz w:val="36"/>
                <w:szCs w:val="36"/>
                <w:lang w:eastAsia="zh-CN"/>
              </w:rPr>
            </w:pPr>
          </w:p>
        </w:tc>
        <w:tc>
          <w:tcPr>
            <w:tcW w:w="0" w:type="auto"/>
            <w:vMerge/>
            <w:tcBorders>
              <w:top w:val="single" w:sz="8" w:space="0" w:color="000000"/>
              <w:left w:val="nil"/>
              <w:bottom w:val="single" w:sz="8" w:space="0" w:color="000000"/>
              <w:right w:val="nil"/>
            </w:tcBorders>
            <w:vAlign w:val="center"/>
            <w:hideMark/>
          </w:tcPr>
          <w:p w14:paraId="65317708" w14:textId="77777777" w:rsidR="005C14C4" w:rsidRPr="005C14C4" w:rsidRDefault="005C14C4" w:rsidP="005C14C4">
            <w:pPr>
              <w:rPr>
                <w:rFonts w:ascii="Arial" w:eastAsia="宋体" w:hAnsi="Arial" w:cs="Arial"/>
                <w:sz w:val="36"/>
                <w:szCs w:val="36"/>
                <w:lang w:eastAsia="zh-CN"/>
              </w:rPr>
            </w:pPr>
          </w:p>
        </w:tc>
      </w:tr>
      <w:tr w:rsidR="00BF13A3" w:rsidRPr="005C14C4" w14:paraId="1210AD19" w14:textId="77777777" w:rsidTr="00BF13A3">
        <w:trPr>
          <w:trHeight w:val="315"/>
        </w:trPr>
        <w:tc>
          <w:tcPr>
            <w:tcW w:w="1451"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6D43B06"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Bicubic</w:t>
            </w:r>
          </w:p>
        </w:tc>
        <w:tc>
          <w:tcPr>
            <w:tcW w:w="96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6E933F7"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21.73</w:t>
            </w:r>
          </w:p>
        </w:tc>
        <w:tc>
          <w:tcPr>
            <w:tcW w:w="1255"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B7B5BF4" w14:textId="4250CB0B"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noBreakHyphen/>
              <w:t>2.03 </w:t>
            </w:r>
            <w:r>
              <w:rPr>
                <w:rFonts w:eastAsia="宋体"/>
                <w:color w:val="000000" w:themeColor="text1"/>
                <w:kern w:val="24"/>
                <w:sz w:val="20"/>
                <w:lang w:val="el-GR" w:eastAsia="zh-CN"/>
              </w:rPr>
              <w:t> ×</w:t>
            </w:r>
            <w:r>
              <w:rPr>
                <w:rFonts w:eastAsia="Cambria"/>
                <w:color w:val="000000" w:themeColor="text1"/>
                <w:kern w:val="24"/>
                <w:sz w:val="20"/>
                <w:lang w:val="el-GR" w:eastAsia="zh-CN"/>
              </w:rPr>
              <w:t>10</w:t>
            </w:r>
            <w:r>
              <w:rPr>
                <w:rFonts w:eastAsia="Cambria"/>
                <w:color w:val="000000" w:themeColor="text1"/>
                <w:kern w:val="24"/>
                <w:position w:val="6"/>
                <w:sz w:val="20"/>
                <w:vertAlign w:val="superscript"/>
                <w:lang w:val="el-GR" w:eastAsia="zh-CN"/>
              </w:rPr>
              <w:t>−</w:t>
            </w:r>
            <w:r>
              <w:rPr>
                <w:rFonts w:eastAsia="Cambria"/>
                <w:color w:val="000000" w:themeColor="text1"/>
                <w:kern w:val="24"/>
                <w:position w:val="6"/>
                <w:sz w:val="20"/>
                <w:vertAlign w:val="superscript"/>
                <w:lang w:eastAsia="zh-CN"/>
              </w:rPr>
              <w:t>6</w:t>
            </w:r>
            <w:r>
              <w:rPr>
                <w:rFonts w:eastAsia="Cambria"/>
                <w:color w:val="000000" w:themeColor="text1"/>
                <w:kern w:val="24"/>
                <w:position w:val="6"/>
                <w:sz w:val="20"/>
                <w:vertAlign w:val="superscript"/>
                <w:lang w:val="el-GR" w:eastAsia="zh-CN"/>
              </w:rPr>
              <w:t xml:space="preserve"> </w:t>
            </w:r>
          </w:p>
        </w:tc>
        <w:tc>
          <w:tcPr>
            <w:tcW w:w="74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6837595"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7.542</w:t>
            </w:r>
          </w:p>
        </w:tc>
        <w:tc>
          <w:tcPr>
            <w:tcW w:w="74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C42BC15"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dark1"/>
                <w:kern w:val="24"/>
                <w:sz w:val="20"/>
                <w:lang w:eastAsia="zh-CN"/>
              </w:rPr>
              <w:t>8.027</w:t>
            </w:r>
          </w:p>
        </w:tc>
        <w:tc>
          <w:tcPr>
            <w:tcW w:w="750"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7363B21"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dark1"/>
                <w:kern w:val="24"/>
                <w:sz w:val="20"/>
                <w:lang w:eastAsia="zh-CN"/>
              </w:rPr>
              <w:t>5.372</w:t>
            </w:r>
          </w:p>
        </w:tc>
        <w:tc>
          <w:tcPr>
            <w:tcW w:w="96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6876875"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dark1"/>
                <w:kern w:val="24"/>
                <w:sz w:val="20"/>
                <w:lang w:eastAsia="zh-CN"/>
              </w:rPr>
              <w:t>101.24</w:t>
            </w:r>
          </w:p>
        </w:tc>
        <w:tc>
          <w:tcPr>
            <w:tcW w:w="113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3BF39EE"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1.32</w:t>
            </w:r>
          </w:p>
        </w:tc>
        <w:tc>
          <w:tcPr>
            <w:tcW w:w="789"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A1E28D2"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169</w:t>
            </w:r>
          </w:p>
        </w:tc>
      </w:tr>
      <w:tr w:rsidR="00BF13A3" w:rsidRPr="005C14C4" w14:paraId="1B2123BE" w14:textId="77777777" w:rsidTr="00BF13A3">
        <w:trPr>
          <w:trHeight w:val="304"/>
        </w:trPr>
        <w:tc>
          <w:tcPr>
            <w:tcW w:w="1451" w:type="dxa"/>
            <w:tcBorders>
              <w:top w:val="nil"/>
              <w:left w:val="nil"/>
              <w:bottom w:val="nil"/>
              <w:right w:val="nil"/>
            </w:tcBorders>
            <w:shd w:val="clear" w:color="auto" w:fill="auto"/>
            <w:tcMar>
              <w:top w:w="72" w:type="dxa"/>
              <w:left w:w="144" w:type="dxa"/>
              <w:bottom w:w="72" w:type="dxa"/>
              <w:right w:w="144" w:type="dxa"/>
            </w:tcMar>
            <w:vAlign w:val="center"/>
            <w:hideMark/>
          </w:tcPr>
          <w:p w14:paraId="24CD6363"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Hy</w:t>
              <w:noBreakHyphen/>
              <w:t>MambaIR (Zero</w:t>
              <w:noBreakHyphen/>
              <w:t xml:space="preserve">Shot) </w:t>
            </w:r>
          </w:p>
        </w:tc>
        <w:tc>
          <w:tcPr>
            <w:tcW w:w="969" w:type="dxa"/>
            <w:tcBorders>
              <w:top w:val="nil"/>
              <w:left w:val="nil"/>
              <w:bottom w:val="nil"/>
              <w:right w:val="nil"/>
            </w:tcBorders>
            <w:shd w:val="clear" w:color="auto" w:fill="auto"/>
            <w:tcMar>
              <w:top w:w="72" w:type="dxa"/>
              <w:left w:w="144" w:type="dxa"/>
              <w:bottom w:w="72" w:type="dxa"/>
              <w:right w:w="144" w:type="dxa"/>
            </w:tcMar>
            <w:vAlign w:val="center"/>
            <w:hideMark/>
          </w:tcPr>
          <w:p w14:paraId="766A957E"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17.39</w:t>
            </w:r>
          </w:p>
        </w:tc>
        <w:tc>
          <w:tcPr>
            <w:tcW w:w="1255" w:type="dxa"/>
            <w:tcBorders>
              <w:top w:val="nil"/>
              <w:left w:val="nil"/>
              <w:bottom w:val="nil"/>
              <w:right w:val="nil"/>
            </w:tcBorders>
            <w:shd w:val="clear" w:color="auto" w:fill="auto"/>
            <w:tcMar>
              <w:top w:w="72" w:type="dxa"/>
              <w:left w:w="144" w:type="dxa"/>
              <w:bottom w:w="72" w:type="dxa"/>
              <w:right w:w="144" w:type="dxa"/>
            </w:tcMar>
            <w:vAlign w:val="center"/>
            <w:hideMark/>
          </w:tcPr>
          <w:p w14:paraId="71F5FC61" w14:textId="308A2C2E"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noBreakHyphen/>
              <w:t>1.62 </w:t>
            </w:r>
            <w:r>
              <w:rPr>
                <w:rFonts w:eastAsia="宋体"/>
                <w:color w:val="000000" w:themeColor="text1"/>
                <w:kern w:val="24"/>
                <w:sz w:val="20"/>
                <w:lang w:val="el-GR" w:eastAsia="zh-CN"/>
              </w:rPr>
              <w:t> ×</w:t>
            </w:r>
            <w:r>
              <w:rPr>
                <w:rFonts w:eastAsia="Cambria"/>
                <w:color w:val="000000" w:themeColor="text1"/>
                <w:kern w:val="24"/>
                <w:sz w:val="20"/>
                <w:lang w:val="el-GR" w:eastAsia="zh-CN"/>
              </w:rPr>
              <w:t>10</w:t>
            </w:r>
            <w:r>
              <w:rPr>
                <w:rFonts w:eastAsia="Cambria"/>
                <w:color w:val="000000" w:themeColor="text1"/>
                <w:kern w:val="24"/>
                <w:position w:val="6"/>
                <w:sz w:val="20"/>
                <w:vertAlign w:val="superscript"/>
                <w:lang w:val="el-GR" w:eastAsia="zh-CN"/>
              </w:rPr>
              <w:t>−</w:t>
            </w:r>
            <w:r>
              <w:rPr>
                <w:rFonts w:eastAsia="Cambria"/>
                <w:color w:val="000000" w:themeColor="text1"/>
                <w:kern w:val="24"/>
                <w:position w:val="6"/>
                <w:sz w:val="20"/>
                <w:vertAlign w:val="superscript"/>
                <w:lang w:eastAsia="zh-CN"/>
              </w:rPr>
              <w:t>6</w:t>
            </w:r>
            <w:r>
              <w:rPr>
                <w:rFonts w:eastAsia="Cambria"/>
                <w:color w:val="000000" w:themeColor="text1"/>
                <w:kern w:val="24"/>
                <w:position w:val="6"/>
                <w:sz w:val="20"/>
                <w:vertAlign w:val="superscript"/>
                <w:lang w:val="el-GR" w:eastAsia="zh-CN"/>
              </w:rPr>
              <w:t xml:space="preserve"> </w:t>
            </w:r>
          </w:p>
        </w:tc>
        <w:tc>
          <w:tcPr>
            <w:tcW w:w="749" w:type="dxa"/>
            <w:tcBorders>
              <w:top w:val="nil"/>
              <w:left w:val="nil"/>
              <w:bottom w:val="nil"/>
              <w:right w:val="nil"/>
            </w:tcBorders>
            <w:shd w:val="clear" w:color="auto" w:fill="auto"/>
            <w:tcMar>
              <w:top w:w="72" w:type="dxa"/>
              <w:left w:w="144" w:type="dxa"/>
              <w:bottom w:w="72" w:type="dxa"/>
              <w:right w:w="144" w:type="dxa"/>
            </w:tcMar>
            <w:vAlign w:val="center"/>
            <w:hideMark/>
          </w:tcPr>
          <w:p w14:paraId="04E00DF4"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4.393</w:t>
            </w:r>
          </w:p>
        </w:tc>
        <w:tc>
          <w:tcPr>
            <w:tcW w:w="749" w:type="dxa"/>
            <w:tcBorders>
              <w:top w:val="nil"/>
              <w:left w:val="nil"/>
              <w:bottom w:val="nil"/>
              <w:right w:val="nil"/>
            </w:tcBorders>
            <w:shd w:val="clear" w:color="auto" w:fill="auto"/>
            <w:tcMar>
              <w:top w:w="72" w:type="dxa"/>
              <w:left w:w="144" w:type="dxa"/>
              <w:bottom w:w="72" w:type="dxa"/>
              <w:right w:w="144" w:type="dxa"/>
            </w:tcMar>
            <w:vAlign w:val="center"/>
            <w:hideMark/>
          </w:tcPr>
          <w:p w14:paraId="2283EEBB" w14:textId="77777777" w:rsidR="005C14C4" w:rsidRPr="005C14C4" w:rsidRDefault="005C14C4" w:rsidP="005C14C4">
            <w:pPr>
              <w:jc w:val="center"/>
              <w:rPr>
                <w:rFonts w:ascii="Arial" w:eastAsia="宋体" w:hAnsi="Arial" w:cs="Arial"/>
                <w:sz w:val="36"/>
                <w:szCs w:val="36"/>
                <w:lang w:eastAsia="zh-CN"/>
              </w:rPr>
            </w:pPr>
            <w:r>
              <w:rPr>
                <w:color w:val="000000"/>
                <w:kern w:val="24"/>
                <w:sz w:val="20"/>
                <w:lang w:eastAsia="zh-CN"/>
              </w:rPr>
              <w:t>4.664</w:t>
            </w:r>
          </w:p>
        </w:tc>
        <w:tc>
          <w:tcPr>
            <w:tcW w:w="750" w:type="dxa"/>
            <w:tcBorders>
              <w:top w:val="nil"/>
              <w:left w:val="nil"/>
              <w:bottom w:val="nil"/>
              <w:right w:val="nil"/>
            </w:tcBorders>
            <w:shd w:val="clear" w:color="auto" w:fill="auto"/>
            <w:tcMar>
              <w:top w:w="72" w:type="dxa"/>
              <w:left w:w="144" w:type="dxa"/>
              <w:bottom w:w="72" w:type="dxa"/>
              <w:right w:w="144" w:type="dxa"/>
            </w:tcMar>
            <w:vAlign w:val="center"/>
            <w:hideMark/>
          </w:tcPr>
          <w:p w14:paraId="3A6A5267" w14:textId="77777777" w:rsidR="005C14C4" w:rsidRPr="005C14C4" w:rsidRDefault="005C14C4" w:rsidP="005C14C4">
            <w:pPr>
              <w:jc w:val="center"/>
              <w:rPr>
                <w:rFonts w:ascii="Arial" w:eastAsia="宋体" w:hAnsi="Arial" w:cs="Arial"/>
                <w:sz w:val="36"/>
                <w:szCs w:val="36"/>
                <w:lang w:eastAsia="zh-CN"/>
              </w:rPr>
            </w:pPr>
            <w:r>
              <w:rPr>
                <w:color w:val="000000"/>
                <w:kern w:val="24"/>
                <w:sz w:val="20"/>
                <w:lang w:eastAsia="zh-CN"/>
              </w:rPr>
              <w:t>3.473</w:t>
            </w:r>
          </w:p>
        </w:tc>
        <w:tc>
          <w:tcPr>
            <w:tcW w:w="969" w:type="dxa"/>
            <w:tcBorders>
              <w:top w:val="nil"/>
              <w:left w:val="nil"/>
              <w:bottom w:val="nil"/>
              <w:right w:val="nil"/>
            </w:tcBorders>
            <w:shd w:val="clear" w:color="auto" w:fill="auto"/>
            <w:tcMar>
              <w:top w:w="72" w:type="dxa"/>
              <w:left w:w="144" w:type="dxa"/>
              <w:bottom w:w="72" w:type="dxa"/>
              <w:right w:w="144" w:type="dxa"/>
            </w:tcMar>
            <w:vAlign w:val="center"/>
            <w:hideMark/>
          </w:tcPr>
          <w:p w14:paraId="1BE8046C"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dark1"/>
                <w:kern w:val="24"/>
                <w:sz w:val="20"/>
                <w:lang w:eastAsia="zh-CN"/>
              </w:rPr>
              <w:t>20.96</w:t>
            </w:r>
          </w:p>
        </w:tc>
        <w:tc>
          <w:tcPr>
            <w:tcW w:w="1139" w:type="dxa"/>
            <w:tcBorders>
              <w:top w:val="nil"/>
              <w:left w:val="nil"/>
              <w:bottom w:val="nil"/>
              <w:right w:val="nil"/>
            </w:tcBorders>
            <w:shd w:val="clear" w:color="auto" w:fill="auto"/>
            <w:tcMar>
              <w:top w:w="72" w:type="dxa"/>
              <w:left w:w="144" w:type="dxa"/>
              <w:bottom w:w="72" w:type="dxa"/>
              <w:right w:w="144" w:type="dxa"/>
            </w:tcMar>
            <w:vAlign w:val="center"/>
            <w:hideMark/>
          </w:tcPr>
          <w:p w14:paraId="2EFE7642"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1.38</w:t>
            </w:r>
          </w:p>
        </w:tc>
        <w:tc>
          <w:tcPr>
            <w:tcW w:w="789" w:type="dxa"/>
            <w:tcBorders>
              <w:top w:val="nil"/>
              <w:left w:val="nil"/>
              <w:bottom w:val="nil"/>
              <w:right w:val="nil"/>
            </w:tcBorders>
            <w:shd w:val="clear" w:color="auto" w:fill="auto"/>
            <w:tcMar>
              <w:top w:w="72" w:type="dxa"/>
              <w:left w:w="144" w:type="dxa"/>
              <w:bottom w:w="72" w:type="dxa"/>
              <w:right w:w="144" w:type="dxa"/>
            </w:tcMar>
            <w:vAlign w:val="center"/>
            <w:hideMark/>
          </w:tcPr>
          <w:p w14:paraId="730B7F57"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140</w:t>
            </w:r>
          </w:p>
        </w:tc>
      </w:tr>
      <w:tr w:rsidR="00BF13A3" w:rsidRPr="005C14C4" w14:paraId="4A36701A" w14:textId="77777777" w:rsidTr="00BF13A3">
        <w:trPr>
          <w:trHeight w:val="315"/>
        </w:trPr>
        <w:tc>
          <w:tcPr>
            <w:tcW w:w="1451"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16502AB"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HR</w:t>
            </w:r>
          </w:p>
        </w:tc>
        <w:tc>
          <w:tcPr>
            <w:tcW w:w="96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7B24415E"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16.06</w:t>
            </w:r>
          </w:p>
        </w:tc>
        <w:tc>
          <w:tcPr>
            <w:tcW w:w="1255"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8ECBEE4" w14:textId="3FCDA99E"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w:t>
            </w:r>
            <w:r>
              <w:rPr>
                <w:rFonts w:eastAsia="宋体"/>
                <w:color w:val="000000" w:themeColor="text1"/>
                <w:kern w:val="24"/>
                <w:sz w:val="20"/>
                <w:lang w:val="el-GR" w:eastAsia="zh-CN"/>
              </w:rPr>
              <w:t>1.73</w:t>
            </w:r>
            <w:r>
              <w:rPr>
                <w:rFonts w:eastAsia="Cambria" w:hAnsi="Cambria"/>
                <w:color w:val="000000" w:themeColor="text1"/>
                <w:kern w:val="24"/>
                <w:sz w:val="20"/>
                <w:lang w:val="el-GR" w:eastAsia="zh-CN"/>
              </w:rPr>
              <w:t>×10</w:t>
            </w:r>
            <w:r>
              <w:rPr>
                <w:rFonts w:eastAsia="Cambria"/>
                <w:color w:val="000000" w:themeColor="text1"/>
                <w:kern w:val="24"/>
                <w:position w:val="6"/>
                <w:sz w:val="20"/>
                <w:vertAlign w:val="superscript"/>
                <w:lang w:val="el-GR" w:eastAsia="zh-CN"/>
              </w:rPr>
              <w:t xml:space="preserve">−6 </w:t>
            </w:r>
          </w:p>
        </w:tc>
        <w:tc>
          <w:tcPr>
            <w:tcW w:w="74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6D640186"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3.583</w:t>
            </w:r>
          </w:p>
        </w:tc>
        <w:tc>
          <w:tcPr>
            <w:tcW w:w="74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09B6392"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3.766</w:t>
            </w:r>
          </w:p>
        </w:tc>
        <w:tc>
          <w:tcPr>
            <w:tcW w:w="750"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447B579"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2.983</w:t>
            </w:r>
          </w:p>
        </w:tc>
        <w:tc>
          <w:tcPr>
            <w:tcW w:w="96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5E09D033"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0</w:t>
            </w:r>
          </w:p>
        </w:tc>
        <w:tc>
          <w:tcPr>
            <w:tcW w:w="113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39852E49"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1.35</w:t>
            </w:r>
          </w:p>
        </w:tc>
        <w:tc>
          <w:tcPr>
            <w:tcW w:w="789"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454D86BA" w14:textId="77777777" w:rsidR="005C14C4" w:rsidRPr="005C14C4" w:rsidRDefault="005C14C4" w:rsidP="005C14C4">
            <w:pPr>
              <w:jc w:val="center"/>
              <w:rPr>
                <w:rFonts w:ascii="Arial" w:eastAsia="宋体" w:hAnsi="Arial" w:cs="Arial"/>
                <w:sz w:val="36"/>
                <w:szCs w:val="36"/>
                <w:lang w:eastAsia="zh-CN"/>
              </w:rPr>
            </w:pPr>
            <w:r>
              <w:rPr>
                <w:rFonts w:eastAsia="宋体"/>
                <w:color w:val="000000" w:themeColor="text1"/>
                <w:kern w:val="24"/>
                <w:sz w:val="20"/>
                <w:lang w:eastAsia="zh-CN"/>
              </w:rPr>
              <w:t>135</w:t>
            </w:r>
          </w:p>
        </w:tc>
      </w:tr>
    </w:tbl>
    <w:p w14:paraId="30AB81CB" w14:textId="2B8A7845" w:rsidR="00BF13A3" w:rsidRDefault="00BF13A3" w:rsidP="00BF13A3">
      <w:pPr>
        <w:pStyle w:val="SMHeading"/>
        <w:jc w:val="both"/>
        <w:rPr>
          <w:b w:val="0"/>
          <w:sz w:val="21"/>
          <w:szCs w:val="21"/>
        </w:rPr>
      </w:pPr>
      <w:r>
        <w:rPr>
          <w:sz w:val="21"/>
          <w:szCs w:val="21"/>
        </w:rPr>
        <w:t>Table S2.</w:t>
      </w:r>
      <w:r>
        <w:rPr>
          <w:b w:val="0"/>
          <w:sz w:val="21"/>
          <w:szCs w:val="21"/>
        </w:rPr>
        <w:t xml:space="preserve"> Comprehensive physical parameters for generalization test (Iterative Thresholding).</w:t>
      </w:r>
      <w:r>
        <w:rPr>
          <w:sz w:val="21"/>
          <w:szCs w:val="21"/>
        </w:rPr>
        <w:t xml:space="preserve"> </w:t>
      </w:r>
      <w:r>
        <w:rPr>
          <w:b w:val="0"/>
          <w:sz w:val="21"/>
          <w:szCs w:val="21"/>
        </w:rPr>
        <w:t>A comprehensive comparison of porosity, specific Euler characteristic density (χv), permeability, tortuosity, and path count for the pebbly sandstone dataset. This table highlights the baseline performance of the Hy-MambaIR (Zero-Shot) model compared to Bicubic interpolation and the Ground Truth (HR). Notably, Hy-MambaIR (Zero-Shot) maintains a reasonable path count (140) compared to HR (135), while Bicubic (169) tends to overestimate connectivity due to noise. Crucially, the significant deviations in other physical parameters observed here (when using automated iterative thresholding without fine-tuning) underscore the domain shift challenge. This contrast further highlights the accuracy of the fine-tuned model (discussed in the main text), which effectively corrects these deviations to match the HR baseline.</w:t>
      </w:r>
    </w:p>
    <w:p w14:paraId="03E110EC" w14:textId="6C52F0B8" w:rsidR="00BF13A3" w:rsidRPr="00BF13A3" w:rsidRDefault="00BF13A3" w:rsidP="00BF13A3">
      <w:pPr>
        <w:rPr>
          <w:bCs/>
          <w:kern w:val="32"/>
          <w:sz w:val="21"/>
          <w:szCs w:val="21"/>
        </w:rPr>
      </w:pPr>
      <w:r>
        <w:rPr>
          <w:b/>
          <w:sz w:val="21"/>
          <w:szCs w:val="21"/>
        </w:rPr>
        <w:br w:type="page"/>
      </w:r>
    </w:p>
    <w:p w14:paraId="3F047346" w14:textId="5C512424" w:rsidR="00BF13A3" w:rsidRPr="00BF13A3" w:rsidRDefault="00BF13A3" w:rsidP="00BF13A3">
      <w:pPr>
        <w:pStyle w:val="SMHeading"/>
        <w:jc w:val="both"/>
        <w:rPr>
          <w:b w:val="0"/>
          <w:sz w:val="21"/>
        </w:rPr>
      </w:pPr>
      <w:r>
        <w:rPr>
          <w:noProof/>
        </w:rPr>
        <w:lastRenderedPageBreak/>
        <w:drawing>
          <wp:inline distT="0" distB="0" distL="0" distR="0" wp14:anchorId="4AE7BA35" wp14:editId="6ACD38C6">
            <wp:extent cx="5483012" cy="1661311"/>
            <wp:effectExtent l="0" t="0" r="381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3">
                      <a:extLst>
                        <a:ext uri="{28A0092B-C50C-407E-A947-70E740481C1C}">
                          <a14:useLocalDpi xmlns:a14="http://schemas.microsoft.com/office/drawing/2010/main" val="0"/>
                        </a:ext>
                      </a:extLst>
                    </a:blip>
                    <a:srcRect/>
                    <a:stretch/>
                  </pic:blipFill>
                  <pic:spPr bwMode="auto">
                    <a:xfrm>
                      <a:off x="0" y="0"/>
                      <a:ext cx="5504005" cy="1667672"/>
                    </a:xfrm>
                    <a:prstGeom prst="rect">
                      <a:avLst/>
                    </a:prstGeom>
                    <a:noFill/>
                    <a:ln>
                      <a:noFill/>
                    </a:ln>
                    <a:extLst>
                      <a:ext uri="{53640926-AAD7-44D8-BBD7-CCE9431645EC}">
                        <a14:shadowObscured xmlns:a14="http://schemas.microsoft.com/office/drawing/2010/main"/>
                      </a:ext>
                    </a:extLst>
                  </pic:spPr>
                </pic:pic>
              </a:graphicData>
            </a:graphic>
          </wp:inline>
        </w:drawing>
      </w:r>
      <w:r>
        <w:rPr>
          <w:sz w:val="21"/>
        </w:rPr>
        <w:t xml:space="preserve"> Figure S11.</w:t>
      </w:r>
      <w:r>
        <w:rPr>
          <w:b w:val="0"/>
          <w:sz w:val="21"/>
        </w:rPr>
        <w:t xml:space="preserve"> 3D visualization of structure and velocity field for generalization test.</w:t>
      </w:r>
      <w:r>
        <w:rPr>
          <w:rFonts w:eastAsia="等线" w:hint="eastAsia"/>
          <w:b w:val="0"/>
          <w:sz w:val="21"/>
          <w:lang w:eastAsia="zh-CN"/>
        </w:rPr>
        <w:t xml:space="preserve"> </w:t>
      </w:r>
      <w:r>
        <w:rPr>
          <w:b w:val="0"/>
          <w:sz w:val="21"/>
        </w:rPr>
        <w:t>3D rendering of reconstructed samples. Cross-sectional velocity fields. Consistent with the quantitative deviations observed in Table S2, the Zero-Shot and Bicubic results (derived using automatic iterative thresholding) exhibit disconnected flow paths and incorrect velocity distributions due to domain shift.</w:t>
      </w:r>
    </w:p>
    <w:sectPr w:rsidR="00BF13A3" w:rsidRPr="00BF13A3" w:rsidSect="00F125EE">
      <w:headerReference w:type="default" r:id="rId24"/>
      <w:footerReference w:type="default" r:id="rId2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B4B75" w14:textId="77777777" w:rsidR="006A5A61" w:rsidRDefault="006A5A61">
      <w:r>
        <w:separator/>
      </w:r>
    </w:p>
  </w:endnote>
  <w:endnote w:type="continuationSeparator" w:id="0">
    <w:p w14:paraId="59C2CB50" w14:textId="77777777" w:rsidR="006A5A61" w:rsidRDefault="006A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8E7ED" w14:textId="3F6B8938" w:rsidR="005F7881" w:rsidRDefault="005F7881">
    <w:pPr>
      <w:pStyle w:val="aff1"/>
      <w:jc w:val="right"/>
    </w:pPr>
    <w:r>
      <w:fldChar w:fldCharType="begin"/>
    </w:r>
    <w:r>
      <w:instrText xml:space="preserve"> PAGE   \* MERGEFORMAT </w:instrText>
    </w:r>
    <w:r>
      <w:fldChar w:fldCharType="separate"/>
    </w:r>
    <w:r>
      <w:rPr>
        <w:noProof/>
      </w:rPr>
      <w:t>15</w:t>
    </w:r>
    <w:r>
      <w:fldChar w:fldCharType="end"/>
    </w:r>
  </w:p>
  <w:p w14:paraId="486656F3" w14:textId="77777777" w:rsidR="005F7881" w:rsidRDefault="005F7881">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151C6" w14:textId="77777777" w:rsidR="006A5A61" w:rsidRDefault="006A5A61">
      <w:r>
        <w:separator/>
      </w:r>
    </w:p>
  </w:footnote>
  <w:footnote w:type="continuationSeparator" w:id="0">
    <w:p w14:paraId="3B6A624A" w14:textId="77777777" w:rsidR="006A5A61" w:rsidRDefault="006A5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23C1C" w14:textId="77777777" w:rsidR="005F7881" w:rsidRPr="005001AC" w:rsidRDefault="005F7881" w:rsidP="005001AC">
    <w:pPr>
      <w:jc w:val="right"/>
      <w:rPr>
        <w:sz w:val="20"/>
      </w:rPr>
    </w:pPr>
  </w:p>
  <w:p w14:paraId="18F8F636" w14:textId="77777777" w:rsidR="005F7881" w:rsidRDefault="005F78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D508A0"/>
    <w:multiLevelType w:val="multilevel"/>
    <w:tmpl w:val="02BA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10DB6"/>
    <w:multiLevelType w:val="hybridMultilevel"/>
    <w:tmpl w:val="77E40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81017E"/>
    <w:multiLevelType w:val="hybridMultilevel"/>
    <w:tmpl w:val="DAD6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0"/>
  </w:num>
  <w:num w:numId="14">
    <w:abstractNumId w:val="15"/>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43571"/>
    <w:rsid w:val="00065EBD"/>
    <w:rsid w:val="00072714"/>
    <w:rsid w:val="00077DC0"/>
    <w:rsid w:val="00083B44"/>
    <w:rsid w:val="00083E4C"/>
    <w:rsid w:val="000850DC"/>
    <w:rsid w:val="00094365"/>
    <w:rsid w:val="000B2E64"/>
    <w:rsid w:val="000C2771"/>
    <w:rsid w:val="000D68BD"/>
    <w:rsid w:val="000D68F1"/>
    <w:rsid w:val="000F0DCE"/>
    <w:rsid w:val="00102813"/>
    <w:rsid w:val="00111843"/>
    <w:rsid w:val="00112C5B"/>
    <w:rsid w:val="00113908"/>
    <w:rsid w:val="00114193"/>
    <w:rsid w:val="001154E6"/>
    <w:rsid w:val="00115A38"/>
    <w:rsid w:val="0011687B"/>
    <w:rsid w:val="00124F82"/>
    <w:rsid w:val="001265FA"/>
    <w:rsid w:val="001278E3"/>
    <w:rsid w:val="00130743"/>
    <w:rsid w:val="00130B50"/>
    <w:rsid w:val="0013146B"/>
    <w:rsid w:val="0016337A"/>
    <w:rsid w:val="00164269"/>
    <w:rsid w:val="001966FD"/>
    <w:rsid w:val="00197826"/>
    <w:rsid w:val="001A1BDE"/>
    <w:rsid w:val="001C7B4E"/>
    <w:rsid w:val="001F0876"/>
    <w:rsid w:val="001F167C"/>
    <w:rsid w:val="001F5E91"/>
    <w:rsid w:val="0020183F"/>
    <w:rsid w:val="002077B9"/>
    <w:rsid w:val="00221C70"/>
    <w:rsid w:val="00221DA3"/>
    <w:rsid w:val="00223E55"/>
    <w:rsid w:val="002251AF"/>
    <w:rsid w:val="00227D86"/>
    <w:rsid w:val="00243B68"/>
    <w:rsid w:val="00262D72"/>
    <w:rsid w:val="00263FF1"/>
    <w:rsid w:val="0027045D"/>
    <w:rsid w:val="00273A6C"/>
    <w:rsid w:val="002800B6"/>
    <w:rsid w:val="00287F9A"/>
    <w:rsid w:val="002B35D4"/>
    <w:rsid w:val="002C030F"/>
    <w:rsid w:val="002F3966"/>
    <w:rsid w:val="002F7CA5"/>
    <w:rsid w:val="00301953"/>
    <w:rsid w:val="003168D5"/>
    <w:rsid w:val="00320E2C"/>
    <w:rsid w:val="00331D75"/>
    <w:rsid w:val="00355362"/>
    <w:rsid w:val="00363E44"/>
    <w:rsid w:val="00395E86"/>
    <w:rsid w:val="003A2FD8"/>
    <w:rsid w:val="003B40E6"/>
    <w:rsid w:val="003B7997"/>
    <w:rsid w:val="003C007A"/>
    <w:rsid w:val="003C0920"/>
    <w:rsid w:val="003C1F43"/>
    <w:rsid w:val="003D1532"/>
    <w:rsid w:val="003E1980"/>
    <w:rsid w:val="003F6E14"/>
    <w:rsid w:val="00405336"/>
    <w:rsid w:val="00411EE0"/>
    <w:rsid w:val="004136D9"/>
    <w:rsid w:val="00436323"/>
    <w:rsid w:val="004568BC"/>
    <w:rsid w:val="004571D5"/>
    <w:rsid w:val="00462F1B"/>
    <w:rsid w:val="0046356B"/>
    <w:rsid w:val="00473ACB"/>
    <w:rsid w:val="00477182"/>
    <w:rsid w:val="004779CB"/>
    <w:rsid w:val="00481118"/>
    <w:rsid w:val="00494BB2"/>
    <w:rsid w:val="0049733A"/>
    <w:rsid w:val="004A1F09"/>
    <w:rsid w:val="004B2481"/>
    <w:rsid w:val="004D2A8C"/>
    <w:rsid w:val="004E42D8"/>
    <w:rsid w:val="004E7BA2"/>
    <w:rsid w:val="004F7EDF"/>
    <w:rsid w:val="005001AC"/>
    <w:rsid w:val="00516C91"/>
    <w:rsid w:val="00517016"/>
    <w:rsid w:val="005259CF"/>
    <w:rsid w:val="00527D71"/>
    <w:rsid w:val="00527D84"/>
    <w:rsid w:val="005314B5"/>
    <w:rsid w:val="005348E3"/>
    <w:rsid w:val="0054432F"/>
    <w:rsid w:val="00546569"/>
    <w:rsid w:val="00552C23"/>
    <w:rsid w:val="005607DD"/>
    <w:rsid w:val="00572DFF"/>
    <w:rsid w:val="00596B3C"/>
    <w:rsid w:val="005A2752"/>
    <w:rsid w:val="005A558C"/>
    <w:rsid w:val="005B186E"/>
    <w:rsid w:val="005B725D"/>
    <w:rsid w:val="005C14C4"/>
    <w:rsid w:val="005C6651"/>
    <w:rsid w:val="005D6D71"/>
    <w:rsid w:val="005E0B50"/>
    <w:rsid w:val="005E28F8"/>
    <w:rsid w:val="005E6513"/>
    <w:rsid w:val="005F7881"/>
    <w:rsid w:val="00610DFB"/>
    <w:rsid w:val="006116D1"/>
    <w:rsid w:val="006116DD"/>
    <w:rsid w:val="00611F9E"/>
    <w:rsid w:val="00613CE2"/>
    <w:rsid w:val="006237D4"/>
    <w:rsid w:val="006257BF"/>
    <w:rsid w:val="00647CE5"/>
    <w:rsid w:val="00651114"/>
    <w:rsid w:val="006622CF"/>
    <w:rsid w:val="00664A12"/>
    <w:rsid w:val="0066722B"/>
    <w:rsid w:val="00670299"/>
    <w:rsid w:val="0068469F"/>
    <w:rsid w:val="00691985"/>
    <w:rsid w:val="006962C1"/>
    <w:rsid w:val="006A1B64"/>
    <w:rsid w:val="006A5A61"/>
    <w:rsid w:val="006B03AD"/>
    <w:rsid w:val="006F602A"/>
    <w:rsid w:val="007108F5"/>
    <w:rsid w:val="00713AF2"/>
    <w:rsid w:val="00713E5B"/>
    <w:rsid w:val="007402FC"/>
    <w:rsid w:val="007411A1"/>
    <w:rsid w:val="007563F2"/>
    <w:rsid w:val="007577E9"/>
    <w:rsid w:val="00764008"/>
    <w:rsid w:val="00774634"/>
    <w:rsid w:val="00795D4D"/>
    <w:rsid w:val="00797447"/>
    <w:rsid w:val="007A186C"/>
    <w:rsid w:val="007A2550"/>
    <w:rsid w:val="007B508D"/>
    <w:rsid w:val="00807D35"/>
    <w:rsid w:val="008115D9"/>
    <w:rsid w:val="00821470"/>
    <w:rsid w:val="00825950"/>
    <w:rsid w:val="00844613"/>
    <w:rsid w:val="00851F8F"/>
    <w:rsid w:val="00853E4A"/>
    <w:rsid w:val="00885C9B"/>
    <w:rsid w:val="008927D0"/>
    <w:rsid w:val="00896FAB"/>
    <w:rsid w:val="008A0847"/>
    <w:rsid w:val="008D5D2A"/>
    <w:rsid w:val="008E2CF1"/>
    <w:rsid w:val="008E43D5"/>
    <w:rsid w:val="008E671C"/>
    <w:rsid w:val="008F08DC"/>
    <w:rsid w:val="008F5A8A"/>
    <w:rsid w:val="009055D1"/>
    <w:rsid w:val="009104A0"/>
    <w:rsid w:val="00914B63"/>
    <w:rsid w:val="00922705"/>
    <w:rsid w:val="00924546"/>
    <w:rsid w:val="009328BA"/>
    <w:rsid w:val="00932FE5"/>
    <w:rsid w:val="009354F3"/>
    <w:rsid w:val="00941326"/>
    <w:rsid w:val="009447DC"/>
    <w:rsid w:val="00953767"/>
    <w:rsid w:val="00961BA5"/>
    <w:rsid w:val="009743A9"/>
    <w:rsid w:val="00975720"/>
    <w:rsid w:val="009859A7"/>
    <w:rsid w:val="009965A0"/>
    <w:rsid w:val="009A5287"/>
    <w:rsid w:val="009A7FA1"/>
    <w:rsid w:val="009B2AC5"/>
    <w:rsid w:val="009B4E19"/>
    <w:rsid w:val="009B7984"/>
    <w:rsid w:val="009C6760"/>
    <w:rsid w:val="009F4BED"/>
    <w:rsid w:val="009F7D93"/>
    <w:rsid w:val="00A276DF"/>
    <w:rsid w:val="00A3084A"/>
    <w:rsid w:val="00A3403B"/>
    <w:rsid w:val="00A50033"/>
    <w:rsid w:val="00A519F5"/>
    <w:rsid w:val="00A51A12"/>
    <w:rsid w:val="00A627D4"/>
    <w:rsid w:val="00A74DA2"/>
    <w:rsid w:val="00A92733"/>
    <w:rsid w:val="00AA521F"/>
    <w:rsid w:val="00AA76F3"/>
    <w:rsid w:val="00AC7DA6"/>
    <w:rsid w:val="00AD499C"/>
    <w:rsid w:val="00AF3DBC"/>
    <w:rsid w:val="00B20462"/>
    <w:rsid w:val="00B30334"/>
    <w:rsid w:val="00B3147F"/>
    <w:rsid w:val="00B36869"/>
    <w:rsid w:val="00B43B31"/>
    <w:rsid w:val="00B47CFA"/>
    <w:rsid w:val="00B50CFA"/>
    <w:rsid w:val="00B529C0"/>
    <w:rsid w:val="00B54E4C"/>
    <w:rsid w:val="00B57F00"/>
    <w:rsid w:val="00B626CB"/>
    <w:rsid w:val="00B7560C"/>
    <w:rsid w:val="00B77E40"/>
    <w:rsid w:val="00B82C22"/>
    <w:rsid w:val="00B93DBA"/>
    <w:rsid w:val="00B9440A"/>
    <w:rsid w:val="00B952C1"/>
    <w:rsid w:val="00B968D7"/>
    <w:rsid w:val="00BA3953"/>
    <w:rsid w:val="00BA6551"/>
    <w:rsid w:val="00BB2D2A"/>
    <w:rsid w:val="00BD58CF"/>
    <w:rsid w:val="00BE0193"/>
    <w:rsid w:val="00BF13A3"/>
    <w:rsid w:val="00BF1BEB"/>
    <w:rsid w:val="00BF1BF9"/>
    <w:rsid w:val="00C04B9A"/>
    <w:rsid w:val="00C04CC1"/>
    <w:rsid w:val="00C071FC"/>
    <w:rsid w:val="00C16668"/>
    <w:rsid w:val="00C22C02"/>
    <w:rsid w:val="00C27F6F"/>
    <w:rsid w:val="00C30E83"/>
    <w:rsid w:val="00C50C6D"/>
    <w:rsid w:val="00C600D9"/>
    <w:rsid w:val="00C6344D"/>
    <w:rsid w:val="00C634D7"/>
    <w:rsid w:val="00C73E09"/>
    <w:rsid w:val="00CB5072"/>
    <w:rsid w:val="00CC0890"/>
    <w:rsid w:val="00CC1384"/>
    <w:rsid w:val="00CD3720"/>
    <w:rsid w:val="00CD7882"/>
    <w:rsid w:val="00CE6EAA"/>
    <w:rsid w:val="00CF1848"/>
    <w:rsid w:val="00CF36F2"/>
    <w:rsid w:val="00CF5C2F"/>
    <w:rsid w:val="00CF7744"/>
    <w:rsid w:val="00D04727"/>
    <w:rsid w:val="00D04BCF"/>
    <w:rsid w:val="00D10134"/>
    <w:rsid w:val="00D104FA"/>
    <w:rsid w:val="00D10F2D"/>
    <w:rsid w:val="00D143D9"/>
    <w:rsid w:val="00D406FA"/>
    <w:rsid w:val="00D4372A"/>
    <w:rsid w:val="00D60BB0"/>
    <w:rsid w:val="00D65708"/>
    <w:rsid w:val="00D6579D"/>
    <w:rsid w:val="00D8159F"/>
    <w:rsid w:val="00DD04F8"/>
    <w:rsid w:val="00DD1D04"/>
    <w:rsid w:val="00DD74B2"/>
    <w:rsid w:val="00DD79D7"/>
    <w:rsid w:val="00E076F1"/>
    <w:rsid w:val="00E20431"/>
    <w:rsid w:val="00E257C8"/>
    <w:rsid w:val="00E40896"/>
    <w:rsid w:val="00E43D2D"/>
    <w:rsid w:val="00E449CB"/>
    <w:rsid w:val="00E52A8F"/>
    <w:rsid w:val="00E56612"/>
    <w:rsid w:val="00E63760"/>
    <w:rsid w:val="00E64049"/>
    <w:rsid w:val="00E808EE"/>
    <w:rsid w:val="00E82A5E"/>
    <w:rsid w:val="00E8373C"/>
    <w:rsid w:val="00E84C18"/>
    <w:rsid w:val="00E9773B"/>
    <w:rsid w:val="00EA1927"/>
    <w:rsid w:val="00EA5FC5"/>
    <w:rsid w:val="00EB4FA9"/>
    <w:rsid w:val="00EB5A91"/>
    <w:rsid w:val="00EC13A3"/>
    <w:rsid w:val="00EC49CE"/>
    <w:rsid w:val="00EC7C85"/>
    <w:rsid w:val="00ED052A"/>
    <w:rsid w:val="00ED69CA"/>
    <w:rsid w:val="00EE35AB"/>
    <w:rsid w:val="00EF0152"/>
    <w:rsid w:val="00EF25A3"/>
    <w:rsid w:val="00F0066B"/>
    <w:rsid w:val="00F125EE"/>
    <w:rsid w:val="00F12E98"/>
    <w:rsid w:val="00F22029"/>
    <w:rsid w:val="00F23E46"/>
    <w:rsid w:val="00F24C54"/>
    <w:rsid w:val="00F3515C"/>
    <w:rsid w:val="00F47BA3"/>
    <w:rsid w:val="00F56E67"/>
    <w:rsid w:val="00F630EA"/>
    <w:rsid w:val="00F6474F"/>
    <w:rsid w:val="00F7007E"/>
    <w:rsid w:val="00F73193"/>
    <w:rsid w:val="00F74F95"/>
    <w:rsid w:val="00F80705"/>
    <w:rsid w:val="00F90A32"/>
    <w:rsid w:val="00FA1481"/>
    <w:rsid w:val="00FB1C42"/>
    <w:rsid w:val="00FB26DC"/>
    <w:rsid w:val="00FB32EC"/>
    <w:rsid w:val="00FC679F"/>
    <w:rsid w:val="00FD4209"/>
    <w:rsid w:val="00FF04E3"/>
    <w:rsid w:val="00FF3503"/>
    <w:rsid w:val="00FF58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CD9FF7"/>
  <w14:discardImageEditingData/>
  <w14:defaultImageDpi w14:val="32767"/>
  <w15:chartTrackingRefBased/>
  <w15:docId w15:val="{70801E18-7CCF-4C88-A79C-4DFA6FFF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lsdException w:name="annotation reference" w:semiHidden="1"/>
    <w:lsdException w:name="line number" w:semiHidden="1"/>
    <w:lsdException w:name="endnote reference" w:semiHidden="1"/>
    <w:lsdException w:name="Title" w:qFormat="1"/>
    <w:lsdException w:name="Subtitle" w:qFormat="1"/>
    <w:lsdException w:name="FollowedHyperlink" w:semiHidden="1"/>
    <w:lsdException w:name="Strong" w:semiHidden="1" w:uiPriority="22"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797447"/>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basedOn w:val="ab"/>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basedOn w:val="af"/>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uiPriority w:val="99"/>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paragraph" w:customStyle="1" w:styleId="body-copy-normal">
    <w:name w:val="body-copy-normal"/>
    <w:basedOn w:val="a1"/>
    <w:rsid w:val="00FF3503"/>
    <w:pPr>
      <w:spacing w:before="100" w:beforeAutospacing="1" w:after="100" w:afterAutospacing="1"/>
    </w:pPr>
    <w:rPr>
      <w:szCs w:val="24"/>
    </w:rPr>
  </w:style>
  <w:style w:type="paragraph" w:customStyle="1" w:styleId="body-copy-ndent">
    <w:name w:val="body-copy-ndent"/>
    <w:basedOn w:val="a1"/>
    <w:rsid w:val="00FF3503"/>
    <w:pPr>
      <w:spacing w:before="100" w:beforeAutospacing="1" w:after="100" w:afterAutospacing="1"/>
    </w:pPr>
    <w:rPr>
      <w:szCs w:val="24"/>
    </w:rPr>
  </w:style>
  <w:style w:type="character" w:styleId="affff6">
    <w:name w:val="Strong"/>
    <w:uiPriority w:val="22"/>
    <w:qFormat/>
    <w:rsid w:val="00FF3503"/>
    <w:rPr>
      <w:b/>
      <w:bCs/>
    </w:rPr>
  </w:style>
  <w:style w:type="character" w:styleId="affff7">
    <w:name w:val="annotation reference"/>
    <w:semiHidden/>
    <w:rsid w:val="002800B6"/>
    <w:rPr>
      <w:sz w:val="16"/>
      <w:szCs w:val="16"/>
    </w:rPr>
  </w:style>
  <w:style w:type="table" w:customStyle="1" w:styleId="45">
    <w:name w:val="网格型4"/>
    <w:basedOn w:val="a3"/>
    <w:next w:val="affff8"/>
    <w:uiPriority w:val="39"/>
    <w:rsid w:val="00BE0193"/>
    <w:rPr>
      <w:rFonts w:asciiTheme="minorHAnsi"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8">
    <w:name w:val="Table Grid"/>
    <w:basedOn w:val="a3"/>
    <w:rsid w:val="00BE0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ConvertedEquation">
    <w:name w:val="MTConvertedEquation"/>
    <w:basedOn w:val="a2"/>
    <w:rsid w:val="005B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2194">
      <w:bodyDiv w:val="1"/>
      <w:marLeft w:val="0"/>
      <w:marRight w:val="0"/>
      <w:marTop w:val="0"/>
      <w:marBottom w:val="0"/>
      <w:divBdr>
        <w:top w:val="none" w:sz="0" w:space="0" w:color="auto"/>
        <w:left w:val="none" w:sz="0" w:space="0" w:color="auto"/>
        <w:bottom w:val="none" w:sz="0" w:space="0" w:color="auto"/>
        <w:right w:val="none" w:sz="0" w:space="0" w:color="auto"/>
      </w:divBdr>
    </w:div>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65224524">
      <w:bodyDiv w:val="1"/>
      <w:marLeft w:val="0"/>
      <w:marRight w:val="0"/>
      <w:marTop w:val="0"/>
      <w:marBottom w:val="0"/>
      <w:divBdr>
        <w:top w:val="none" w:sz="0" w:space="0" w:color="auto"/>
        <w:left w:val="none" w:sz="0" w:space="0" w:color="auto"/>
        <w:bottom w:val="none" w:sz="0" w:space="0" w:color="auto"/>
        <w:right w:val="none" w:sz="0" w:space="0" w:color="auto"/>
      </w:divBdr>
    </w:div>
    <w:div w:id="136802503">
      <w:bodyDiv w:val="1"/>
      <w:marLeft w:val="0"/>
      <w:marRight w:val="0"/>
      <w:marTop w:val="0"/>
      <w:marBottom w:val="0"/>
      <w:divBdr>
        <w:top w:val="none" w:sz="0" w:space="0" w:color="auto"/>
        <w:left w:val="none" w:sz="0" w:space="0" w:color="auto"/>
        <w:bottom w:val="none" w:sz="0" w:space="0" w:color="auto"/>
        <w:right w:val="none" w:sz="0" w:space="0" w:color="auto"/>
      </w:divBdr>
    </w:div>
    <w:div w:id="187762179">
      <w:bodyDiv w:val="1"/>
      <w:marLeft w:val="0"/>
      <w:marRight w:val="0"/>
      <w:marTop w:val="0"/>
      <w:marBottom w:val="0"/>
      <w:divBdr>
        <w:top w:val="none" w:sz="0" w:space="0" w:color="auto"/>
        <w:left w:val="none" w:sz="0" w:space="0" w:color="auto"/>
        <w:bottom w:val="none" w:sz="0" w:space="0" w:color="auto"/>
        <w:right w:val="none" w:sz="0" w:space="0" w:color="auto"/>
      </w:divBdr>
    </w:div>
    <w:div w:id="195048180">
      <w:bodyDiv w:val="1"/>
      <w:marLeft w:val="0"/>
      <w:marRight w:val="0"/>
      <w:marTop w:val="0"/>
      <w:marBottom w:val="0"/>
      <w:divBdr>
        <w:top w:val="none" w:sz="0" w:space="0" w:color="auto"/>
        <w:left w:val="none" w:sz="0" w:space="0" w:color="auto"/>
        <w:bottom w:val="none" w:sz="0" w:space="0" w:color="auto"/>
        <w:right w:val="none" w:sz="0" w:space="0" w:color="auto"/>
      </w:divBdr>
    </w:div>
    <w:div w:id="203175800">
      <w:bodyDiv w:val="1"/>
      <w:marLeft w:val="0"/>
      <w:marRight w:val="0"/>
      <w:marTop w:val="0"/>
      <w:marBottom w:val="0"/>
      <w:divBdr>
        <w:top w:val="none" w:sz="0" w:space="0" w:color="auto"/>
        <w:left w:val="none" w:sz="0" w:space="0" w:color="auto"/>
        <w:bottom w:val="none" w:sz="0" w:space="0" w:color="auto"/>
        <w:right w:val="none" w:sz="0" w:space="0" w:color="auto"/>
      </w:divBdr>
    </w:div>
    <w:div w:id="546528266">
      <w:bodyDiv w:val="1"/>
      <w:marLeft w:val="0"/>
      <w:marRight w:val="0"/>
      <w:marTop w:val="0"/>
      <w:marBottom w:val="0"/>
      <w:divBdr>
        <w:top w:val="none" w:sz="0" w:space="0" w:color="auto"/>
        <w:left w:val="none" w:sz="0" w:space="0" w:color="auto"/>
        <w:bottom w:val="none" w:sz="0" w:space="0" w:color="auto"/>
        <w:right w:val="none" w:sz="0" w:space="0" w:color="auto"/>
      </w:divBdr>
    </w:div>
    <w:div w:id="713967065">
      <w:bodyDiv w:val="1"/>
      <w:marLeft w:val="0"/>
      <w:marRight w:val="0"/>
      <w:marTop w:val="0"/>
      <w:marBottom w:val="0"/>
      <w:divBdr>
        <w:top w:val="none" w:sz="0" w:space="0" w:color="auto"/>
        <w:left w:val="none" w:sz="0" w:space="0" w:color="auto"/>
        <w:bottom w:val="none" w:sz="0" w:space="0" w:color="auto"/>
        <w:right w:val="none" w:sz="0" w:space="0" w:color="auto"/>
      </w:divBdr>
    </w:div>
    <w:div w:id="808742919">
      <w:bodyDiv w:val="1"/>
      <w:marLeft w:val="0"/>
      <w:marRight w:val="0"/>
      <w:marTop w:val="0"/>
      <w:marBottom w:val="0"/>
      <w:divBdr>
        <w:top w:val="none" w:sz="0" w:space="0" w:color="auto"/>
        <w:left w:val="none" w:sz="0" w:space="0" w:color="auto"/>
        <w:bottom w:val="none" w:sz="0" w:space="0" w:color="auto"/>
        <w:right w:val="none" w:sz="0" w:space="0" w:color="auto"/>
      </w:divBdr>
    </w:div>
    <w:div w:id="873155705">
      <w:bodyDiv w:val="1"/>
      <w:marLeft w:val="0"/>
      <w:marRight w:val="0"/>
      <w:marTop w:val="0"/>
      <w:marBottom w:val="0"/>
      <w:divBdr>
        <w:top w:val="none" w:sz="0" w:space="0" w:color="auto"/>
        <w:left w:val="none" w:sz="0" w:space="0" w:color="auto"/>
        <w:bottom w:val="none" w:sz="0" w:space="0" w:color="auto"/>
        <w:right w:val="none" w:sz="0" w:space="0" w:color="auto"/>
      </w:divBdr>
    </w:div>
    <w:div w:id="912399682">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013923439">
      <w:bodyDiv w:val="1"/>
      <w:marLeft w:val="0"/>
      <w:marRight w:val="0"/>
      <w:marTop w:val="0"/>
      <w:marBottom w:val="0"/>
      <w:divBdr>
        <w:top w:val="none" w:sz="0" w:space="0" w:color="auto"/>
        <w:left w:val="none" w:sz="0" w:space="0" w:color="auto"/>
        <w:bottom w:val="none" w:sz="0" w:space="0" w:color="auto"/>
        <w:right w:val="none" w:sz="0" w:space="0" w:color="auto"/>
      </w:divBdr>
    </w:div>
    <w:div w:id="1023944380">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28301647">
      <w:bodyDiv w:val="1"/>
      <w:marLeft w:val="0"/>
      <w:marRight w:val="0"/>
      <w:marTop w:val="0"/>
      <w:marBottom w:val="0"/>
      <w:divBdr>
        <w:top w:val="none" w:sz="0" w:space="0" w:color="auto"/>
        <w:left w:val="none" w:sz="0" w:space="0" w:color="auto"/>
        <w:bottom w:val="none" w:sz="0" w:space="0" w:color="auto"/>
        <w:right w:val="none" w:sz="0" w:space="0" w:color="auto"/>
      </w:divBdr>
    </w:div>
    <w:div w:id="1236816127">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391463532">
      <w:bodyDiv w:val="1"/>
      <w:marLeft w:val="0"/>
      <w:marRight w:val="0"/>
      <w:marTop w:val="0"/>
      <w:marBottom w:val="0"/>
      <w:divBdr>
        <w:top w:val="none" w:sz="0" w:space="0" w:color="auto"/>
        <w:left w:val="none" w:sz="0" w:space="0" w:color="auto"/>
        <w:bottom w:val="none" w:sz="0" w:space="0" w:color="auto"/>
        <w:right w:val="none" w:sz="0" w:space="0" w:color="auto"/>
      </w:divBdr>
    </w:div>
    <w:div w:id="1433620991">
      <w:bodyDiv w:val="1"/>
      <w:marLeft w:val="0"/>
      <w:marRight w:val="0"/>
      <w:marTop w:val="0"/>
      <w:marBottom w:val="0"/>
      <w:divBdr>
        <w:top w:val="none" w:sz="0" w:space="0" w:color="auto"/>
        <w:left w:val="none" w:sz="0" w:space="0" w:color="auto"/>
        <w:bottom w:val="none" w:sz="0" w:space="0" w:color="auto"/>
        <w:right w:val="none" w:sz="0" w:space="0" w:color="auto"/>
      </w:divBdr>
    </w:div>
    <w:div w:id="1439835637">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453982962">
      <w:bodyDiv w:val="1"/>
      <w:marLeft w:val="0"/>
      <w:marRight w:val="0"/>
      <w:marTop w:val="0"/>
      <w:marBottom w:val="0"/>
      <w:divBdr>
        <w:top w:val="none" w:sz="0" w:space="0" w:color="auto"/>
        <w:left w:val="none" w:sz="0" w:space="0" w:color="auto"/>
        <w:bottom w:val="none" w:sz="0" w:space="0" w:color="auto"/>
        <w:right w:val="none" w:sz="0" w:space="0" w:color="auto"/>
      </w:divBdr>
    </w:div>
    <w:div w:id="1472477533">
      <w:bodyDiv w:val="1"/>
      <w:marLeft w:val="0"/>
      <w:marRight w:val="0"/>
      <w:marTop w:val="0"/>
      <w:marBottom w:val="0"/>
      <w:divBdr>
        <w:top w:val="none" w:sz="0" w:space="0" w:color="auto"/>
        <w:left w:val="none" w:sz="0" w:space="0" w:color="auto"/>
        <w:bottom w:val="none" w:sz="0" w:space="0" w:color="auto"/>
        <w:right w:val="none" w:sz="0" w:space="0" w:color="auto"/>
      </w:divBdr>
    </w:div>
    <w:div w:id="1696421466">
      <w:bodyDiv w:val="1"/>
      <w:marLeft w:val="0"/>
      <w:marRight w:val="0"/>
      <w:marTop w:val="0"/>
      <w:marBottom w:val="0"/>
      <w:divBdr>
        <w:top w:val="none" w:sz="0" w:space="0" w:color="auto"/>
        <w:left w:val="none" w:sz="0" w:space="0" w:color="auto"/>
        <w:bottom w:val="none" w:sz="0" w:space="0" w:color="auto"/>
        <w:right w:val="none" w:sz="0" w:space="0" w:color="auto"/>
      </w:divBdr>
    </w:div>
    <w:div w:id="1757045894">
      <w:bodyDiv w:val="1"/>
      <w:marLeft w:val="0"/>
      <w:marRight w:val="0"/>
      <w:marTop w:val="0"/>
      <w:marBottom w:val="0"/>
      <w:divBdr>
        <w:top w:val="none" w:sz="0" w:space="0" w:color="auto"/>
        <w:left w:val="none" w:sz="0" w:space="0" w:color="auto"/>
        <w:bottom w:val="none" w:sz="0" w:space="0" w:color="auto"/>
        <w:right w:val="none" w:sz="0" w:space="0" w:color="auto"/>
      </w:divBdr>
    </w:div>
    <w:div w:id="1839466520">
      <w:bodyDiv w:val="1"/>
      <w:marLeft w:val="0"/>
      <w:marRight w:val="0"/>
      <w:marTop w:val="0"/>
      <w:marBottom w:val="0"/>
      <w:divBdr>
        <w:top w:val="none" w:sz="0" w:space="0" w:color="auto"/>
        <w:left w:val="none" w:sz="0" w:space="0" w:color="auto"/>
        <w:bottom w:val="none" w:sz="0" w:space="0" w:color="auto"/>
        <w:right w:val="none" w:sz="0" w:space="0" w:color="auto"/>
      </w:divBdr>
    </w:div>
    <w:div w:id="1948192492">
      <w:bodyDiv w:val="1"/>
      <w:marLeft w:val="0"/>
      <w:marRight w:val="0"/>
      <w:marTop w:val="0"/>
      <w:marBottom w:val="0"/>
      <w:divBdr>
        <w:top w:val="none" w:sz="0" w:space="0" w:color="auto"/>
        <w:left w:val="none" w:sz="0" w:space="0" w:color="auto"/>
        <w:bottom w:val="none" w:sz="0" w:space="0" w:color="auto"/>
        <w:right w:val="none" w:sz="0" w:space="0" w:color="auto"/>
      </w:divBdr>
    </w:div>
    <w:div w:id="2022968317">
      <w:bodyDiv w:val="1"/>
      <w:marLeft w:val="0"/>
      <w:marRight w:val="0"/>
      <w:marTop w:val="0"/>
      <w:marBottom w:val="0"/>
      <w:divBdr>
        <w:top w:val="none" w:sz="0" w:space="0" w:color="auto"/>
        <w:left w:val="none" w:sz="0" w:space="0" w:color="auto"/>
        <w:bottom w:val="none" w:sz="0" w:space="0" w:color="auto"/>
        <w:right w:val="none" w:sz="0" w:space="0" w:color="auto"/>
      </w:divBdr>
    </w:div>
    <w:div w:id="203032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4C078-5FF5-4E16-9F3A-1FE1EEE0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李禹民</cp:lastModifiedBy>
  <cp:revision>4</cp:revision>
  <cp:lastPrinted>2014-09-30T16:49:00Z</cp:lastPrinted>
  <dcterms:created xsi:type="dcterms:W3CDTF">2026-04-10T14:46:00Z</dcterms:created>
  <dcterms:modified xsi:type="dcterms:W3CDTF">2026-09-17T17:36:00Z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8098fb3662e404f175e1c57d81fe8dec7551d6ccb730f00f9e493a37402af288</vt:lpwstr>
  </property>
  <property fmtid="{D5CDD505-2E9C-101B-9397-08002B2CF9AE}" pid="3" name="MTWinEqns">
    <vt:bool>true</vt:bool>
  </property>
</Properties>
</file>