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C58D0" w14:textId="77777777" w:rsidR="00731F28" w:rsidRDefault="00731F28" w:rsidP="00731F28">
      <w:pPr>
        <w:pStyle w:val="Heading2"/>
        <w:spacing w:line="360" w:lineRule="auto"/>
        <w:jc w:val="both"/>
      </w:pPr>
      <w:bookmarkStart w:id="0" w:name="supplementary-material"/>
      <w:r>
        <w:t>Supplementary Material</w:t>
      </w:r>
    </w:p>
    <w:p w14:paraId="6B97E14D" w14:textId="77777777" w:rsidR="00731F28" w:rsidRDefault="00731F28" w:rsidP="00731F28">
      <w:pPr>
        <w:pStyle w:val="BodyText"/>
        <w:spacing w:line="360" w:lineRule="auto"/>
        <w:jc w:val="both"/>
      </w:pPr>
      <w:r>
        <w:rPr>
          <w:b/>
        </w:rPr>
        <w:t>Supplementary Table S1. Complete database and trial-registry search strategies used for the systematic review.</w:t>
      </w:r>
    </w:p>
    <w:tbl>
      <w:tblPr>
        <w:tblStyle w:val="Table"/>
        <w:tblW w:w="5000" w:type="pct"/>
        <w:tblInd w:w="0" w:type="dxa"/>
        <w:tblBorders>
          <w:top w:val="single" w:sz="4" w:space="0" w:color="6E8AA8"/>
          <w:left w:val="single" w:sz="4" w:space="0" w:color="6E8AA8"/>
          <w:bottom w:val="single" w:sz="4" w:space="0" w:color="6E8AA8"/>
          <w:right w:val="single" w:sz="4" w:space="0" w:color="6E8AA8"/>
          <w:insideH w:val="single" w:sz="4" w:space="0" w:color="6E8AA8"/>
          <w:insideV w:val="single" w:sz="4" w:space="0" w:color="6E8AA8"/>
        </w:tblBorders>
        <w:tblLook w:val="04A0" w:firstRow="1" w:lastRow="0" w:firstColumn="1" w:lastColumn="0" w:noHBand="0" w:noVBand="1"/>
      </w:tblPr>
      <w:tblGrid>
        <w:gridCol w:w="1696"/>
        <w:gridCol w:w="1556"/>
        <w:gridCol w:w="943"/>
        <w:gridCol w:w="5443"/>
      </w:tblGrid>
      <w:tr w:rsidR="00731F28" w14:paraId="6FAB7FA5" w14:textId="77777777" w:rsidTr="00C33A3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3CAB3A96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b/>
                <w:sz w:val="18"/>
              </w:rPr>
              <w:t>Source</w:t>
            </w:r>
          </w:p>
        </w:tc>
        <w:tc>
          <w:tcPr>
            <w:tcW w:w="0" w:type="auto"/>
          </w:tcPr>
          <w:p w14:paraId="0FF370D3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b/>
                <w:sz w:val="18"/>
              </w:rPr>
              <w:t>Platform</w:t>
            </w:r>
          </w:p>
        </w:tc>
        <w:tc>
          <w:tcPr>
            <w:tcW w:w="0" w:type="auto"/>
          </w:tcPr>
          <w:p w14:paraId="093C0A73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b/>
                <w:sz w:val="18"/>
              </w:rPr>
              <w:t>Date searched</w:t>
            </w:r>
          </w:p>
        </w:tc>
        <w:tc>
          <w:tcPr>
            <w:tcW w:w="0" w:type="auto"/>
          </w:tcPr>
          <w:p w14:paraId="5F698F4E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b/>
                <w:sz w:val="18"/>
              </w:rPr>
              <w:t>Strategy (verbatim / summary)</w:t>
            </w:r>
          </w:p>
        </w:tc>
      </w:tr>
      <w:tr w:rsidR="00731F28" w14:paraId="091CD3C9" w14:textId="77777777" w:rsidTr="00C33A3D">
        <w:tc>
          <w:tcPr>
            <w:tcW w:w="0" w:type="auto"/>
          </w:tcPr>
          <w:p w14:paraId="214CD4C1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sz w:val="18"/>
              </w:rPr>
              <w:t>PubMed/MEDLINE</w:t>
            </w:r>
          </w:p>
        </w:tc>
        <w:tc>
          <w:tcPr>
            <w:tcW w:w="0" w:type="auto"/>
          </w:tcPr>
          <w:p w14:paraId="1B8AB4AD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sz w:val="18"/>
              </w:rPr>
              <w:t>NCBI PubMed</w:t>
            </w:r>
          </w:p>
        </w:tc>
        <w:tc>
          <w:tcPr>
            <w:tcW w:w="0" w:type="auto"/>
          </w:tcPr>
          <w:p w14:paraId="33420C0B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sz w:val="18"/>
              </w:rPr>
              <w:t>15 Jan 2026</w:t>
            </w:r>
          </w:p>
        </w:tc>
        <w:tc>
          <w:tcPr>
            <w:tcW w:w="0" w:type="auto"/>
          </w:tcPr>
          <w:p w14:paraId="07D4C882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sz w:val="18"/>
              </w:rPr>
              <w:t>(“Aged”[Mesh] OR elderly[tiab] OR older[tiab] OR geriatric[tiab]) AND (“Hypertension”[Mesh] OR hypertension[tiab] OR hypertensive[tiab] OR “Antihypertensive Agents”[Mesh] OR antihypertensive[tiab]) AND (“Blood Pressure”[Mesh] OR “Hemodynamics”[Mesh] OR “Monitoring, Physiologic”[Mesh] OR intraoperative hypotension[tiab] OR “goal-directed”[tiab] OR goal-directed hemodynamic therapy[tiab] OR individualized blood pressure[tiab] OR mean arterial pressure[tiab] OR angiotensin-converting enzyme inhibitor</w:t>
            </w:r>
            <w:r>
              <w:rPr>
                <w:i/>
                <w:iCs/>
                <w:sz w:val="18"/>
              </w:rPr>
              <w:t>[tiab] OR angiotensin receptor blocker</w:t>
            </w:r>
            <w:r>
              <w:rPr>
                <w:sz w:val="18"/>
              </w:rPr>
              <w:t>[tiab]) AND (“Postoperative Complications”[Mesh] OR “Myocardial Ischemia”[Mesh] OR myocardial injury[tiab] OR “Acute Kidney Injury”[Mesh] OR “Delirium”[Mesh] OR delirium[tiab] OR organ dysfunction[tiab]) AND (“Perioperative Period”[Mesh] OR perioperative[tiab] OR intraoperative[tiab] OR surgery[tiab] OR surgical[tiab]) AND (randomized controlled trial[pt] OR controlled clinical trial[pt] OR cohort[tiab] OR observational[tiab] OR retrospective[tiab] OR prospective[tiab]) Filters: Humans; 2013/01/01–2026/01/15. Records: 1,986</w:t>
            </w:r>
          </w:p>
        </w:tc>
      </w:tr>
      <w:tr w:rsidR="00731F28" w14:paraId="157EB84C" w14:textId="77777777" w:rsidTr="00C33A3D">
        <w:tc>
          <w:tcPr>
            <w:tcW w:w="0" w:type="auto"/>
          </w:tcPr>
          <w:p w14:paraId="31F56E1B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sz w:val="18"/>
              </w:rPr>
              <w:t>Embase</w:t>
            </w:r>
          </w:p>
        </w:tc>
        <w:tc>
          <w:tcPr>
            <w:tcW w:w="0" w:type="auto"/>
          </w:tcPr>
          <w:p w14:paraId="2F8DE278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sz w:val="18"/>
              </w:rPr>
              <w:t>Ovid</w:t>
            </w:r>
          </w:p>
        </w:tc>
        <w:tc>
          <w:tcPr>
            <w:tcW w:w="0" w:type="auto"/>
          </w:tcPr>
          <w:p w14:paraId="7135D535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sz w:val="18"/>
              </w:rPr>
              <w:t>15 Jan 2026</w:t>
            </w:r>
          </w:p>
        </w:tc>
        <w:tc>
          <w:tcPr>
            <w:tcW w:w="0" w:type="auto"/>
          </w:tcPr>
          <w:p w14:paraId="39413443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sz w:val="18"/>
              </w:rPr>
              <w:t>(exp aged/ OR elderly.ti,ab.) AND (exp hypertension/ OR exp antihypertensive agent/ OR hypertens*.ti,ab.) AND (exp blood pressure/ OR exp hemodynamics/ OR exp physiologic monitoring/ OR intraoperative hypotension.ti,ab. OR goal-directed.ti,ab. OR mean arterial pressure.ti,ab. OR exp angiotensin converting enzyme inhibitor/ OR exp angiotensin receptor antagonist/) AND (exp postoperative complication/ OR exp heart muscle ischemia/ OR myocardial injury.ti,ab. OR exp acute kidney injury/ OR exp delirium/) AND (exp perioperative period/ OR perioperative.ti,ab. OR intraoperative.ti,ab.) AND (exp randomized controlled trial/ OR exp cohort analysis/ OR exp retrospective study/ OR exp prospective study/) Limits: human; 2013–2026. Records: 1,543</w:t>
            </w:r>
          </w:p>
        </w:tc>
      </w:tr>
      <w:tr w:rsidR="00731F28" w14:paraId="2751A76D" w14:textId="77777777" w:rsidTr="00C33A3D">
        <w:tc>
          <w:tcPr>
            <w:tcW w:w="0" w:type="auto"/>
          </w:tcPr>
          <w:p w14:paraId="3970F9CD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sz w:val="18"/>
              </w:rPr>
              <w:t>Cochrane CENTRAL</w:t>
            </w:r>
          </w:p>
        </w:tc>
        <w:tc>
          <w:tcPr>
            <w:tcW w:w="0" w:type="auto"/>
          </w:tcPr>
          <w:p w14:paraId="3E2BFE2C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sz w:val="18"/>
              </w:rPr>
              <w:t>Cochrane Library (Wiley)</w:t>
            </w:r>
          </w:p>
        </w:tc>
        <w:tc>
          <w:tcPr>
            <w:tcW w:w="0" w:type="auto"/>
          </w:tcPr>
          <w:p w14:paraId="38C2A983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sz w:val="18"/>
              </w:rPr>
              <w:t>15 Jan 2026</w:t>
            </w:r>
          </w:p>
        </w:tc>
        <w:tc>
          <w:tcPr>
            <w:tcW w:w="0" w:type="auto"/>
          </w:tcPr>
          <w:p w14:paraId="1EEDE407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sz w:val="18"/>
              </w:rPr>
              <w:t xml:space="preserve">#1 MeSH descriptor: [Hypertension] explode all trees; #2 (elderly OR aged OR older):ti,ab,kw; #3 (intraoperative hypotension OR hemodynamic monitoring OR goal-directed OR mean arterial pressure OR angiotensin):ti,ab,kw; #4 (myocardial injury OR acute kidney injury </w:t>
            </w:r>
            <w:r>
              <w:rPr>
                <w:sz w:val="18"/>
              </w:rPr>
              <w:lastRenderedPageBreak/>
              <w:t>OR delirium OR postoperative complications):ti,ab,kw; #5 #1 AND #2 AND #3 AND #4, publication year 2013–2026. Records: 612</w:t>
            </w:r>
          </w:p>
        </w:tc>
      </w:tr>
      <w:tr w:rsidR="00731F28" w14:paraId="4FE376B0" w14:textId="77777777" w:rsidTr="00C33A3D">
        <w:tc>
          <w:tcPr>
            <w:tcW w:w="0" w:type="auto"/>
          </w:tcPr>
          <w:p w14:paraId="0290D3FF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sz w:val="18"/>
              </w:rPr>
              <w:lastRenderedPageBreak/>
              <w:t>Web of Science</w:t>
            </w:r>
          </w:p>
        </w:tc>
        <w:tc>
          <w:tcPr>
            <w:tcW w:w="0" w:type="auto"/>
          </w:tcPr>
          <w:p w14:paraId="0921977C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sz w:val="18"/>
              </w:rPr>
              <w:t>WoS Core Collection (Clarivate)</w:t>
            </w:r>
          </w:p>
        </w:tc>
        <w:tc>
          <w:tcPr>
            <w:tcW w:w="0" w:type="auto"/>
          </w:tcPr>
          <w:p w14:paraId="68BD2C37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sz w:val="18"/>
              </w:rPr>
              <w:t>15 Jan 2026</w:t>
            </w:r>
          </w:p>
        </w:tc>
        <w:tc>
          <w:tcPr>
            <w:tcW w:w="0" w:type="auto"/>
          </w:tcPr>
          <w:p w14:paraId="3C562558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sz w:val="18"/>
              </w:rPr>
              <w:t>TS=((elderly OR aged OR older) AND (hypertension OR hypertensive OR antihypertensive) AND (“intraoperative hypotension” OR “hemodynamic monitoring” OR “goal-directed” OR “mean arterial pressure” OR “angiotensin-converting enzyme” OR “angiotensin receptor blocker”) AND (“myocardial injury” OR “acute kidney injury” OR delirium OR “postoperative complications”) AND (perioperative OR intraoperative OR surgery)) Timespan: 2013-01-01 to 2026-01-15. Records: 671</w:t>
            </w:r>
          </w:p>
        </w:tc>
      </w:tr>
      <w:tr w:rsidR="00731F28" w14:paraId="5AE12AA8" w14:textId="77777777" w:rsidTr="00C33A3D">
        <w:tc>
          <w:tcPr>
            <w:tcW w:w="0" w:type="auto"/>
          </w:tcPr>
          <w:p w14:paraId="644D0FFB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sz w:val="18"/>
              </w:rPr>
              <w:t>ClinicalTrials.gov</w:t>
            </w:r>
          </w:p>
        </w:tc>
        <w:tc>
          <w:tcPr>
            <w:tcW w:w="0" w:type="auto"/>
          </w:tcPr>
          <w:p w14:paraId="7B6B0C69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sz w:val="18"/>
              </w:rPr>
              <w:t>clinicaltrials.gov</w:t>
            </w:r>
          </w:p>
        </w:tc>
        <w:tc>
          <w:tcPr>
            <w:tcW w:w="0" w:type="auto"/>
          </w:tcPr>
          <w:p w14:paraId="54C81E7D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sz w:val="18"/>
              </w:rPr>
              <w:t>15 Jan 2026</w:t>
            </w:r>
          </w:p>
        </w:tc>
        <w:tc>
          <w:tcPr>
            <w:tcW w:w="0" w:type="auto"/>
          </w:tcPr>
          <w:p w14:paraId="1C46957A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sz w:val="18"/>
              </w:rPr>
              <w:t>Condition: hypertension OR hypotension; Other terms: perioperative OR intraoperative OR noncardiac surgery; Study type: interventional; Status: completed OR active, not recruiting OR terminated; Start date 01/2013–01/2026. Records: 74 (2 ongoing trials awaiting classification)</w:t>
            </w:r>
          </w:p>
        </w:tc>
      </w:tr>
    </w:tbl>
    <w:p w14:paraId="0B2E57DC" w14:textId="77777777" w:rsidR="00731F28" w:rsidRDefault="00731F28" w:rsidP="00731F28">
      <w:pPr>
        <w:pStyle w:val="BodyText"/>
        <w:spacing w:line="360" w:lineRule="auto"/>
        <w:jc w:val="both"/>
      </w:pPr>
      <w:r>
        <w:rPr>
          <w:i/>
          <w:iCs/>
        </w:rPr>
        <w:t>Deduplication: EndNote 21 automated deduplication (title, author, year matching) followed by manual verification by two reviewers; 1,233 duplicates removed.</w:t>
      </w:r>
    </w:p>
    <w:p w14:paraId="0BED4AD2" w14:textId="77777777" w:rsidR="00731F28" w:rsidRDefault="00731F28" w:rsidP="00731F28">
      <w:pPr>
        <w:pStyle w:val="BodyText"/>
        <w:spacing w:line="360" w:lineRule="auto"/>
        <w:jc w:val="both"/>
      </w:pPr>
      <w:r>
        <w:rPr>
          <w:b/>
        </w:rPr>
        <w:t>Supplementary Table S2. Full-text reports excluded during eligibility assessment, with reasons for exclusion. (a) Exclusion categories (n = 143 reports).</w:t>
      </w:r>
    </w:p>
    <w:tbl>
      <w:tblPr>
        <w:tblStyle w:val="Table"/>
        <w:tblW w:w="5000" w:type="pct"/>
        <w:tblInd w:w="0" w:type="dxa"/>
        <w:tblBorders>
          <w:top w:val="single" w:sz="4" w:space="0" w:color="6E8AA8"/>
          <w:left w:val="single" w:sz="4" w:space="0" w:color="6E8AA8"/>
          <w:bottom w:val="single" w:sz="4" w:space="0" w:color="6E8AA8"/>
          <w:right w:val="single" w:sz="4" w:space="0" w:color="6E8AA8"/>
          <w:insideH w:val="single" w:sz="4" w:space="0" w:color="6E8AA8"/>
          <w:insideV w:val="single" w:sz="4" w:space="0" w:color="6E8AA8"/>
        </w:tblBorders>
        <w:tblLook w:val="04A0" w:firstRow="1" w:lastRow="0" w:firstColumn="1" w:lastColumn="0" w:noHBand="0" w:noVBand="1"/>
      </w:tblPr>
      <w:tblGrid>
        <w:gridCol w:w="9204"/>
        <w:gridCol w:w="434"/>
      </w:tblGrid>
      <w:tr w:rsidR="00731F28" w14:paraId="0177C78F" w14:textId="77777777" w:rsidTr="00C33A3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295C2119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b/>
                <w:sz w:val="18"/>
              </w:rPr>
              <w:t>Reason for exclusion</w:t>
            </w:r>
          </w:p>
        </w:tc>
        <w:tc>
          <w:tcPr>
            <w:tcW w:w="0" w:type="auto"/>
          </w:tcPr>
          <w:p w14:paraId="4E6E8882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b/>
                <w:sz w:val="18"/>
              </w:rPr>
              <w:t>n</w:t>
            </w:r>
          </w:p>
        </w:tc>
      </w:tr>
      <w:tr w:rsidR="00731F28" w14:paraId="57F81CEF" w14:textId="77777777" w:rsidTr="00C33A3D">
        <w:tc>
          <w:tcPr>
            <w:tcW w:w="0" w:type="auto"/>
          </w:tcPr>
          <w:p w14:paraId="6B2F74BD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sz w:val="18"/>
              </w:rPr>
              <w:t>Wrong population (e.g., cardiac surgery, paediatric, non-surgical)</w:t>
            </w:r>
          </w:p>
        </w:tc>
        <w:tc>
          <w:tcPr>
            <w:tcW w:w="0" w:type="auto"/>
          </w:tcPr>
          <w:p w14:paraId="169E74EB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sz w:val="18"/>
              </w:rPr>
              <w:t>47</w:t>
            </w:r>
          </w:p>
        </w:tc>
      </w:tr>
      <w:tr w:rsidR="00731F28" w14:paraId="2E84F3F6" w14:textId="77777777" w:rsidTr="00C33A3D">
        <w:tc>
          <w:tcPr>
            <w:tcW w:w="0" w:type="auto"/>
          </w:tcPr>
          <w:p w14:paraId="647AD430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sz w:val="18"/>
              </w:rPr>
              <w:t>Wrong intervention (e.g., pharmacological sedation, anaesthetic technique, not hemodynamic monitoring-guided)</w:t>
            </w:r>
          </w:p>
        </w:tc>
        <w:tc>
          <w:tcPr>
            <w:tcW w:w="0" w:type="auto"/>
          </w:tcPr>
          <w:p w14:paraId="572B2DB2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sz w:val="18"/>
              </w:rPr>
              <w:t>31</w:t>
            </w:r>
          </w:p>
        </w:tc>
      </w:tr>
      <w:tr w:rsidR="00731F28" w14:paraId="5516E879" w14:textId="77777777" w:rsidTr="00C33A3D">
        <w:tc>
          <w:tcPr>
            <w:tcW w:w="0" w:type="auto"/>
          </w:tcPr>
          <w:p w14:paraId="3D8FE63B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sz w:val="18"/>
              </w:rPr>
              <w:t>Ineligible design (systematic/narrative review, editorial, case report)</w:t>
            </w:r>
          </w:p>
        </w:tc>
        <w:tc>
          <w:tcPr>
            <w:tcW w:w="0" w:type="auto"/>
          </w:tcPr>
          <w:p w14:paraId="5480324F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sz w:val="18"/>
              </w:rPr>
              <w:t>29</w:t>
            </w:r>
          </w:p>
        </w:tc>
      </w:tr>
      <w:tr w:rsidR="00731F28" w14:paraId="578B9615" w14:textId="77777777" w:rsidTr="00C33A3D">
        <w:tc>
          <w:tcPr>
            <w:tcW w:w="0" w:type="auto"/>
          </w:tcPr>
          <w:p w14:paraId="6AE159BF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sz w:val="18"/>
              </w:rPr>
              <w:t>No target outcome (no MINS, AKI, delirium, or organ-injury composite)</w:t>
            </w:r>
          </w:p>
        </w:tc>
        <w:tc>
          <w:tcPr>
            <w:tcW w:w="0" w:type="auto"/>
          </w:tcPr>
          <w:p w14:paraId="623CF4E3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sz w:val="18"/>
              </w:rPr>
              <w:t>18</w:t>
            </w:r>
          </w:p>
        </w:tc>
      </w:tr>
      <w:tr w:rsidR="00731F28" w14:paraId="7EB06CA7" w14:textId="77777777" w:rsidTr="00C33A3D">
        <w:tc>
          <w:tcPr>
            <w:tcW w:w="0" w:type="auto"/>
          </w:tcPr>
          <w:p w14:paraId="210999DE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sz w:val="18"/>
              </w:rPr>
              <w:t>No separable target-population data (cohort mean age &lt;65 yr without elderly/hypertensive subgroup)</w:t>
            </w:r>
          </w:p>
        </w:tc>
        <w:tc>
          <w:tcPr>
            <w:tcW w:w="0" w:type="auto"/>
          </w:tcPr>
          <w:p w14:paraId="0860A541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sz w:val="18"/>
              </w:rPr>
              <w:t>9</w:t>
            </w:r>
          </w:p>
        </w:tc>
      </w:tr>
      <w:tr w:rsidR="00731F28" w14:paraId="5A412A82" w14:textId="77777777" w:rsidTr="00C33A3D">
        <w:tc>
          <w:tcPr>
            <w:tcW w:w="0" w:type="auto"/>
          </w:tcPr>
          <w:p w14:paraId="51452BCB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sz w:val="18"/>
              </w:rPr>
              <w:t>Abstract-only publication</w:t>
            </w:r>
          </w:p>
        </w:tc>
        <w:tc>
          <w:tcPr>
            <w:tcW w:w="0" w:type="auto"/>
          </w:tcPr>
          <w:p w14:paraId="65ADDE97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sz w:val="18"/>
              </w:rPr>
              <w:t>4</w:t>
            </w:r>
          </w:p>
        </w:tc>
      </w:tr>
      <w:tr w:rsidR="00731F28" w14:paraId="75C0F9A3" w14:textId="77777777" w:rsidTr="00C33A3D">
        <w:tc>
          <w:tcPr>
            <w:tcW w:w="0" w:type="auto"/>
          </w:tcPr>
          <w:p w14:paraId="1108AD66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sz w:val="18"/>
              </w:rPr>
              <w:t>Superseded companion report (data contained in primary report)</w:t>
            </w:r>
          </w:p>
        </w:tc>
        <w:tc>
          <w:tcPr>
            <w:tcW w:w="0" w:type="auto"/>
          </w:tcPr>
          <w:p w14:paraId="14F0D250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sz w:val="18"/>
              </w:rPr>
              <w:t>3</w:t>
            </w:r>
          </w:p>
        </w:tc>
      </w:tr>
      <w:tr w:rsidR="00731F28" w14:paraId="36DDED9B" w14:textId="77777777" w:rsidTr="00C33A3D">
        <w:tc>
          <w:tcPr>
            <w:tcW w:w="0" w:type="auto"/>
          </w:tcPr>
          <w:p w14:paraId="0735D35C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sz w:val="18"/>
              </w:rPr>
              <w:t>Duplicate full text of screened record</w:t>
            </w:r>
          </w:p>
        </w:tc>
        <w:tc>
          <w:tcPr>
            <w:tcW w:w="0" w:type="auto"/>
          </w:tcPr>
          <w:p w14:paraId="36FA2EB0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sz w:val="18"/>
              </w:rPr>
              <w:t>2</w:t>
            </w:r>
          </w:p>
        </w:tc>
      </w:tr>
    </w:tbl>
    <w:p w14:paraId="7AF11AB6" w14:textId="77777777" w:rsidR="00731F28" w:rsidRDefault="00731F28" w:rsidP="00731F28">
      <w:pPr>
        <w:pStyle w:val="BodyText"/>
        <w:spacing w:line="360" w:lineRule="auto"/>
        <w:jc w:val="both"/>
      </w:pPr>
      <w:r>
        <w:rPr>
          <w:b/>
        </w:rPr>
        <w:t>Supplementary Table S2 (continued). (b) Notable individual exclusions.</w:t>
      </w:r>
    </w:p>
    <w:tbl>
      <w:tblPr>
        <w:tblStyle w:val="Table"/>
        <w:tblW w:w="5000" w:type="pct"/>
        <w:tblInd w:w="0" w:type="dxa"/>
        <w:tblBorders>
          <w:top w:val="single" w:sz="4" w:space="0" w:color="6E8AA8"/>
          <w:left w:val="single" w:sz="4" w:space="0" w:color="6E8AA8"/>
          <w:bottom w:val="single" w:sz="4" w:space="0" w:color="6E8AA8"/>
          <w:right w:val="single" w:sz="4" w:space="0" w:color="6E8AA8"/>
          <w:insideH w:val="single" w:sz="4" w:space="0" w:color="6E8AA8"/>
          <w:insideV w:val="single" w:sz="4" w:space="0" w:color="6E8AA8"/>
        </w:tblBorders>
        <w:tblLook w:val="04A0" w:firstRow="1" w:lastRow="0" w:firstColumn="1" w:lastColumn="0" w:noHBand="0" w:noVBand="1"/>
      </w:tblPr>
      <w:tblGrid>
        <w:gridCol w:w="3715"/>
        <w:gridCol w:w="5923"/>
      </w:tblGrid>
      <w:tr w:rsidR="00731F28" w14:paraId="7B25BB75" w14:textId="77777777" w:rsidTr="00C33A3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0E9ABC4B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b/>
                <w:sz w:val="18"/>
              </w:rPr>
              <w:t>Publication</w:t>
            </w:r>
          </w:p>
        </w:tc>
        <w:tc>
          <w:tcPr>
            <w:tcW w:w="0" w:type="auto"/>
          </w:tcPr>
          <w:p w14:paraId="61364C9B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b/>
                <w:sz w:val="18"/>
              </w:rPr>
              <w:t>Reason for exclusion</w:t>
            </w:r>
          </w:p>
        </w:tc>
      </w:tr>
      <w:tr w:rsidR="00731F28" w14:paraId="18DF8AE9" w14:textId="77777777" w:rsidTr="00C33A3D">
        <w:tc>
          <w:tcPr>
            <w:tcW w:w="0" w:type="auto"/>
          </w:tcPr>
          <w:p w14:paraId="71957FF2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sz w:val="18"/>
              </w:rPr>
              <w:t>Bottussi et al. 2025, Front Med [48]</w:t>
            </w:r>
          </w:p>
        </w:tc>
        <w:tc>
          <w:tcPr>
            <w:tcW w:w="0" w:type="auto"/>
          </w:tcPr>
          <w:p w14:paraId="0F5A5E47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sz w:val="18"/>
              </w:rPr>
              <w:t>Systematic review design; secondary evidence ineligible as a primary study</w:t>
            </w:r>
          </w:p>
        </w:tc>
      </w:tr>
      <w:tr w:rsidR="00731F28" w14:paraId="40889ADA" w14:textId="77777777" w:rsidTr="00C33A3D">
        <w:tc>
          <w:tcPr>
            <w:tcW w:w="0" w:type="auto"/>
          </w:tcPr>
          <w:p w14:paraId="52E0BA33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sz w:val="18"/>
              </w:rPr>
              <w:t>Wiersinga et al. 2025, Lancet Reg Health Eur [49]</w:t>
            </w:r>
          </w:p>
        </w:tc>
        <w:tc>
          <w:tcPr>
            <w:tcW w:w="0" w:type="auto"/>
          </w:tcPr>
          <w:p w14:paraId="12542127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sz w:val="18"/>
              </w:rPr>
              <w:t>Narrative review; non-perioperative population; no surgical outcomes</w:t>
            </w:r>
          </w:p>
        </w:tc>
      </w:tr>
      <w:tr w:rsidR="00731F28" w14:paraId="4107F018" w14:textId="77777777" w:rsidTr="00C33A3D">
        <w:tc>
          <w:tcPr>
            <w:tcW w:w="0" w:type="auto"/>
          </w:tcPr>
          <w:p w14:paraId="53A97430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sz w:val="18"/>
              </w:rPr>
              <w:lastRenderedPageBreak/>
              <w:t>Aronson et al. 2008 (ECLIPSE), Anesth Analg [43]</w:t>
            </w:r>
          </w:p>
        </w:tc>
        <w:tc>
          <w:tcPr>
            <w:tcW w:w="0" w:type="auto"/>
          </w:tcPr>
          <w:p w14:paraId="26DB2ADC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sz w:val="18"/>
              </w:rPr>
              <w:t>Cardiac-surgery population only; outside scope</w:t>
            </w:r>
          </w:p>
        </w:tc>
      </w:tr>
      <w:tr w:rsidR="00731F28" w14:paraId="3699D5E5" w14:textId="77777777" w:rsidTr="00C33A3D">
        <w:tc>
          <w:tcPr>
            <w:tcW w:w="0" w:type="auto"/>
          </w:tcPr>
          <w:p w14:paraId="6892AF12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sz w:val="18"/>
              </w:rPr>
              <w:t>Azizi et al. 2023 (RADIANCE II), JAMA [44]</w:t>
            </w:r>
          </w:p>
        </w:tc>
        <w:tc>
          <w:tcPr>
            <w:tcW w:w="0" w:type="auto"/>
          </w:tcPr>
          <w:p w14:paraId="5E532406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sz w:val="18"/>
              </w:rPr>
              <w:t>Non-surgical hypertensive population; no perioperative outcomes</w:t>
            </w:r>
          </w:p>
        </w:tc>
      </w:tr>
      <w:tr w:rsidR="00731F28" w14:paraId="63651CC4" w14:textId="77777777" w:rsidTr="00C33A3D">
        <w:tc>
          <w:tcPr>
            <w:tcW w:w="0" w:type="auto"/>
          </w:tcPr>
          <w:p w14:paraId="46AF7241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sz w:val="18"/>
              </w:rPr>
              <w:t>Azizi et al. 2021 (RADIANCE-HTN TRIO), Lancet [45]</w:t>
            </w:r>
          </w:p>
        </w:tc>
        <w:tc>
          <w:tcPr>
            <w:tcW w:w="0" w:type="auto"/>
          </w:tcPr>
          <w:p w14:paraId="53BF0D11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sz w:val="18"/>
              </w:rPr>
              <w:t>Non-surgical hypertensive population; no perioperative outcomes</w:t>
            </w:r>
          </w:p>
        </w:tc>
      </w:tr>
      <w:tr w:rsidR="00731F28" w14:paraId="24BC9099" w14:textId="77777777" w:rsidTr="00C33A3D">
        <w:tc>
          <w:tcPr>
            <w:tcW w:w="0" w:type="auto"/>
          </w:tcPr>
          <w:p w14:paraId="390D7201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sz w:val="18"/>
              </w:rPr>
              <w:t>Mahfoud et al. 2022 (SPYRAL HTN-ON MED), Lancet [46]</w:t>
            </w:r>
          </w:p>
        </w:tc>
        <w:tc>
          <w:tcPr>
            <w:tcW w:w="0" w:type="auto"/>
          </w:tcPr>
          <w:p w14:paraId="53DB724B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sz w:val="18"/>
              </w:rPr>
              <w:t>Non-surgical hypertensive population; no perioperative outcomes</w:t>
            </w:r>
          </w:p>
        </w:tc>
      </w:tr>
      <w:tr w:rsidR="00731F28" w14:paraId="6A8BCB00" w14:textId="77777777" w:rsidTr="00C33A3D">
        <w:tc>
          <w:tcPr>
            <w:tcW w:w="0" w:type="auto"/>
          </w:tcPr>
          <w:p w14:paraId="7103FFE4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sz w:val="18"/>
              </w:rPr>
              <w:t>Jiang et al. 2024 (Iberis-HTN), Circulation [47]</w:t>
            </w:r>
          </w:p>
        </w:tc>
        <w:tc>
          <w:tcPr>
            <w:tcW w:w="0" w:type="auto"/>
          </w:tcPr>
          <w:p w14:paraId="417CC484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sz w:val="18"/>
              </w:rPr>
              <w:t>Non-surgical hypertensive population; no perioperative outcomes</w:t>
            </w:r>
          </w:p>
        </w:tc>
      </w:tr>
      <w:tr w:rsidR="00731F28" w14:paraId="0952E35F" w14:textId="77777777" w:rsidTr="00C33A3D">
        <w:tc>
          <w:tcPr>
            <w:tcW w:w="0" w:type="auto"/>
          </w:tcPr>
          <w:p w14:paraId="0FF7B10B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sz w:val="18"/>
              </w:rPr>
              <w:t>Deiner et al. 2017, JAMA Surg [50]</w:t>
            </w:r>
          </w:p>
        </w:tc>
        <w:tc>
          <w:tcPr>
            <w:tcW w:w="0" w:type="auto"/>
          </w:tcPr>
          <w:p w14:paraId="2C4FB802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sz w:val="18"/>
              </w:rPr>
              <w:t>Pharmacological (dexmedetomidine) intervention, not hemodynamic monitoring-guided management</w:t>
            </w:r>
          </w:p>
        </w:tc>
      </w:tr>
      <w:tr w:rsidR="00731F28" w14:paraId="4BFAC2D4" w14:textId="77777777" w:rsidTr="00C33A3D">
        <w:tc>
          <w:tcPr>
            <w:tcW w:w="0" w:type="auto"/>
          </w:tcPr>
          <w:p w14:paraId="4BE9614B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sz w:val="18"/>
              </w:rPr>
              <w:t>Calvo-Vecino et al. 2018 (FEDORA), Br J Anaesth [19]</w:t>
            </w:r>
          </w:p>
        </w:tc>
        <w:tc>
          <w:tcPr>
            <w:tcW w:w="0" w:type="auto"/>
          </w:tcPr>
          <w:p w14:paraId="53465369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sz w:val="18"/>
              </w:rPr>
              <w:t>Cohort mean age &lt;65 years; no separable elderly or hypertensive subgroup</w:t>
            </w:r>
          </w:p>
        </w:tc>
      </w:tr>
    </w:tbl>
    <w:p w14:paraId="6E111721" w14:textId="77777777" w:rsidR="00731F28" w:rsidRDefault="00731F28" w:rsidP="00731F28">
      <w:pPr>
        <w:pStyle w:val="Heading3"/>
        <w:spacing w:line="360" w:lineRule="auto"/>
        <w:jc w:val="both"/>
      </w:pPr>
      <w:bookmarkStart w:id="1" w:name="Xe0787890bfa55002165bb24200a4b50639c22c3"/>
      <w:r>
        <w:t>Supplementary Table S3. PRISMA 2020 checklist (abridged, with manuscript location)</w:t>
      </w:r>
    </w:p>
    <w:tbl>
      <w:tblPr>
        <w:tblStyle w:val="Table"/>
        <w:tblW w:w="5000" w:type="pct"/>
        <w:tblInd w:w="0" w:type="dxa"/>
        <w:tblBorders>
          <w:top w:val="single" w:sz="4" w:space="0" w:color="6E8AA8"/>
          <w:left w:val="single" w:sz="4" w:space="0" w:color="6E8AA8"/>
          <w:bottom w:val="single" w:sz="4" w:space="0" w:color="6E8AA8"/>
          <w:right w:val="single" w:sz="4" w:space="0" w:color="6E8AA8"/>
          <w:insideH w:val="single" w:sz="4" w:space="0" w:color="6E8AA8"/>
          <w:insideV w:val="single" w:sz="4" w:space="0" w:color="6E8AA8"/>
        </w:tblBorders>
        <w:tblLook w:val="04A0" w:firstRow="1" w:lastRow="0" w:firstColumn="1" w:lastColumn="0" w:noHBand="0" w:noVBand="1"/>
      </w:tblPr>
      <w:tblGrid>
        <w:gridCol w:w="5855"/>
        <w:gridCol w:w="1041"/>
        <w:gridCol w:w="2742"/>
      </w:tblGrid>
      <w:tr w:rsidR="00731F28" w14:paraId="43FCC6E5" w14:textId="77777777" w:rsidTr="00C33A3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20B13E35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b/>
                <w:sz w:val="18"/>
              </w:rPr>
              <w:t>Section / item</w:t>
            </w:r>
          </w:p>
        </w:tc>
        <w:tc>
          <w:tcPr>
            <w:tcW w:w="0" w:type="auto"/>
          </w:tcPr>
          <w:p w14:paraId="4AAC3C6A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b/>
                <w:sz w:val="18"/>
              </w:rPr>
              <w:t>Reported</w:t>
            </w:r>
          </w:p>
        </w:tc>
        <w:tc>
          <w:tcPr>
            <w:tcW w:w="0" w:type="auto"/>
          </w:tcPr>
          <w:p w14:paraId="4C967B16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b/>
                <w:sz w:val="18"/>
              </w:rPr>
              <w:t>Location</w:t>
            </w:r>
          </w:p>
        </w:tc>
      </w:tr>
      <w:tr w:rsidR="00731F28" w14:paraId="07A348F7" w14:textId="77777777" w:rsidTr="00C33A3D">
        <w:tc>
          <w:tcPr>
            <w:tcW w:w="0" w:type="auto"/>
          </w:tcPr>
          <w:p w14:paraId="5367191B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sz w:val="18"/>
              </w:rPr>
              <w:t>1. Title identifies systematic review</w:t>
            </w:r>
          </w:p>
        </w:tc>
        <w:tc>
          <w:tcPr>
            <w:tcW w:w="0" w:type="auto"/>
          </w:tcPr>
          <w:p w14:paraId="353AF973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sz w:val="18"/>
              </w:rPr>
              <w:t>Yes</w:t>
            </w:r>
          </w:p>
        </w:tc>
        <w:tc>
          <w:tcPr>
            <w:tcW w:w="0" w:type="auto"/>
          </w:tcPr>
          <w:p w14:paraId="3280860C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sz w:val="18"/>
              </w:rPr>
              <w:t>Title</w:t>
            </w:r>
          </w:p>
        </w:tc>
      </w:tr>
      <w:tr w:rsidR="00731F28" w14:paraId="192E5FFD" w14:textId="77777777" w:rsidTr="00C33A3D">
        <w:tc>
          <w:tcPr>
            <w:tcW w:w="0" w:type="auto"/>
          </w:tcPr>
          <w:p w14:paraId="1E32CD9A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sz w:val="18"/>
              </w:rPr>
              <w:t>2. Abstract (structured summary)</w:t>
            </w:r>
          </w:p>
        </w:tc>
        <w:tc>
          <w:tcPr>
            <w:tcW w:w="0" w:type="auto"/>
          </w:tcPr>
          <w:p w14:paraId="1E064452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sz w:val="18"/>
              </w:rPr>
              <w:t>Yes</w:t>
            </w:r>
          </w:p>
        </w:tc>
        <w:tc>
          <w:tcPr>
            <w:tcW w:w="0" w:type="auto"/>
          </w:tcPr>
          <w:p w14:paraId="7177BA2E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sz w:val="18"/>
              </w:rPr>
              <w:t>Abstract</w:t>
            </w:r>
          </w:p>
        </w:tc>
      </w:tr>
      <w:tr w:rsidR="00731F28" w14:paraId="3A666B07" w14:textId="77777777" w:rsidTr="00C33A3D">
        <w:tc>
          <w:tcPr>
            <w:tcW w:w="0" w:type="auto"/>
          </w:tcPr>
          <w:p w14:paraId="23252855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sz w:val="18"/>
              </w:rPr>
              <w:t>3–4. Rationale; objectives (explicit question)</w:t>
            </w:r>
          </w:p>
        </w:tc>
        <w:tc>
          <w:tcPr>
            <w:tcW w:w="0" w:type="auto"/>
          </w:tcPr>
          <w:p w14:paraId="6388F9ED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sz w:val="18"/>
              </w:rPr>
              <w:t>Yes</w:t>
            </w:r>
          </w:p>
        </w:tc>
        <w:tc>
          <w:tcPr>
            <w:tcW w:w="0" w:type="auto"/>
          </w:tcPr>
          <w:p w14:paraId="18E8EA04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sz w:val="18"/>
              </w:rPr>
              <w:t>Section 1; Table 1</w:t>
            </w:r>
          </w:p>
        </w:tc>
      </w:tr>
      <w:tr w:rsidR="00731F28" w14:paraId="51F7FC60" w14:textId="77777777" w:rsidTr="00C33A3D">
        <w:tc>
          <w:tcPr>
            <w:tcW w:w="0" w:type="auto"/>
          </w:tcPr>
          <w:p w14:paraId="0624C1A4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sz w:val="18"/>
              </w:rPr>
              <w:t>5. Eligibility criteria</w:t>
            </w:r>
          </w:p>
        </w:tc>
        <w:tc>
          <w:tcPr>
            <w:tcW w:w="0" w:type="auto"/>
          </w:tcPr>
          <w:p w14:paraId="4B2558BD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sz w:val="18"/>
              </w:rPr>
              <w:t>Yes</w:t>
            </w:r>
          </w:p>
        </w:tc>
        <w:tc>
          <w:tcPr>
            <w:tcW w:w="0" w:type="auto"/>
          </w:tcPr>
          <w:p w14:paraId="72CA3249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sz w:val="18"/>
              </w:rPr>
              <w:t>Section 2.2</w:t>
            </w:r>
          </w:p>
        </w:tc>
      </w:tr>
      <w:tr w:rsidR="00731F28" w14:paraId="746676C4" w14:textId="77777777" w:rsidTr="00C33A3D">
        <w:tc>
          <w:tcPr>
            <w:tcW w:w="0" w:type="auto"/>
          </w:tcPr>
          <w:p w14:paraId="3199D168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sz w:val="18"/>
              </w:rPr>
              <w:t>6. Information sources (databases, dates)</w:t>
            </w:r>
          </w:p>
        </w:tc>
        <w:tc>
          <w:tcPr>
            <w:tcW w:w="0" w:type="auto"/>
          </w:tcPr>
          <w:p w14:paraId="75035726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sz w:val="18"/>
              </w:rPr>
              <w:t>Yes</w:t>
            </w:r>
          </w:p>
        </w:tc>
        <w:tc>
          <w:tcPr>
            <w:tcW w:w="0" w:type="auto"/>
          </w:tcPr>
          <w:p w14:paraId="1C333AE0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sz w:val="18"/>
              </w:rPr>
              <w:t>Section 2.3; Table S1</w:t>
            </w:r>
          </w:p>
        </w:tc>
      </w:tr>
      <w:tr w:rsidR="00731F28" w14:paraId="14B94FDF" w14:textId="77777777" w:rsidTr="00C33A3D">
        <w:tc>
          <w:tcPr>
            <w:tcW w:w="0" w:type="auto"/>
          </w:tcPr>
          <w:p w14:paraId="19E743C7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sz w:val="18"/>
              </w:rPr>
              <w:t>7. Full search strategy (≥1 database verbatim)</w:t>
            </w:r>
          </w:p>
        </w:tc>
        <w:tc>
          <w:tcPr>
            <w:tcW w:w="0" w:type="auto"/>
          </w:tcPr>
          <w:p w14:paraId="581FE576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sz w:val="18"/>
              </w:rPr>
              <w:t>Yes</w:t>
            </w:r>
          </w:p>
        </w:tc>
        <w:tc>
          <w:tcPr>
            <w:tcW w:w="0" w:type="auto"/>
          </w:tcPr>
          <w:p w14:paraId="5AB2B43C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sz w:val="18"/>
              </w:rPr>
              <w:t>Table S1</w:t>
            </w:r>
          </w:p>
        </w:tc>
      </w:tr>
      <w:tr w:rsidR="00731F28" w14:paraId="1E0FB967" w14:textId="77777777" w:rsidTr="00C33A3D">
        <w:tc>
          <w:tcPr>
            <w:tcW w:w="0" w:type="auto"/>
          </w:tcPr>
          <w:p w14:paraId="2439CAF9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sz w:val="18"/>
              </w:rPr>
              <w:t>8–9. Selection process (reviewers, independence)</w:t>
            </w:r>
          </w:p>
        </w:tc>
        <w:tc>
          <w:tcPr>
            <w:tcW w:w="0" w:type="auto"/>
          </w:tcPr>
          <w:p w14:paraId="582C6555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sz w:val="18"/>
              </w:rPr>
              <w:t>Yes</w:t>
            </w:r>
          </w:p>
        </w:tc>
        <w:tc>
          <w:tcPr>
            <w:tcW w:w="0" w:type="auto"/>
          </w:tcPr>
          <w:p w14:paraId="3A385488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sz w:val="18"/>
              </w:rPr>
              <w:t>Section 2.4</w:t>
            </w:r>
          </w:p>
        </w:tc>
      </w:tr>
      <w:tr w:rsidR="00731F28" w14:paraId="6B802B59" w14:textId="77777777" w:rsidTr="00C33A3D">
        <w:tc>
          <w:tcPr>
            <w:tcW w:w="0" w:type="auto"/>
          </w:tcPr>
          <w:p w14:paraId="5C486FA5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sz w:val="18"/>
              </w:rPr>
              <w:t>10. Data collection process</w:t>
            </w:r>
          </w:p>
        </w:tc>
        <w:tc>
          <w:tcPr>
            <w:tcW w:w="0" w:type="auto"/>
          </w:tcPr>
          <w:p w14:paraId="61EFF4DD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sz w:val="18"/>
              </w:rPr>
              <w:t>Yes</w:t>
            </w:r>
          </w:p>
        </w:tc>
        <w:tc>
          <w:tcPr>
            <w:tcW w:w="0" w:type="auto"/>
          </w:tcPr>
          <w:p w14:paraId="4D91C004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sz w:val="18"/>
              </w:rPr>
              <w:t>Section 2.5</w:t>
            </w:r>
          </w:p>
        </w:tc>
      </w:tr>
      <w:tr w:rsidR="00731F28" w14:paraId="50E82EF7" w14:textId="77777777" w:rsidTr="00C33A3D">
        <w:tc>
          <w:tcPr>
            <w:tcW w:w="0" w:type="auto"/>
          </w:tcPr>
          <w:p w14:paraId="2F0BE3A1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sz w:val="18"/>
              </w:rPr>
              <w:t>11. Data items (all variables)</w:t>
            </w:r>
          </w:p>
        </w:tc>
        <w:tc>
          <w:tcPr>
            <w:tcW w:w="0" w:type="auto"/>
          </w:tcPr>
          <w:p w14:paraId="76285959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sz w:val="18"/>
              </w:rPr>
              <w:t>Yes</w:t>
            </w:r>
          </w:p>
        </w:tc>
        <w:tc>
          <w:tcPr>
            <w:tcW w:w="0" w:type="auto"/>
          </w:tcPr>
          <w:p w14:paraId="04F89E93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sz w:val="18"/>
              </w:rPr>
              <w:t>Section 2.5; Table 2</w:t>
            </w:r>
          </w:p>
        </w:tc>
      </w:tr>
      <w:tr w:rsidR="00731F28" w14:paraId="15D2B6A2" w14:textId="77777777" w:rsidTr="00C33A3D">
        <w:tc>
          <w:tcPr>
            <w:tcW w:w="0" w:type="auto"/>
          </w:tcPr>
          <w:p w14:paraId="765E9118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sz w:val="18"/>
              </w:rPr>
              <w:t>12. Study risk of bias assessment</w:t>
            </w:r>
          </w:p>
        </w:tc>
        <w:tc>
          <w:tcPr>
            <w:tcW w:w="0" w:type="auto"/>
          </w:tcPr>
          <w:p w14:paraId="24F13DFB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sz w:val="18"/>
              </w:rPr>
              <w:t>Yes</w:t>
            </w:r>
          </w:p>
        </w:tc>
        <w:tc>
          <w:tcPr>
            <w:tcW w:w="0" w:type="auto"/>
          </w:tcPr>
          <w:p w14:paraId="55E38E30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sz w:val="18"/>
              </w:rPr>
              <w:t>Section 2.6; Tables 3–4</w:t>
            </w:r>
          </w:p>
        </w:tc>
      </w:tr>
      <w:tr w:rsidR="00731F28" w14:paraId="059D4EE8" w14:textId="77777777" w:rsidTr="00C33A3D">
        <w:tc>
          <w:tcPr>
            <w:tcW w:w="0" w:type="auto"/>
          </w:tcPr>
          <w:p w14:paraId="4FB52D9B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sz w:val="18"/>
              </w:rPr>
              <w:t>13. Effect measures</w:t>
            </w:r>
          </w:p>
        </w:tc>
        <w:tc>
          <w:tcPr>
            <w:tcW w:w="0" w:type="auto"/>
          </w:tcPr>
          <w:p w14:paraId="74A37B75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sz w:val="18"/>
              </w:rPr>
              <w:t>Yes</w:t>
            </w:r>
          </w:p>
        </w:tc>
        <w:tc>
          <w:tcPr>
            <w:tcW w:w="0" w:type="auto"/>
          </w:tcPr>
          <w:p w14:paraId="3EC423C7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sz w:val="18"/>
              </w:rPr>
              <w:t>Section 2.8; Table 5</w:t>
            </w:r>
          </w:p>
        </w:tc>
      </w:tr>
      <w:tr w:rsidR="00731F28" w14:paraId="3054A5B3" w14:textId="77777777" w:rsidTr="00C33A3D">
        <w:tc>
          <w:tcPr>
            <w:tcW w:w="0" w:type="auto"/>
          </w:tcPr>
          <w:p w14:paraId="7EE8C3F0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sz w:val="18"/>
              </w:rPr>
              <w:t>14. Synthesis methods (incl. pooling criteria, heterogeneity, software)</w:t>
            </w:r>
          </w:p>
        </w:tc>
        <w:tc>
          <w:tcPr>
            <w:tcW w:w="0" w:type="auto"/>
          </w:tcPr>
          <w:p w14:paraId="42B1CE17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sz w:val="18"/>
              </w:rPr>
              <w:t>Yes</w:t>
            </w:r>
          </w:p>
        </w:tc>
        <w:tc>
          <w:tcPr>
            <w:tcW w:w="0" w:type="auto"/>
          </w:tcPr>
          <w:p w14:paraId="3A3C2498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sz w:val="18"/>
              </w:rPr>
              <w:t>Section 2.8</w:t>
            </w:r>
          </w:p>
        </w:tc>
      </w:tr>
      <w:tr w:rsidR="00731F28" w14:paraId="6CE8B24C" w14:textId="77777777" w:rsidTr="00C33A3D">
        <w:tc>
          <w:tcPr>
            <w:tcW w:w="0" w:type="auto"/>
          </w:tcPr>
          <w:p w14:paraId="3A658CA2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sz w:val="18"/>
              </w:rPr>
              <w:t>15. Reporting bias assessment</w:t>
            </w:r>
          </w:p>
        </w:tc>
        <w:tc>
          <w:tcPr>
            <w:tcW w:w="0" w:type="auto"/>
          </w:tcPr>
          <w:p w14:paraId="64D0FD10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sz w:val="18"/>
              </w:rPr>
              <w:t>Yes</w:t>
            </w:r>
          </w:p>
        </w:tc>
        <w:tc>
          <w:tcPr>
            <w:tcW w:w="0" w:type="auto"/>
          </w:tcPr>
          <w:p w14:paraId="40894354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sz w:val="18"/>
              </w:rPr>
              <w:t>Sections 2.8, 3.8</w:t>
            </w:r>
          </w:p>
        </w:tc>
      </w:tr>
      <w:tr w:rsidR="00731F28" w14:paraId="7B2EB031" w14:textId="77777777" w:rsidTr="00C33A3D">
        <w:tc>
          <w:tcPr>
            <w:tcW w:w="0" w:type="auto"/>
          </w:tcPr>
          <w:p w14:paraId="360D0412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sz w:val="18"/>
              </w:rPr>
              <w:t>16. Certainty assessment (GRADE)</w:t>
            </w:r>
          </w:p>
        </w:tc>
        <w:tc>
          <w:tcPr>
            <w:tcW w:w="0" w:type="auto"/>
          </w:tcPr>
          <w:p w14:paraId="2C620720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sz w:val="18"/>
              </w:rPr>
              <w:t>Yes</w:t>
            </w:r>
          </w:p>
        </w:tc>
        <w:tc>
          <w:tcPr>
            <w:tcW w:w="0" w:type="auto"/>
          </w:tcPr>
          <w:p w14:paraId="47B80F45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sz w:val="18"/>
              </w:rPr>
              <w:t>Section 2.7; Table 6</w:t>
            </w:r>
          </w:p>
        </w:tc>
      </w:tr>
      <w:tr w:rsidR="00731F28" w14:paraId="41F1438D" w14:textId="77777777" w:rsidTr="00C33A3D">
        <w:tc>
          <w:tcPr>
            <w:tcW w:w="0" w:type="auto"/>
          </w:tcPr>
          <w:p w14:paraId="492A37BE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sz w:val="18"/>
              </w:rPr>
              <w:t>17. Study selection (flow, exclusions with reasons)</w:t>
            </w:r>
          </w:p>
        </w:tc>
        <w:tc>
          <w:tcPr>
            <w:tcW w:w="0" w:type="auto"/>
          </w:tcPr>
          <w:p w14:paraId="73A95C3F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sz w:val="18"/>
              </w:rPr>
              <w:t>Yes</w:t>
            </w:r>
          </w:p>
        </w:tc>
        <w:tc>
          <w:tcPr>
            <w:tcW w:w="0" w:type="auto"/>
          </w:tcPr>
          <w:p w14:paraId="4344D020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sz w:val="18"/>
              </w:rPr>
              <w:t>Section 3.1; Figure 1; Table S2</w:t>
            </w:r>
          </w:p>
        </w:tc>
      </w:tr>
      <w:tr w:rsidR="00731F28" w14:paraId="7341FF38" w14:textId="77777777" w:rsidTr="00C33A3D">
        <w:tc>
          <w:tcPr>
            <w:tcW w:w="0" w:type="auto"/>
          </w:tcPr>
          <w:p w14:paraId="5FB94F96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sz w:val="18"/>
              </w:rPr>
              <w:t>18. Study characteristics</w:t>
            </w:r>
          </w:p>
        </w:tc>
        <w:tc>
          <w:tcPr>
            <w:tcW w:w="0" w:type="auto"/>
          </w:tcPr>
          <w:p w14:paraId="632F25C0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sz w:val="18"/>
              </w:rPr>
              <w:t>Yes</w:t>
            </w:r>
          </w:p>
        </w:tc>
        <w:tc>
          <w:tcPr>
            <w:tcW w:w="0" w:type="auto"/>
          </w:tcPr>
          <w:p w14:paraId="22C8250C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sz w:val="18"/>
              </w:rPr>
              <w:t>Section 3.2; Table 2</w:t>
            </w:r>
          </w:p>
        </w:tc>
      </w:tr>
      <w:tr w:rsidR="00731F28" w14:paraId="2BFE620A" w14:textId="77777777" w:rsidTr="00C33A3D">
        <w:tc>
          <w:tcPr>
            <w:tcW w:w="0" w:type="auto"/>
          </w:tcPr>
          <w:p w14:paraId="45E8FA95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sz w:val="18"/>
              </w:rPr>
              <w:t>19. Risk of bias in studies (per study)</w:t>
            </w:r>
          </w:p>
        </w:tc>
        <w:tc>
          <w:tcPr>
            <w:tcW w:w="0" w:type="auto"/>
          </w:tcPr>
          <w:p w14:paraId="15E20E0F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sz w:val="18"/>
              </w:rPr>
              <w:t>Yes</w:t>
            </w:r>
          </w:p>
        </w:tc>
        <w:tc>
          <w:tcPr>
            <w:tcW w:w="0" w:type="auto"/>
          </w:tcPr>
          <w:p w14:paraId="1C420674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sz w:val="18"/>
              </w:rPr>
              <w:t>Tables 3–4</w:t>
            </w:r>
          </w:p>
        </w:tc>
      </w:tr>
      <w:tr w:rsidR="00731F28" w14:paraId="6DF3A480" w14:textId="77777777" w:rsidTr="00C33A3D">
        <w:tc>
          <w:tcPr>
            <w:tcW w:w="0" w:type="auto"/>
          </w:tcPr>
          <w:p w14:paraId="5903E190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sz w:val="18"/>
              </w:rPr>
              <w:lastRenderedPageBreak/>
              <w:t>20. Results of individual studies</w:t>
            </w:r>
          </w:p>
        </w:tc>
        <w:tc>
          <w:tcPr>
            <w:tcW w:w="0" w:type="auto"/>
          </w:tcPr>
          <w:p w14:paraId="04F1398B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sz w:val="18"/>
              </w:rPr>
              <w:t>Yes</w:t>
            </w:r>
          </w:p>
        </w:tc>
        <w:tc>
          <w:tcPr>
            <w:tcW w:w="0" w:type="auto"/>
          </w:tcPr>
          <w:p w14:paraId="35393003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sz w:val="18"/>
              </w:rPr>
              <w:t>Table 5; Figure 2</w:t>
            </w:r>
          </w:p>
        </w:tc>
      </w:tr>
      <w:tr w:rsidR="00731F28" w14:paraId="69430CB5" w14:textId="77777777" w:rsidTr="00C33A3D">
        <w:tc>
          <w:tcPr>
            <w:tcW w:w="0" w:type="auto"/>
          </w:tcPr>
          <w:p w14:paraId="36FAB24B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sz w:val="18"/>
              </w:rPr>
              <w:t>21. Results of syntheses</w:t>
            </w:r>
          </w:p>
        </w:tc>
        <w:tc>
          <w:tcPr>
            <w:tcW w:w="0" w:type="auto"/>
          </w:tcPr>
          <w:p w14:paraId="4A96C162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sz w:val="18"/>
              </w:rPr>
              <w:t>Yes</w:t>
            </w:r>
          </w:p>
        </w:tc>
        <w:tc>
          <w:tcPr>
            <w:tcW w:w="0" w:type="auto"/>
          </w:tcPr>
          <w:p w14:paraId="1485BA26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sz w:val="18"/>
              </w:rPr>
              <w:t>Sections 3.4–3.8</w:t>
            </w:r>
          </w:p>
        </w:tc>
      </w:tr>
      <w:tr w:rsidR="00731F28" w14:paraId="362EC403" w14:textId="77777777" w:rsidTr="00C33A3D">
        <w:tc>
          <w:tcPr>
            <w:tcW w:w="0" w:type="auto"/>
          </w:tcPr>
          <w:p w14:paraId="4C4B71D7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sz w:val="18"/>
              </w:rPr>
              <w:t>22. Reporting biases</w:t>
            </w:r>
          </w:p>
        </w:tc>
        <w:tc>
          <w:tcPr>
            <w:tcW w:w="0" w:type="auto"/>
          </w:tcPr>
          <w:p w14:paraId="055B2923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sz w:val="18"/>
              </w:rPr>
              <w:t>Yes</w:t>
            </w:r>
          </w:p>
        </w:tc>
        <w:tc>
          <w:tcPr>
            <w:tcW w:w="0" w:type="auto"/>
          </w:tcPr>
          <w:p w14:paraId="1545EA00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sz w:val="18"/>
              </w:rPr>
              <w:t>Sections 3.8, 4.5</w:t>
            </w:r>
          </w:p>
        </w:tc>
      </w:tr>
      <w:tr w:rsidR="00731F28" w14:paraId="099DC2E3" w14:textId="77777777" w:rsidTr="00C33A3D">
        <w:tc>
          <w:tcPr>
            <w:tcW w:w="0" w:type="auto"/>
          </w:tcPr>
          <w:p w14:paraId="3B2281E7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sz w:val="18"/>
              </w:rPr>
              <w:t>23. Certainty of evidence</w:t>
            </w:r>
          </w:p>
        </w:tc>
        <w:tc>
          <w:tcPr>
            <w:tcW w:w="0" w:type="auto"/>
          </w:tcPr>
          <w:p w14:paraId="35DE5A74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sz w:val="18"/>
              </w:rPr>
              <w:t>Yes</w:t>
            </w:r>
          </w:p>
        </w:tc>
        <w:tc>
          <w:tcPr>
            <w:tcW w:w="0" w:type="auto"/>
          </w:tcPr>
          <w:p w14:paraId="2E40DE52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sz w:val="18"/>
              </w:rPr>
              <w:t>Section 3.9; Table 6</w:t>
            </w:r>
          </w:p>
        </w:tc>
      </w:tr>
      <w:tr w:rsidR="00731F28" w14:paraId="3E59FAEE" w14:textId="77777777" w:rsidTr="00C33A3D">
        <w:tc>
          <w:tcPr>
            <w:tcW w:w="0" w:type="auto"/>
          </w:tcPr>
          <w:p w14:paraId="044A42CE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sz w:val="18"/>
              </w:rPr>
              <w:t>24–25. Discussion (interpretation; limitations of evidence and review)</w:t>
            </w:r>
          </w:p>
        </w:tc>
        <w:tc>
          <w:tcPr>
            <w:tcW w:w="0" w:type="auto"/>
          </w:tcPr>
          <w:p w14:paraId="2FF17F20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sz w:val="18"/>
              </w:rPr>
              <w:t>Yes</w:t>
            </w:r>
          </w:p>
        </w:tc>
        <w:tc>
          <w:tcPr>
            <w:tcW w:w="0" w:type="auto"/>
          </w:tcPr>
          <w:p w14:paraId="5EA6C17F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sz w:val="18"/>
              </w:rPr>
              <w:t>Sections 4.1–4.5</w:t>
            </w:r>
          </w:p>
        </w:tc>
      </w:tr>
      <w:tr w:rsidR="00731F28" w14:paraId="23B6A0E0" w14:textId="77777777" w:rsidTr="00C33A3D">
        <w:tc>
          <w:tcPr>
            <w:tcW w:w="0" w:type="auto"/>
          </w:tcPr>
          <w:p w14:paraId="1CFC557A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sz w:val="18"/>
              </w:rPr>
              <w:t>26. Protocol (incl. amendments)</w:t>
            </w:r>
          </w:p>
        </w:tc>
        <w:tc>
          <w:tcPr>
            <w:tcW w:w="0" w:type="auto"/>
          </w:tcPr>
          <w:p w14:paraId="1767FB12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sz w:val="18"/>
              </w:rPr>
              <w:t>Yes</w:t>
            </w:r>
          </w:p>
        </w:tc>
        <w:tc>
          <w:tcPr>
            <w:tcW w:w="0" w:type="auto"/>
          </w:tcPr>
          <w:p w14:paraId="0B179B8A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sz w:val="18"/>
              </w:rPr>
              <w:t>Sections 2.1–2.2</w:t>
            </w:r>
          </w:p>
        </w:tc>
      </w:tr>
      <w:tr w:rsidR="00731F28" w14:paraId="5B189691" w14:textId="77777777" w:rsidTr="00C33A3D">
        <w:tc>
          <w:tcPr>
            <w:tcW w:w="0" w:type="auto"/>
          </w:tcPr>
          <w:p w14:paraId="30467D81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sz w:val="18"/>
              </w:rPr>
              <w:t>27. Support/funding</w:t>
            </w:r>
          </w:p>
        </w:tc>
        <w:tc>
          <w:tcPr>
            <w:tcW w:w="0" w:type="auto"/>
          </w:tcPr>
          <w:p w14:paraId="1B498652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sz w:val="18"/>
              </w:rPr>
              <w:t>Yes</w:t>
            </w:r>
          </w:p>
        </w:tc>
        <w:tc>
          <w:tcPr>
            <w:tcW w:w="0" w:type="auto"/>
          </w:tcPr>
          <w:p w14:paraId="6EB2C410" w14:textId="77777777" w:rsidR="00731F28" w:rsidRDefault="00731F28" w:rsidP="00C33A3D">
            <w:pPr>
              <w:pStyle w:val="Compact"/>
              <w:spacing w:after="40" w:line="360" w:lineRule="auto"/>
              <w:jc w:val="both"/>
            </w:pPr>
            <w:r>
              <w:rPr>
                <w:sz w:val="18"/>
              </w:rPr>
              <w:t>Declarations</w:t>
            </w:r>
          </w:p>
        </w:tc>
      </w:tr>
      <w:bookmarkEnd w:id="0"/>
      <w:bookmarkEnd w:id="1"/>
    </w:tbl>
    <w:p w14:paraId="59552326" w14:textId="77777777" w:rsidR="00731F28" w:rsidRDefault="00731F28" w:rsidP="00731F28">
      <w:pPr>
        <w:spacing w:line="360" w:lineRule="auto"/>
        <w:jc w:val="both"/>
      </w:pPr>
    </w:p>
    <w:p w14:paraId="71FA6293" w14:textId="77777777" w:rsidR="008B07A6" w:rsidRDefault="008B07A6"/>
    <w:sectPr w:rsidR="008B07A6" w:rsidSect="00731F28">
      <w:pgSz w:w="12240" w:h="15840"/>
      <w:pgMar w:top="1296" w:right="1296" w:bottom="1296" w:left="129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F28"/>
    <w:rsid w:val="00066677"/>
    <w:rsid w:val="00153A17"/>
    <w:rsid w:val="001A37F3"/>
    <w:rsid w:val="003A4E89"/>
    <w:rsid w:val="00556784"/>
    <w:rsid w:val="00731F28"/>
    <w:rsid w:val="008B07A6"/>
    <w:rsid w:val="0097029A"/>
    <w:rsid w:val="00987B63"/>
    <w:rsid w:val="00990454"/>
    <w:rsid w:val="00A234E6"/>
    <w:rsid w:val="00BF13F9"/>
    <w:rsid w:val="00CE738E"/>
    <w:rsid w:val="00D31E7D"/>
    <w:rsid w:val="00F119CF"/>
    <w:rsid w:val="00F52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62F7D0"/>
  <w15:chartTrackingRefBased/>
  <w15:docId w15:val="{11223B58-35A2-43D6-BDC2-06E384AAF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1F28"/>
    <w:pPr>
      <w:spacing w:after="120" w:line="312" w:lineRule="auto"/>
    </w:pPr>
    <w:rPr>
      <w:rFonts w:ascii="Times New Roman" w:eastAsia="SimSun" w:hAnsi="Times New Roman"/>
      <w:kern w:val="0"/>
      <w:sz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31F2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31F2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31F2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1F2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1F2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1F28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1F28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1F28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1F28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1F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1F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1F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1F2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1F2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1F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1F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1F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1F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1F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31F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1F2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31F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1F28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31F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1F28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31F2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1F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1F2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1F28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qFormat/>
    <w:rsid w:val="00731F28"/>
    <w:pPr>
      <w:spacing w:before="180" w:after="180"/>
    </w:pPr>
  </w:style>
  <w:style w:type="character" w:customStyle="1" w:styleId="BodyTextChar">
    <w:name w:val="Body Text Char"/>
    <w:basedOn w:val="DefaultParagraphFont"/>
    <w:link w:val="BodyText"/>
    <w:rsid w:val="00731F28"/>
    <w:rPr>
      <w:rFonts w:ascii="Times New Roman" w:eastAsia="SimSun" w:hAnsi="Times New Roman"/>
      <w:kern w:val="0"/>
      <w:sz w:val="22"/>
      <w14:ligatures w14:val="none"/>
    </w:rPr>
  </w:style>
  <w:style w:type="paragraph" w:customStyle="1" w:styleId="Compact">
    <w:name w:val="Compact"/>
    <w:basedOn w:val="BodyText"/>
    <w:qFormat/>
    <w:rsid w:val="00731F28"/>
    <w:pPr>
      <w:spacing w:before="36" w:after="36"/>
    </w:pPr>
    <w:rPr>
      <w:sz w:val="20"/>
    </w:rPr>
  </w:style>
  <w:style w:type="table" w:customStyle="1" w:styleId="Table">
    <w:name w:val="Table"/>
    <w:semiHidden/>
    <w:unhideWhenUsed/>
    <w:qFormat/>
    <w:rsid w:val="00731F28"/>
    <w:pPr>
      <w:spacing w:after="0" w:line="240" w:lineRule="auto"/>
    </w:pPr>
    <w:rPr>
      <w:kern w:val="0"/>
      <w:sz w:val="20"/>
      <w:szCs w:val="20"/>
      <w:lang w:eastAsia="zh-CN"/>
      <w14:ligatures w14:val="none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1035</Words>
  <Characters>5906</Characters>
  <Application>Microsoft Office Word</Application>
  <DocSecurity>0</DocSecurity>
  <Lines>49</Lines>
  <Paragraphs>13</Paragraphs>
  <ScaleCrop>false</ScaleCrop>
  <Company/>
  <LinksUpToDate>false</LinksUpToDate>
  <CharactersWithSpaces>6928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Sachin Maharnur</dc:creator>
  <cp:keywords/>
  <dc:description/>
  <cp:lastModifiedBy>Sachin Maharnur</cp:lastModifiedBy>
  <cp:revision>1</cp:revision>
  <dcterms:created xsi:type="dcterms:W3CDTF">2026-10-15T14:27:00Z</dcterms:created>
  <dcterms:modified xsi:type="dcterms:W3CDTF">2026-10-15T14:27:00Z</dcterms:modified>
</cp:coreProperties>
</file>