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C7124" w14:textId="77777777" w:rsidR="00D046E0" w:rsidRDefault="00D046E0" w:rsidP="00D046E0">
      <w:pPr>
        <w:shd w:val="clear" w:color="auto" w:fill="FFFFFF"/>
        <w:rPr>
          <w:szCs w:val="20"/>
          <w:highlight w:val="white"/>
          <w:lang w:val="en-US"/>
        </w:rPr>
      </w:pPr>
      <w:r w:rsidRPr="0036377E">
        <w:rPr>
          <w:szCs w:val="20"/>
          <w:highlight w:val="white"/>
          <w:lang w:val="en-US"/>
        </w:rPr>
        <w:t xml:space="preserve">Supplementary Table 1. Comparison of cases retained and excluded in the analysis at 9-12 months according to baseline characteristics, </w:t>
      </w:r>
      <w:r w:rsidRPr="0036377E">
        <w:rPr>
          <w:rFonts w:cs="Times New Roman"/>
          <w:szCs w:val="20"/>
          <w:lang w:val="en-US"/>
        </w:rPr>
        <w:t>early postoperative minimum morning serum cortisol, and secondary adrenal insufficiency at 1-3 months after surgery.</w:t>
      </w:r>
    </w:p>
    <w:tbl>
      <w:tblPr>
        <w:tblStyle w:val="ListTable6Colorful"/>
        <w:tblW w:w="8504" w:type="dxa"/>
        <w:tblLook w:val="0620" w:firstRow="1" w:lastRow="0" w:firstColumn="0" w:lastColumn="0" w:noHBand="1" w:noVBand="1"/>
      </w:tblPr>
      <w:tblGrid>
        <w:gridCol w:w="4111"/>
        <w:gridCol w:w="1701"/>
        <w:gridCol w:w="1843"/>
        <w:gridCol w:w="849"/>
      </w:tblGrid>
      <w:tr w:rsidR="00D046E0" w:rsidRPr="0036377E" w14:paraId="68D59D2D" w14:textId="77777777" w:rsidTr="008817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tcW w:w="4111" w:type="dxa"/>
            <w:vMerge w:val="restart"/>
            <w:vAlign w:val="center"/>
          </w:tcPr>
          <w:p w14:paraId="6E3D3E0E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Characteristics</w:t>
            </w:r>
          </w:p>
        </w:tc>
        <w:tc>
          <w:tcPr>
            <w:tcW w:w="1701" w:type="dxa"/>
            <w:tcBorders>
              <w:bottom w:val="single" w:sz="4" w:space="0" w:color="7F7F7F" w:themeColor="text1" w:themeTint="80"/>
            </w:tcBorders>
            <w:vAlign w:val="center"/>
          </w:tcPr>
          <w:p w14:paraId="3E827FF8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Retained</w:t>
            </w:r>
          </w:p>
        </w:tc>
        <w:tc>
          <w:tcPr>
            <w:tcW w:w="1843" w:type="dxa"/>
            <w:tcBorders>
              <w:bottom w:val="single" w:sz="4" w:space="0" w:color="7F7F7F" w:themeColor="text1" w:themeTint="80"/>
            </w:tcBorders>
            <w:vAlign w:val="center"/>
          </w:tcPr>
          <w:p w14:paraId="2F7421B0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Excluded</w:t>
            </w:r>
          </w:p>
        </w:tc>
        <w:tc>
          <w:tcPr>
            <w:tcW w:w="849" w:type="dxa"/>
            <w:tcBorders>
              <w:bottom w:val="single" w:sz="4" w:space="0" w:color="7F7F7F" w:themeColor="text1" w:themeTint="80"/>
            </w:tcBorders>
            <w:vAlign w:val="center"/>
          </w:tcPr>
          <w:p w14:paraId="153D398D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4EB1D778" w14:textId="77777777" w:rsidTr="00881715">
        <w:trPr>
          <w:trHeight w:val="378"/>
        </w:trPr>
        <w:tc>
          <w:tcPr>
            <w:tcW w:w="4111" w:type="dxa"/>
            <w:vMerge/>
            <w:tcBorders>
              <w:bottom w:val="single" w:sz="4" w:space="0" w:color="000000" w:themeColor="text1"/>
            </w:tcBorders>
            <w:vAlign w:val="center"/>
            <w:hideMark/>
          </w:tcPr>
          <w:p w14:paraId="65FBC813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000000" w:themeColor="text1"/>
            </w:tcBorders>
            <w:vAlign w:val="center"/>
          </w:tcPr>
          <w:p w14:paraId="07375CFE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n (%)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bottom w:val="single" w:sz="4" w:space="0" w:color="000000" w:themeColor="text1"/>
            </w:tcBorders>
            <w:vAlign w:val="center"/>
          </w:tcPr>
          <w:p w14:paraId="71F738D0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n (%)</w:t>
            </w:r>
          </w:p>
        </w:tc>
        <w:tc>
          <w:tcPr>
            <w:tcW w:w="849" w:type="dxa"/>
            <w:tcBorders>
              <w:top w:val="single" w:sz="4" w:space="0" w:color="7F7F7F" w:themeColor="text1" w:themeTint="80"/>
              <w:bottom w:val="single" w:sz="4" w:space="0" w:color="000000" w:themeColor="text1"/>
            </w:tcBorders>
            <w:vAlign w:val="center"/>
          </w:tcPr>
          <w:p w14:paraId="344B7AC6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p value</w:t>
            </w:r>
          </w:p>
        </w:tc>
      </w:tr>
      <w:tr w:rsidR="00D046E0" w:rsidRPr="0036377E" w14:paraId="5DC256C2" w14:textId="77777777" w:rsidTr="00881715">
        <w:trPr>
          <w:trHeight w:val="283"/>
        </w:trPr>
        <w:tc>
          <w:tcPr>
            <w:tcW w:w="4111" w:type="dxa"/>
            <w:tcBorders>
              <w:top w:val="single" w:sz="4" w:space="0" w:color="000000" w:themeColor="text1"/>
            </w:tcBorders>
            <w:vAlign w:val="center"/>
          </w:tcPr>
          <w:p w14:paraId="17A3F2C2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Total surgeries</w:t>
            </w:r>
          </w:p>
        </w:tc>
        <w:tc>
          <w:tcPr>
            <w:tcW w:w="1701" w:type="dxa"/>
            <w:tcBorders>
              <w:top w:val="single" w:sz="4" w:space="0" w:color="000000" w:themeColor="text1"/>
            </w:tcBorders>
            <w:vAlign w:val="center"/>
          </w:tcPr>
          <w:p w14:paraId="07A4BFFE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</w:t>
            </w:r>
            <w:r>
              <w:rPr>
                <w:rFonts w:cs="Times New Roman"/>
                <w:color w:val="auto"/>
                <w:szCs w:val="20"/>
                <w:lang w:val="en-US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 w:themeColor="text1"/>
            </w:tcBorders>
            <w:vAlign w:val="center"/>
          </w:tcPr>
          <w:p w14:paraId="566619A3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17</w:t>
            </w:r>
          </w:p>
        </w:tc>
        <w:tc>
          <w:tcPr>
            <w:tcW w:w="849" w:type="dxa"/>
            <w:tcBorders>
              <w:top w:val="single" w:sz="4" w:space="0" w:color="000000" w:themeColor="text1"/>
            </w:tcBorders>
            <w:vAlign w:val="center"/>
          </w:tcPr>
          <w:p w14:paraId="25F25C0E" w14:textId="77777777" w:rsidR="00D046E0" w:rsidRPr="0036377E" w:rsidRDefault="00D046E0" w:rsidP="00881715">
            <w:pPr>
              <w:rPr>
                <w:rFonts w:cs="Times New Roman"/>
                <w:i/>
                <w:iCs/>
                <w:color w:val="auto"/>
                <w:szCs w:val="20"/>
                <w:lang w:val="en-US"/>
              </w:rPr>
            </w:pPr>
          </w:p>
        </w:tc>
      </w:tr>
      <w:tr w:rsidR="00D046E0" w:rsidRPr="0036377E" w14:paraId="4692458F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038729DF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Sex</w:t>
            </w:r>
          </w:p>
        </w:tc>
        <w:tc>
          <w:tcPr>
            <w:tcW w:w="1701" w:type="dxa"/>
            <w:vAlign w:val="center"/>
          </w:tcPr>
          <w:p w14:paraId="735DF7DF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76FB1820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19D9760B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0.455</w:t>
            </w:r>
          </w:p>
        </w:tc>
      </w:tr>
      <w:tr w:rsidR="00D046E0" w:rsidRPr="0036377E" w14:paraId="1A169833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74835650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Male</w:t>
            </w:r>
          </w:p>
        </w:tc>
        <w:tc>
          <w:tcPr>
            <w:tcW w:w="1701" w:type="dxa"/>
            <w:vAlign w:val="center"/>
          </w:tcPr>
          <w:p w14:paraId="6D933352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57 (51)</w:t>
            </w:r>
          </w:p>
        </w:tc>
        <w:tc>
          <w:tcPr>
            <w:tcW w:w="1843" w:type="dxa"/>
            <w:vAlign w:val="center"/>
          </w:tcPr>
          <w:p w14:paraId="4324BF29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7 (41)</w:t>
            </w:r>
          </w:p>
        </w:tc>
        <w:tc>
          <w:tcPr>
            <w:tcW w:w="849" w:type="dxa"/>
            <w:vAlign w:val="center"/>
          </w:tcPr>
          <w:p w14:paraId="73C650CC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7482847A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6FD99A31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Female</w:t>
            </w:r>
          </w:p>
        </w:tc>
        <w:tc>
          <w:tcPr>
            <w:tcW w:w="1701" w:type="dxa"/>
            <w:vAlign w:val="center"/>
          </w:tcPr>
          <w:p w14:paraId="09FD3673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55 (49)</w:t>
            </w:r>
          </w:p>
        </w:tc>
        <w:tc>
          <w:tcPr>
            <w:tcW w:w="1843" w:type="dxa"/>
            <w:vAlign w:val="center"/>
          </w:tcPr>
          <w:p w14:paraId="521E9BF0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10 (59)</w:t>
            </w:r>
          </w:p>
        </w:tc>
        <w:tc>
          <w:tcPr>
            <w:tcW w:w="849" w:type="dxa"/>
            <w:vAlign w:val="center"/>
          </w:tcPr>
          <w:p w14:paraId="7B512EEF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0F765F3E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4E212DB0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Mean age (years; mean±SD)</w:t>
            </w:r>
          </w:p>
        </w:tc>
        <w:tc>
          <w:tcPr>
            <w:tcW w:w="1701" w:type="dxa"/>
            <w:vAlign w:val="center"/>
          </w:tcPr>
          <w:p w14:paraId="69E28C0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57±13</w:t>
            </w:r>
          </w:p>
        </w:tc>
        <w:tc>
          <w:tcPr>
            <w:tcW w:w="1843" w:type="dxa"/>
            <w:vAlign w:val="center"/>
          </w:tcPr>
          <w:p w14:paraId="3322F99B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56±15</w:t>
            </w:r>
          </w:p>
        </w:tc>
        <w:tc>
          <w:tcPr>
            <w:tcW w:w="849" w:type="dxa"/>
            <w:vAlign w:val="center"/>
          </w:tcPr>
          <w:p w14:paraId="5FCE7BF5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0.890</w:t>
            </w:r>
          </w:p>
        </w:tc>
      </w:tr>
      <w:tr w:rsidR="00D046E0" w:rsidRPr="0036377E" w14:paraId="40E731C6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4B307CF4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>
              <w:rPr>
                <w:rFonts w:cs="Times New Roman"/>
                <w:color w:val="auto"/>
                <w:szCs w:val="20"/>
                <w:lang w:val="en-US"/>
              </w:rPr>
              <w:t>Surgery</w:t>
            </w:r>
          </w:p>
        </w:tc>
        <w:tc>
          <w:tcPr>
            <w:tcW w:w="1701" w:type="dxa"/>
            <w:vAlign w:val="center"/>
          </w:tcPr>
          <w:p w14:paraId="1E3675A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2A4C7FC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53CED5A6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0.416</w:t>
            </w:r>
          </w:p>
        </w:tc>
      </w:tr>
      <w:tr w:rsidR="00D046E0" w:rsidRPr="0036377E" w14:paraId="6DC2DC16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006D4510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>
              <w:rPr>
                <w:rFonts w:cs="Times New Roman"/>
                <w:color w:val="auto"/>
                <w:szCs w:val="20"/>
                <w:lang w:val="en-US"/>
              </w:rPr>
              <w:t>First</w:t>
            </w:r>
          </w:p>
        </w:tc>
        <w:tc>
          <w:tcPr>
            <w:tcW w:w="1701" w:type="dxa"/>
            <w:vAlign w:val="center"/>
          </w:tcPr>
          <w:p w14:paraId="7AFF18E7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90 (80)</w:t>
            </w:r>
          </w:p>
        </w:tc>
        <w:tc>
          <w:tcPr>
            <w:tcW w:w="1843" w:type="dxa"/>
            <w:vAlign w:val="center"/>
          </w:tcPr>
          <w:p w14:paraId="276B4890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15 (8</w:t>
            </w:r>
            <w:r>
              <w:rPr>
                <w:rFonts w:cs="Times New Roman"/>
                <w:color w:val="auto"/>
                <w:szCs w:val="20"/>
                <w:lang w:val="en-US"/>
              </w:rPr>
              <w:t>8</w:t>
            </w:r>
            <w:r w:rsidRPr="0036377E">
              <w:rPr>
                <w:rFonts w:cs="Times New Roman"/>
                <w:color w:val="auto"/>
                <w:szCs w:val="20"/>
                <w:lang w:val="en-US"/>
              </w:rPr>
              <w:t>)</w:t>
            </w:r>
          </w:p>
        </w:tc>
        <w:tc>
          <w:tcPr>
            <w:tcW w:w="849" w:type="dxa"/>
            <w:vAlign w:val="center"/>
          </w:tcPr>
          <w:p w14:paraId="59CB77E1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378473DB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678220AA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>
              <w:rPr>
                <w:rFonts w:cs="Times New Roman"/>
                <w:color w:val="auto"/>
                <w:szCs w:val="20"/>
                <w:lang w:val="en-US"/>
              </w:rPr>
              <w:t>Second</w:t>
            </w:r>
          </w:p>
        </w:tc>
        <w:tc>
          <w:tcPr>
            <w:tcW w:w="1701" w:type="dxa"/>
            <w:vAlign w:val="center"/>
          </w:tcPr>
          <w:p w14:paraId="062C1086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18 (16)</w:t>
            </w:r>
          </w:p>
        </w:tc>
        <w:tc>
          <w:tcPr>
            <w:tcW w:w="1843" w:type="dxa"/>
            <w:vAlign w:val="center"/>
          </w:tcPr>
          <w:p w14:paraId="63829455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 (12)</w:t>
            </w:r>
          </w:p>
        </w:tc>
        <w:tc>
          <w:tcPr>
            <w:tcW w:w="849" w:type="dxa"/>
            <w:vAlign w:val="center"/>
          </w:tcPr>
          <w:p w14:paraId="23816ECD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587E6D7A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6F5D7A0A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>
              <w:rPr>
                <w:rFonts w:cs="Times New Roman"/>
                <w:color w:val="auto"/>
                <w:szCs w:val="20"/>
                <w:lang w:val="en-US"/>
              </w:rPr>
              <w:t>Third</w:t>
            </w:r>
          </w:p>
        </w:tc>
        <w:tc>
          <w:tcPr>
            <w:tcW w:w="1701" w:type="dxa"/>
            <w:vAlign w:val="center"/>
          </w:tcPr>
          <w:p w14:paraId="701FB78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 (2)</w:t>
            </w:r>
          </w:p>
        </w:tc>
        <w:tc>
          <w:tcPr>
            <w:tcW w:w="1843" w:type="dxa"/>
            <w:vAlign w:val="center"/>
          </w:tcPr>
          <w:p w14:paraId="0BD0DDD0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66DA1C59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3C35F921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053AD7C9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>
              <w:rPr>
                <w:rFonts w:cs="Times New Roman"/>
                <w:color w:val="auto"/>
                <w:szCs w:val="20"/>
                <w:lang w:val="en-US"/>
              </w:rPr>
              <w:t>Fourth</w:t>
            </w:r>
          </w:p>
        </w:tc>
        <w:tc>
          <w:tcPr>
            <w:tcW w:w="1701" w:type="dxa"/>
            <w:vAlign w:val="center"/>
          </w:tcPr>
          <w:p w14:paraId="3D74F42A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 (2)</w:t>
            </w:r>
          </w:p>
        </w:tc>
        <w:tc>
          <w:tcPr>
            <w:tcW w:w="1843" w:type="dxa"/>
            <w:vAlign w:val="center"/>
          </w:tcPr>
          <w:p w14:paraId="4AC7C74C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6D3598DB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2E0DE49E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7DA32C4B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Tumor size (mm; mean±SD)</w:t>
            </w:r>
          </w:p>
        </w:tc>
        <w:tc>
          <w:tcPr>
            <w:tcW w:w="1701" w:type="dxa"/>
            <w:vAlign w:val="center"/>
          </w:tcPr>
          <w:p w14:paraId="77E73A1F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25±12</w:t>
            </w:r>
          </w:p>
        </w:tc>
        <w:tc>
          <w:tcPr>
            <w:tcW w:w="1843" w:type="dxa"/>
            <w:vAlign w:val="center"/>
          </w:tcPr>
          <w:p w14:paraId="7CADA14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20±9</w:t>
            </w:r>
          </w:p>
        </w:tc>
        <w:tc>
          <w:tcPr>
            <w:tcW w:w="849" w:type="dxa"/>
            <w:vAlign w:val="center"/>
          </w:tcPr>
          <w:p w14:paraId="2C114842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0.174</w:t>
            </w:r>
          </w:p>
        </w:tc>
      </w:tr>
      <w:tr w:rsidR="00D046E0" w:rsidRPr="0036377E" w14:paraId="73A904FD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660856AA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Preoperative cortisol (µg/dL; mean±SD)</w:t>
            </w:r>
          </w:p>
        </w:tc>
        <w:tc>
          <w:tcPr>
            <w:tcW w:w="1701" w:type="dxa"/>
            <w:vAlign w:val="center"/>
          </w:tcPr>
          <w:p w14:paraId="68F1ACB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12.58±4.54</w:t>
            </w:r>
          </w:p>
        </w:tc>
        <w:tc>
          <w:tcPr>
            <w:tcW w:w="1843" w:type="dxa"/>
            <w:vAlign w:val="center"/>
          </w:tcPr>
          <w:p w14:paraId="1A7BFD71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11.54±2.87</w:t>
            </w:r>
          </w:p>
        </w:tc>
        <w:tc>
          <w:tcPr>
            <w:tcW w:w="849" w:type="dxa"/>
            <w:vAlign w:val="center"/>
          </w:tcPr>
          <w:p w14:paraId="21B68F6D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0.502</w:t>
            </w:r>
          </w:p>
        </w:tc>
      </w:tr>
      <w:tr w:rsidR="00D046E0" w:rsidRPr="0036377E" w14:paraId="5CAAB0AA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3631472F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Histopathological diagnosis</w:t>
            </w:r>
          </w:p>
        </w:tc>
        <w:tc>
          <w:tcPr>
            <w:tcW w:w="1701" w:type="dxa"/>
            <w:vAlign w:val="center"/>
          </w:tcPr>
          <w:p w14:paraId="1B84B7DC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4D8E27F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61A04602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0.610</w:t>
            </w:r>
          </w:p>
        </w:tc>
      </w:tr>
      <w:tr w:rsidR="00D046E0" w:rsidRPr="0036377E" w14:paraId="45BBFD4F" w14:textId="77777777" w:rsidTr="00881715">
        <w:trPr>
          <w:trHeight w:val="283"/>
        </w:trPr>
        <w:tc>
          <w:tcPr>
            <w:tcW w:w="4111" w:type="dxa"/>
            <w:vAlign w:val="center"/>
            <w:hideMark/>
          </w:tcPr>
          <w:p w14:paraId="1B483FDA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Pituitary adenoma</w:t>
            </w:r>
          </w:p>
        </w:tc>
        <w:tc>
          <w:tcPr>
            <w:tcW w:w="1701" w:type="dxa"/>
            <w:vAlign w:val="center"/>
            <w:hideMark/>
          </w:tcPr>
          <w:p w14:paraId="3DC65CB8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96 (86)</w:t>
            </w:r>
          </w:p>
        </w:tc>
        <w:tc>
          <w:tcPr>
            <w:tcW w:w="1843" w:type="dxa"/>
            <w:vAlign w:val="center"/>
          </w:tcPr>
          <w:p w14:paraId="7DDFE677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15 (88)</w:t>
            </w:r>
          </w:p>
        </w:tc>
        <w:tc>
          <w:tcPr>
            <w:tcW w:w="849" w:type="dxa"/>
            <w:vAlign w:val="center"/>
          </w:tcPr>
          <w:p w14:paraId="11996B74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0.246</w:t>
            </w:r>
          </w:p>
        </w:tc>
      </w:tr>
      <w:tr w:rsidR="00D046E0" w:rsidRPr="0036377E" w14:paraId="23BBC46D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57F19411" w14:textId="77777777" w:rsidR="00D046E0" w:rsidRPr="0036377E" w:rsidRDefault="00D046E0" w:rsidP="00881715">
            <w:pPr>
              <w:ind w:left="457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 xml:space="preserve">Gonadotroph </w:t>
            </w:r>
          </w:p>
        </w:tc>
        <w:tc>
          <w:tcPr>
            <w:tcW w:w="1701" w:type="dxa"/>
            <w:vAlign w:val="center"/>
          </w:tcPr>
          <w:p w14:paraId="69CA3E3E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35 (36)</w:t>
            </w:r>
          </w:p>
        </w:tc>
        <w:tc>
          <w:tcPr>
            <w:tcW w:w="1843" w:type="dxa"/>
            <w:vAlign w:val="center"/>
          </w:tcPr>
          <w:p w14:paraId="0EC2CA36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4 (27)</w:t>
            </w:r>
          </w:p>
        </w:tc>
        <w:tc>
          <w:tcPr>
            <w:tcW w:w="849" w:type="dxa"/>
            <w:vAlign w:val="center"/>
          </w:tcPr>
          <w:p w14:paraId="61D42C7E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5300EE5A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756B5D97" w14:textId="77777777" w:rsidR="00D046E0" w:rsidRPr="0036377E" w:rsidRDefault="00D046E0" w:rsidP="00881715">
            <w:pPr>
              <w:ind w:left="457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 xml:space="preserve">Somatotroph </w:t>
            </w:r>
          </w:p>
        </w:tc>
        <w:tc>
          <w:tcPr>
            <w:tcW w:w="1701" w:type="dxa"/>
            <w:vAlign w:val="center"/>
          </w:tcPr>
          <w:p w14:paraId="32F25B73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21 (22)</w:t>
            </w:r>
          </w:p>
        </w:tc>
        <w:tc>
          <w:tcPr>
            <w:tcW w:w="1843" w:type="dxa"/>
            <w:vAlign w:val="center"/>
          </w:tcPr>
          <w:p w14:paraId="16AB0C5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 (13)</w:t>
            </w:r>
          </w:p>
        </w:tc>
        <w:tc>
          <w:tcPr>
            <w:tcW w:w="849" w:type="dxa"/>
            <w:vAlign w:val="center"/>
          </w:tcPr>
          <w:p w14:paraId="3B053CF9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23701549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65C4E0FD" w14:textId="77777777" w:rsidR="00D046E0" w:rsidRPr="0036377E" w:rsidRDefault="00D046E0" w:rsidP="00881715">
            <w:pPr>
              <w:ind w:left="457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Lactotroph</w:t>
            </w:r>
          </w:p>
        </w:tc>
        <w:tc>
          <w:tcPr>
            <w:tcW w:w="1701" w:type="dxa"/>
            <w:vAlign w:val="center"/>
          </w:tcPr>
          <w:p w14:paraId="4CF83223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4 (4)</w:t>
            </w:r>
          </w:p>
        </w:tc>
        <w:tc>
          <w:tcPr>
            <w:tcW w:w="1843" w:type="dxa"/>
            <w:vAlign w:val="center"/>
          </w:tcPr>
          <w:p w14:paraId="68A83597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181CC9A2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27AF995C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1DED454C" w14:textId="77777777" w:rsidR="00D046E0" w:rsidRPr="0036377E" w:rsidRDefault="00D046E0" w:rsidP="00881715">
            <w:pPr>
              <w:ind w:left="457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Plurihormonal</w:t>
            </w:r>
          </w:p>
        </w:tc>
        <w:tc>
          <w:tcPr>
            <w:tcW w:w="1701" w:type="dxa"/>
            <w:vAlign w:val="center"/>
          </w:tcPr>
          <w:p w14:paraId="32883BCB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15 (16)</w:t>
            </w:r>
          </w:p>
        </w:tc>
        <w:tc>
          <w:tcPr>
            <w:tcW w:w="1843" w:type="dxa"/>
            <w:vAlign w:val="center"/>
          </w:tcPr>
          <w:p w14:paraId="2F6AA3A7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7 (47)</w:t>
            </w:r>
          </w:p>
        </w:tc>
        <w:tc>
          <w:tcPr>
            <w:tcW w:w="849" w:type="dxa"/>
            <w:vAlign w:val="center"/>
          </w:tcPr>
          <w:p w14:paraId="29150D65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38949F17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169B24B5" w14:textId="77777777" w:rsidR="00D046E0" w:rsidRPr="0036377E" w:rsidRDefault="00D046E0" w:rsidP="00881715">
            <w:pPr>
              <w:ind w:left="457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Hormone-negative without transcription factor analysis</w:t>
            </w:r>
            <w:r w:rsidRPr="0036377E">
              <w:rPr>
                <w:rFonts w:cs="Times New Roman"/>
                <w:color w:val="auto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vAlign w:val="center"/>
          </w:tcPr>
          <w:p w14:paraId="58DBF5C4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17 (18)</w:t>
            </w:r>
          </w:p>
        </w:tc>
        <w:tc>
          <w:tcPr>
            <w:tcW w:w="1843" w:type="dxa"/>
            <w:vAlign w:val="center"/>
          </w:tcPr>
          <w:p w14:paraId="09703B05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 (13)</w:t>
            </w:r>
          </w:p>
        </w:tc>
        <w:tc>
          <w:tcPr>
            <w:tcW w:w="849" w:type="dxa"/>
            <w:vAlign w:val="center"/>
          </w:tcPr>
          <w:p w14:paraId="3194E7FD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5A5A1D75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38A80874" w14:textId="77777777" w:rsidR="00D046E0" w:rsidRPr="0036377E" w:rsidRDefault="00D046E0" w:rsidP="00881715">
            <w:pPr>
              <w:ind w:left="457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Unavailable</w:t>
            </w:r>
          </w:p>
        </w:tc>
        <w:tc>
          <w:tcPr>
            <w:tcW w:w="1701" w:type="dxa"/>
            <w:vAlign w:val="center"/>
          </w:tcPr>
          <w:p w14:paraId="21590E7A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4 (4)</w:t>
            </w:r>
          </w:p>
        </w:tc>
        <w:tc>
          <w:tcPr>
            <w:tcW w:w="1843" w:type="dxa"/>
            <w:vAlign w:val="center"/>
          </w:tcPr>
          <w:p w14:paraId="708D2AF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72B66553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4C00EA7C" w14:textId="77777777" w:rsidTr="00881715">
        <w:trPr>
          <w:trHeight w:val="283"/>
        </w:trPr>
        <w:tc>
          <w:tcPr>
            <w:tcW w:w="4111" w:type="dxa"/>
            <w:vAlign w:val="center"/>
            <w:hideMark/>
          </w:tcPr>
          <w:p w14:paraId="4E28F888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Craniopharyngioma</w:t>
            </w:r>
          </w:p>
        </w:tc>
        <w:tc>
          <w:tcPr>
            <w:tcW w:w="1701" w:type="dxa"/>
            <w:vAlign w:val="center"/>
            <w:hideMark/>
          </w:tcPr>
          <w:p w14:paraId="14D349E2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4 (4)</w:t>
            </w:r>
          </w:p>
        </w:tc>
        <w:tc>
          <w:tcPr>
            <w:tcW w:w="1843" w:type="dxa"/>
            <w:vAlign w:val="center"/>
          </w:tcPr>
          <w:p w14:paraId="08C619BA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32D5B802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01BA1252" w14:textId="77777777" w:rsidTr="00881715">
        <w:trPr>
          <w:trHeight w:val="283"/>
        </w:trPr>
        <w:tc>
          <w:tcPr>
            <w:tcW w:w="4111" w:type="dxa"/>
            <w:vAlign w:val="center"/>
            <w:hideMark/>
          </w:tcPr>
          <w:p w14:paraId="5A307501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Meningioma</w:t>
            </w:r>
          </w:p>
        </w:tc>
        <w:tc>
          <w:tcPr>
            <w:tcW w:w="1701" w:type="dxa"/>
            <w:vAlign w:val="center"/>
            <w:hideMark/>
          </w:tcPr>
          <w:p w14:paraId="10059F07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 (2)</w:t>
            </w:r>
          </w:p>
        </w:tc>
        <w:tc>
          <w:tcPr>
            <w:tcW w:w="1843" w:type="dxa"/>
            <w:vAlign w:val="center"/>
          </w:tcPr>
          <w:p w14:paraId="42B28617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 (12)</w:t>
            </w:r>
          </w:p>
        </w:tc>
        <w:tc>
          <w:tcPr>
            <w:tcW w:w="849" w:type="dxa"/>
            <w:vAlign w:val="center"/>
          </w:tcPr>
          <w:p w14:paraId="55CF032F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7C772618" w14:textId="77777777" w:rsidTr="00881715">
        <w:trPr>
          <w:trHeight w:val="283"/>
        </w:trPr>
        <w:tc>
          <w:tcPr>
            <w:tcW w:w="4111" w:type="dxa"/>
            <w:vAlign w:val="center"/>
            <w:hideMark/>
          </w:tcPr>
          <w:p w14:paraId="5A5D8B03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Rathke's cleft cyst</w:t>
            </w:r>
          </w:p>
        </w:tc>
        <w:tc>
          <w:tcPr>
            <w:tcW w:w="1701" w:type="dxa"/>
            <w:vAlign w:val="center"/>
            <w:hideMark/>
          </w:tcPr>
          <w:p w14:paraId="51AAC6E9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3 (3)</w:t>
            </w:r>
          </w:p>
        </w:tc>
        <w:tc>
          <w:tcPr>
            <w:tcW w:w="1843" w:type="dxa"/>
            <w:vAlign w:val="center"/>
          </w:tcPr>
          <w:p w14:paraId="1F9DBACE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0114225E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4469F7A3" w14:textId="77777777" w:rsidTr="00881715">
        <w:trPr>
          <w:trHeight w:val="283"/>
        </w:trPr>
        <w:tc>
          <w:tcPr>
            <w:tcW w:w="4111" w:type="dxa"/>
            <w:vAlign w:val="center"/>
            <w:hideMark/>
          </w:tcPr>
          <w:p w14:paraId="01FD5E89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Arachnoid cyst</w:t>
            </w:r>
          </w:p>
        </w:tc>
        <w:tc>
          <w:tcPr>
            <w:tcW w:w="1701" w:type="dxa"/>
            <w:vAlign w:val="center"/>
            <w:hideMark/>
          </w:tcPr>
          <w:p w14:paraId="70205781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 (2)</w:t>
            </w:r>
          </w:p>
        </w:tc>
        <w:tc>
          <w:tcPr>
            <w:tcW w:w="1843" w:type="dxa"/>
            <w:vAlign w:val="center"/>
          </w:tcPr>
          <w:p w14:paraId="23C9D060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104BBBA2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6A2692E6" w14:textId="77777777" w:rsidTr="00881715">
        <w:trPr>
          <w:trHeight w:val="283"/>
        </w:trPr>
        <w:tc>
          <w:tcPr>
            <w:tcW w:w="4111" w:type="dxa"/>
            <w:vAlign w:val="center"/>
            <w:hideMark/>
          </w:tcPr>
          <w:p w14:paraId="304E147D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Normal adenohypophyseal tissue</w:t>
            </w:r>
            <w:r w:rsidRPr="0036377E">
              <w:rPr>
                <w:rFonts w:cs="Times New Roman"/>
                <w:color w:val="auto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701" w:type="dxa"/>
            <w:vAlign w:val="center"/>
            <w:hideMark/>
          </w:tcPr>
          <w:p w14:paraId="3E74C4F2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 (2)</w:t>
            </w:r>
          </w:p>
        </w:tc>
        <w:tc>
          <w:tcPr>
            <w:tcW w:w="1843" w:type="dxa"/>
            <w:vAlign w:val="center"/>
          </w:tcPr>
          <w:p w14:paraId="20B440F9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3E2D47C1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49BE2276" w14:textId="77777777" w:rsidTr="00881715">
        <w:trPr>
          <w:trHeight w:val="283"/>
        </w:trPr>
        <w:tc>
          <w:tcPr>
            <w:tcW w:w="4111" w:type="dxa"/>
            <w:vAlign w:val="center"/>
            <w:hideMark/>
          </w:tcPr>
          <w:p w14:paraId="64DE6EF3" w14:textId="77777777" w:rsidR="00D046E0" w:rsidRPr="0036377E" w:rsidRDefault="00D046E0" w:rsidP="00881715">
            <w:pPr>
              <w:ind w:left="174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Other sellar/suprasellar lesions</w:t>
            </w:r>
            <w:r w:rsidRPr="0036377E">
              <w:rPr>
                <w:rFonts w:cs="Times New Roman"/>
                <w:color w:val="auto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701" w:type="dxa"/>
            <w:vAlign w:val="center"/>
            <w:hideMark/>
          </w:tcPr>
          <w:p w14:paraId="4453419C" w14:textId="77777777" w:rsidR="00D046E0" w:rsidRPr="0036377E" w:rsidRDefault="00D046E0" w:rsidP="00881715">
            <w:pPr>
              <w:spacing w:line="278" w:lineRule="auto"/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3 (3)</w:t>
            </w:r>
          </w:p>
        </w:tc>
        <w:tc>
          <w:tcPr>
            <w:tcW w:w="1843" w:type="dxa"/>
            <w:vAlign w:val="center"/>
          </w:tcPr>
          <w:p w14:paraId="4908D5A3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  <w:tc>
          <w:tcPr>
            <w:tcW w:w="849" w:type="dxa"/>
            <w:vAlign w:val="center"/>
          </w:tcPr>
          <w:p w14:paraId="72F8B17E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</w:p>
        </w:tc>
      </w:tr>
      <w:tr w:rsidR="00D046E0" w:rsidRPr="0036377E" w14:paraId="7A236512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1E3CF41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Early postoperative minimum morning cortisol (</w:t>
            </w:r>
            <w:r w:rsidRPr="000D42F1">
              <w:rPr>
                <w:szCs w:val="20"/>
                <w:lang w:val="en-US"/>
              </w:rPr>
              <w:t>µg/dL</w:t>
            </w:r>
            <w:r w:rsidRPr="0036377E">
              <w:rPr>
                <w:rFonts w:cs="Times New Roman"/>
                <w:color w:val="auto"/>
                <w:szCs w:val="20"/>
                <w:lang w:val="en-US"/>
              </w:rPr>
              <w:t>; median (IQR))</w:t>
            </w:r>
          </w:p>
        </w:tc>
        <w:tc>
          <w:tcPr>
            <w:tcW w:w="1701" w:type="dxa"/>
            <w:vAlign w:val="center"/>
          </w:tcPr>
          <w:p w14:paraId="236CED6D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9.85 (4.86-14.10)</w:t>
            </w:r>
          </w:p>
        </w:tc>
        <w:tc>
          <w:tcPr>
            <w:tcW w:w="1843" w:type="dxa"/>
            <w:vAlign w:val="center"/>
          </w:tcPr>
          <w:p w14:paraId="24DD249F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10.60 (5.96-15.10)</w:t>
            </w:r>
          </w:p>
        </w:tc>
        <w:tc>
          <w:tcPr>
            <w:tcW w:w="849" w:type="dxa"/>
            <w:vAlign w:val="center"/>
          </w:tcPr>
          <w:p w14:paraId="52D2C02D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0.611</w:t>
            </w:r>
          </w:p>
        </w:tc>
      </w:tr>
      <w:tr w:rsidR="00D046E0" w:rsidRPr="0036377E" w14:paraId="30C56DD5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3AE964DE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Nadir (days; median (IQR))</w:t>
            </w:r>
          </w:p>
        </w:tc>
        <w:tc>
          <w:tcPr>
            <w:tcW w:w="1701" w:type="dxa"/>
            <w:vAlign w:val="center"/>
          </w:tcPr>
          <w:p w14:paraId="26CF5FE8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 (1-5)</w:t>
            </w:r>
          </w:p>
        </w:tc>
        <w:tc>
          <w:tcPr>
            <w:tcW w:w="1843" w:type="dxa"/>
            <w:vAlign w:val="center"/>
          </w:tcPr>
          <w:p w14:paraId="7C9F1727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4 (1-5)</w:t>
            </w:r>
          </w:p>
        </w:tc>
        <w:tc>
          <w:tcPr>
            <w:tcW w:w="849" w:type="dxa"/>
            <w:vAlign w:val="center"/>
          </w:tcPr>
          <w:p w14:paraId="7E482521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0.399</w:t>
            </w:r>
          </w:p>
        </w:tc>
      </w:tr>
      <w:tr w:rsidR="00D046E0" w:rsidRPr="0036377E" w14:paraId="049B9953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21134E2F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 xml:space="preserve">Early postoperative minimum morning cortisol measurements </w:t>
            </w:r>
          </w:p>
        </w:tc>
        <w:tc>
          <w:tcPr>
            <w:tcW w:w="1701" w:type="dxa"/>
            <w:vAlign w:val="center"/>
          </w:tcPr>
          <w:p w14:paraId="7CAB37B0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2.77±1.04</w:t>
            </w:r>
          </w:p>
        </w:tc>
        <w:tc>
          <w:tcPr>
            <w:tcW w:w="1843" w:type="dxa"/>
            <w:vAlign w:val="center"/>
          </w:tcPr>
          <w:p w14:paraId="4F845A3D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2.35±0.79</w:t>
            </w:r>
          </w:p>
        </w:tc>
        <w:tc>
          <w:tcPr>
            <w:tcW w:w="849" w:type="dxa"/>
            <w:vAlign w:val="center"/>
          </w:tcPr>
          <w:p w14:paraId="2386C761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0.117</w:t>
            </w:r>
          </w:p>
        </w:tc>
      </w:tr>
      <w:tr w:rsidR="00D046E0" w:rsidRPr="0036377E" w14:paraId="04446871" w14:textId="77777777" w:rsidTr="00881715">
        <w:trPr>
          <w:trHeight w:val="283"/>
        </w:trPr>
        <w:tc>
          <w:tcPr>
            <w:tcW w:w="4111" w:type="dxa"/>
            <w:vAlign w:val="center"/>
          </w:tcPr>
          <w:p w14:paraId="6055CAC2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Secondary adrenal insufficiency 1-3 months after surgery</w:t>
            </w:r>
            <w:r w:rsidRPr="0036377E">
              <w:rPr>
                <w:rFonts w:cs="Times New Roman"/>
                <w:color w:val="auto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701" w:type="dxa"/>
            <w:vAlign w:val="center"/>
          </w:tcPr>
          <w:p w14:paraId="56506ADD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27 (24)</w:t>
            </w:r>
          </w:p>
        </w:tc>
        <w:tc>
          <w:tcPr>
            <w:tcW w:w="1843" w:type="dxa"/>
            <w:vAlign w:val="center"/>
          </w:tcPr>
          <w:p w14:paraId="662079D3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3 (18)</w:t>
            </w:r>
          </w:p>
        </w:tc>
        <w:tc>
          <w:tcPr>
            <w:tcW w:w="849" w:type="dxa"/>
            <w:vAlign w:val="center"/>
          </w:tcPr>
          <w:p w14:paraId="06EE6FD1" w14:textId="77777777" w:rsidR="00D046E0" w:rsidRPr="0036377E" w:rsidRDefault="00D046E0" w:rsidP="00881715">
            <w:pPr>
              <w:rPr>
                <w:rFonts w:cs="Times New Roman"/>
                <w:color w:val="auto"/>
                <w:szCs w:val="20"/>
                <w:lang w:val="en-US"/>
              </w:rPr>
            </w:pPr>
            <w:r w:rsidRPr="0036377E">
              <w:rPr>
                <w:rFonts w:cs="Times New Roman"/>
                <w:color w:val="auto"/>
                <w:szCs w:val="20"/>
                <w:lang w:val="en-US"/>
              </w:rPr>
              <w:t>0.760</w:t>
            </w:r>
          </w:p>
        </w:tc>
      </w:tr>
    </w:tbl>
    <w:p w14:paraId="4F675D6A" w14:textId="77777777" w:rsidR="00D046E0" w:rsidRPr="0036377E" w:rsidRDefault="00D046E0" w:rsidP="00D046E0">
      <w:pPr>
        <w:rPr>
          <w:rFonts w:cs="Times New Roman"/>
          <w:szCs w:val="20"/>
          <w:lang w:val="en-US"/>
        </w:rPr>
      </w:pPr>
      <w:r w:rsidRPr="0036377E">
        <w:rPr>
          <w:rFonts w:cs="Times New Roman"/>
          <w:szCs w:val="20"/>
          <w:vertAlign w:val="superscript"/>
          <w:lang w:val="en-US"/>
        </w:rPr>
        <w:t>a</w:t>
      </w:r>
      <w:r w:rsidRPr="0036377E">
        <w:rPr>
          <w:rFonts w:cs="Times New Roman"/>
          <w:szCs w:val="20"/>
          <w:lang w:val="en-US"/>
        </w:rPr>
        <w:t>Hormone-negative adenomas without transcription factor analysis were negative for pituitary hormone immunostaining but were not evaluated for PIT1, T-PIT, or SF1 expression, precluding definitive lineage classification.</w:t>
      </w:r>
      <w:r w:rsidRPr="0036377E">
        <w:rPr>
          <w:rFonts w:cs="Times New Roman"/>
          <w:szCs w:val="20"/>
          <w:vertAlign w:val="superscript"/>
          <w:lang w:val="en-US"/>
        </w:rPr>
        <w:t xml:space="preserve"> b</w:t>
      </w:r>
      <w:r w:rsidRPr="0036377E">
        <w:rPr>
          <w:rFonts w:cs="Times New Roman"/>
          <w:szCs w:val="20"/>
          <w:lang w:val="en-US"/>
        </w:rPr>
        <w:t xml:space="preserve">Both cases were reoperations of mixed GH and PRL secreting pituitary adenoma with no tumor specimen found at the retrieved tissue. </w:t>
      </w:r>
      <w:r w:rsidRPr="0036377E">
        <w:rPr>
          <w:rFonts w:cs="Times New Roman"/>
          <w:szCs w:val="20"/>
          <w:vertAlign w:val="superscript"/>
          <w:lang w:val="en-US"/>
        </w:rPr>
        <w:t>c</w:t>
      </w:r>
      <w:r w:rsidRPr="0036377E">
        <w:rPr>
          <w:rFonts w:cs="Times New Roman"/>
          <w:szCs w:val="20"/>
          <w:lang w:val="en-US"/>
        </w:rPr>
        <w:t xml:space="preserve">Other lesions included one suprasellar epidermoid cyst, one sellar cyst, and one xanthogranuloma associated with a Rathke's cleft cyst. </w:t>
      </w:r>
      <w:r w:rsidRPr="0036377E">
        <w:rPr>
          <w:rFonts w:cs="Times New Roman"/>
          <w:szCs w:val="20"/>
          <w:vertAlign w:val="superscript"/>
          <w:lang w:val="en-US"/>
        </w:rPr>
        <w:t>d</w:t>
      </w:r>
      <w:r w:rsidRPr="0036377E">
        <w:rPr>
          <w:rFonts w:cs="Times New Roman"/>
          <w:szCs w:val="20"/>
          <w:lang w:val="en-US"/>
        </w:rPr>
        <w:t>Two patients were excluded from the 1-3 months analysis.</w:t>
      </w:r>
    </w:p>
    <w:p w14:paraId="4B778559" w14:textId="77777777" w:rsidR="00D046E0" w:rsidRPr="0036377E" w:rsidRDefault="00D046E0" w:rsidP="00D046E0">
      <w:pPr>
        <w:shd w:val="clear" w:color="auto" w:fill="FFFFFF"/>
        <w:rPr>
          <w:szCs w:val="20"/>
          <w:highlight w:val="white"/>
          <w:lang w:val="en-US"/>
        </w:rPr>
      </w:pPr>
    </w:p>
    <w:p w14:paraId="4C54E381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E0"/>
    <w:rsid w:val="005B6877"/>
    <w:rsid w:val="00673321"/>
    <w:rsid w:val="00AA0C39"/>
    <w:rsid w:val="00D046E0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BC150"/>
  <w15:chartTrackingRefBased/>
  <w15:docId w15:val="{8D57C376-034D-49B0-8420-6DE099BC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6E0"/>
    <w:rPr>
      <w:rFonts w:ascii="Times New Roman" w:eastAsiaTheme="minorEastAsia" w:hAnsi="Times New Roman"/>
      <w:sz w:val="20"/>
      <w:lang w:val="pt-PT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4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6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6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6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6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6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6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6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6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6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6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6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6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6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4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6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4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6E0"/>
    <w:pPr>
      <w:spacing w:before="160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46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6E0"/>
    <w:pPr>
      <w:ind w:left="720"/>
      <w:contextualSpacing/>
    </w:pPr>
    <w:rPr>
      <w:rFonts w:asciiTheme="minorHAnsi" w:eastAsiaTheme="minorHAnsi" w:hAnsi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46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6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6E0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D046E0"/>
    <w:pPr>
      <w:spacing w:after="0" w:line="240" w:lineRule="auto"/>
    </w:pPr>
    <w:rPr>
      <w:rFonts w:eastAsiaTheme="minorEastAsia"/>
      <w:color w:val="000000" w:themeColor="text1"/>
      <w:lang w:val="pt-PT" w:eastAsia="zh-CN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2026-10-07T13:49:00Z</dcterms:created>
  <dcterms:modified xsi:type="dcterms:W3CDTF">2026-10-07T13:49:00Z</dcterms:modified>
</cp:coreProperties>
</file>