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0"/>
        </w:rPr>
        <w:t>Supplementary Information</w:t>
      </w:r>
    </w:p>
    <w:p>
      <w:pPr>
        <w:jc w:val="center"/>
      </w:pPr>
      <w:r>
        <w:rPr>
          <w:rFonts w:ascii="Times New Roman" w:hAnsi="Times New Roman"/>
          <w:b/>
          <w:sz w:val="24"/>
        </w:rPr>
        <w:t>Technoeconomic Screening and Decision Framework for Vertical Flow Constructed Wetlands Using Reclaimed Water in Riyadh Parks</w:t>
      </w:r>
    </w:p>
    <w:p>
      <w:pPr>
        <w:spacing w:after="80" w:line="252" w:lineRule="auto"/>
      </w:pPr>
      <w:r>
        <w:rPr>
          <w:rFonts w:ascii="Times New Roman" w:hAnsi="Times New Roman"/>
          <w:b w:val="0"/>
          <w:sz w:val="20"/>
        </w:rPr>
        <w:t>This supplementary file is anonymized for double-blind review. The accompanying calculation workbook contains the same model inputs and formula-driven calculations used for the reported mass-balance and life-cycle-cost results.</w:t>
      </w:r>
    </w:p>
    <w:p>
      <w:pPr>
        <w:pStyle w:val="Heading1"/>
        <w:spacing w:before="140" w:after="60"/>
      </w:pPr>
      <w:r>
        <w:rPr>
          <w:rFonts w:ascii="Times New Roman" w:hAnsi="Times New Roman"/>
          <w:b/>
          <w:sz w:val="24"/>
        </w:rPr>
        <w:t>S1. Evidence matrix</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Evidence source</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Context</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System</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Role in framework</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KSU, Riyadh (Kamal 2023)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Hot-arid pilot</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Three-stage SVFCW</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Local climatic proof of concept; not municipal-scale validation</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Oman full scale (Al-Wahaibi et al. 2021)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Hot-arid full scale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Two-stage VFCW with recirculation / process modification</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Confirms strong aerobic treatment and nitrogen-management limitation</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Saudi Red Sea (Ishtiaq et al. 2025)</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Hot-arid large scale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VF-VF-HF hybrid</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Saudi scale and operational precedent; hybrid nitrogen removal</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Beijing Olympic Forest Park (Xie et al. 2012)</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Public urban park</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Integrated vertical-flow wetland</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Public-landscape integration precedent</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Baggiotto et al. 2025</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Full-scale/research</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Recirculation and partial saturation</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Supports configurable total-N removal</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Stefanakis et al. 2014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Design synthesis</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Intermittent VFCWs</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Hydraulic dosing, media, slope and oxygen-transfer screening basis</w:t>
            </w:r>
          </w:p>
        </w:tc>
      </w:tr>
    </w:tbl>
    <w:p>
      <w:pPr>
        <w:spacing w:after="0"/>
      </w:pPr>
    </w:p>
    <w:p>
      <w:pPr>
        <w:pStyle w:val="Heading1"/>
        <w:spacing w:before="140" w:after="60"/>
      </w:pPr>
      <w:r>
        <w:rPr>
          <w:rFonts w:ascii="Times New Roman" w:hAnsi="Times New Roman"/>
          <w:b/>
          <w:sz w:val="24"/>
        </w:rPr>
        <w:t>S2. Reference hydraulic design calculations</w:t>
      </w:r>
    </w:p>
    <w:p>
      <w:pPr>
        <w:spacing w:after="80" w:line="252" w:lineRule="auto"/>
      </w:pPr>
      <w:r>
        <w:rPr>
          <w:rFonts w:ascii="Times New Roman" w:hAnsi="Times New Roman"/>
          <w:b w:val="0"/>
          <w:sz w:val="20"/>
        </w:rPr>
        <w:t>Reference flow Q = 500 m³ d⁻¹; number of cells = 6; cell area = 20 × 35 = 700 m²; total active area A = 4,200 m².</w:t>
      </w:r>
    </w:p>
    <w:p>
      <w:pPr>
        <w:spacing w:after="80" w:line="252" w:lineRule="auto"/>
      </w:pPr>
      <w:r>
        <w:rPr>
          <w:rFonts w:ascii="Times New Roman" w:hAnsi="Times New Roman"/>
          <w:b w:val="0"/>
          <w:sz w:val="20"/>
        </w:rPr>
        <w:t>HLR = Q/A = 500/4,200 = 0.119 m d⁻¹ (119 mm d⁻¹). Four doses d⁻¹ were selected within the 3-10 doses d⁻¹ range reported for intermittent VFCWs. The selected HLR is within the broader literature experience summarized in the main manuscript, but detailed design remains source-water and media dependent.</w:t>
      </w:r>
    </w:p>
    <w:tbl>
      <w:tblPr>
        <w:tblStyle w:val="TableGrid"/>
        <w:tblW w:type="auto" w:w="0"/>
        <w:jc w:val="center"/>
        <w:tblLook w:firstColumn="1" w:firstRow="1" w:lastColumn="0" w:lastRow="0" w:noHBand="0" w:noVBand="1" w:val="04A0"/>
      </w:tblPr>
      <w:tblGrid>
        <w:gridCol w:w="1972"/>
        <w:gridCol w:w="1972"/>
        <w:gridCol w:w="1972"/>
        <w:gridCol w:w="1972"/>
        <w:gridCol w:w="1972"/>
      </w:tblGrid>
      <w:tr>
        <w:trPr>
          <w:tblHeader w:val="true"/>
          <w:cantSplit/>
        </w:trPr>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Condition</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Active area</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HLR</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Volume per cell per dose</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Pulse depth</w:t>
            </w:r>
          </w:p>
        </w:tc>
      </w:tr>
      <w:tr>
        <w:trPr>
          <w:cantSplit/>
        </w:trPr>
        <w:tc>
          <w:tcPr>
            <w:tcW w:type="dxa" w:w="1972"/>
            <w:vAlign w:val="center"/>
            <w:tcMar>
              <w:top w:w="70" w:type="dxa"/>
              <w:start w:w="70" w:type="dxa"/>
              <w:bottom w:w="70" w:type="dxa"/>
              <w:end w:w="70" w:type="dxa"/>
            </w:tcMar>
          </w:tcPr>
          <w:p>
            <w:pPr>
              <w:spacing w:after="0"/>
            </w:pPr>
            <w:r/>
            <w:r>
              <w:rPr>
                <w:rFonts w:ascii="Times New Roman" w:hAnsi="Times New Roman"/>
                <w:b w:val="0"/>
                <w:sz w:val="16"/>
              </w:rPr>
              <w:t>Normal: 6 cells online</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4,200 m²</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0.119 m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20.83 m³</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29.8 mm</w:t>
            </w:r>
          </w:p>
        </w:tc>
      </w:tr>
      <w:tr>
        <w:trPr>
          <w:cantSplit/>
        </w:trPr>
        <w:tc>
          <w:tcPr>
            <w:tcW w:type="dxa" w:w="1972"/>
            <w:vAlign w:val="center"/>
            <w:tcMar>
              <w:top w:w="70" w:type="dxa"/>
              <w:start w:w="70" w:type="dxa"/>
              <w:bottom w:w="70" w:type="dxa"/>
              <w:end w:w="70" w:type="dxa"/>
            </w:tcMar>
          </w:tcPr>
          <w:p>
            <w:pPr>
              <w:spacing w:after="0"/>
            </w:pPr>
            <w:r/>
            <w:r>
              <w:rPr>
                <w:rFonts w:ascii="Times New Roman" w:hAnsi="Times New Roman"/>
                <w:b w:val="0"/>
                <w:sz w:val="16"/>
              </w:rPr>
              <w:t>One cell offline</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3,500 m²</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0.143 m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25.00 m³</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35.7 mm</w:t>
            </w:r>
          </w:p>
        </w:tc>
      </w:tr>
    </w:tbl>
    <w:p>
      <w:pPr>
        <w:spacing w:after="0"/>
      </w:pPr>
    </w:p>
    <w:p>
      <w:pPr>
        <w:spacing w:after="80" w:line="252" w:lineRule="auto"/>
      </w:pPr>
      <w:r>
        <w:rPr>
          <w:rFonts w:ascii="Times New Roman" w:hAnsi="Times New Roman"/>
          <w:b w:val="0"/>
          <w:sz w:val="20"/>
        </w:rPr>
        <w:t>Conceptual filter depth is approximately 900 mm: 100 mm distribution gravel, 500 mm principal treatment media, 100 mm transition material and 200 mm drainage material above a protected 2 mm HDPE liner at approximately 1% base slope. Media gradation and hydraulic conductivity require site-specific testing.</w:t>
      </w:r>
    </w:p>
    <w:p>
      <w:pPr>
        <w:pStyle w:val="Heading1"/>
        <w:spacing w:before="140" w:after="60"/>
      </w:pPr>
      <w:r>
        <w:rPr>
          <w:rFonts w:ascii="Times New Roman" w:hAnsi="Times New Roman"/>
          <w:b/>
          <w:sz w:val="24"/>
        </w:rPr>
        <w:t>S3. Water-balance screening</w:t>
      </w:r>
    </w:p>
    <w:tbl>
      <w:tblPr>
        <w:tblStyle w:val="TableGrid"/>
        <w:tblW w:type="auto" w:w="0"/>
        <w:jc w:val="center"/>
        <w:tblLook w:firstColumn="1" w:firstRow="1" w:lastColumn="0" w:lastRow="0" w:noHBand="0" w:noVBand="1" w:val="04A0"/>
      </w:tblPr>
      <w:tblGrid>
        <w:gridCol w:w="1972"/>
        <w:gridCol w:w="1972"/>
        <w:gridCol w:w="1972"/>
        <w:gridCol w:w="1972"/>
        <w:gridCol w:w="1972"/>
      </w:tblGrid>
      <w:tr>
        <w:trPr>
          <w:tblHeader w:val="true"/>
          <w:cantSplit/>
        </w:trPr>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Wetland ET</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ET loss</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Net output</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Recovery</w:t>
            </w:r>
          </w:p>
        </w:tc>
        <w:tc>
          <w:tcPr>
            <w:tcW w:type="dxa" w:w="1972"/>
            <w:vAlign w:val="center"/>
            <w:shd w:fill="D9EAF7"/>
            <w:tcMar>
              <w:top w:w="70" w:type="dxa"/>
              <w:start w:w="70" w:type="dxa"/>
              <w:bottom w:w="70" w:type="dxa"/>
              <w:end w:w="70" w:type="dxa"/>
            </w:tcMar>
          </w:tcPr>
          <w:p>
            <w:pPr>
              <w:spacing w:after="0"/>
            </w:pPr>
            <w:r/>
            <w:r>
              <w:rPr>
                <w:rFonts w:ascii="Times New Roman" w:hAnsi="Times New Roman"/>
                <w:b/>
                <w:sz w:val="16"/>
              </w:rPr>
              <w:t>Concentration factor</w:t>
            </w:r>
          </w:p>
        </w:tc>
      </w:tr>
      <w:tr>
        <w:trPr>
          <w:cantSplit/>
        </w:trPr>
        <w:tc>
          <w:tcPr>
            <w:tcW w:type="dxa" w:w="1972"/>
            <w:vAlign w:val="center"/>
            <w:tcMar>
              <w:top w:w="70" w:type="dxa"/>
              <w:start w:w="70" w:type="dxa"/>
              <w:bottom w:w="70" w:type="dxa"/>
              <w:end w:w="70" w:type="dxa"/>
            </w:tcMar>
          </w:tcPr>
          <w:p>
            <w:pPr>
              <w:spacing w:after="0"/>
            </w:pPr>
            <w:r/>
            <w:r>
              <w:rPr>
                <w:rFonts w:ascii="Times New Roman" w:hAnsi="Times New Roman"/>
                <w:b w:val="0"/>
                <w:sz w:val="16"/>
              </w:rPr>
              <w:t>5 mm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21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479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95.8%</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1.044</w:t>
            </w:r>
          </w:p>
        </w:tc>
      </w:tr>
      <w:tr>
        <w:trPr>
          <w:cantSplit/>
        </w:trPr>
        <w:tc>
          <w:tcPr>
            <w:tcW w:type="dxa" w:w="1972"/>
            <w:vAlign w:val="center"/>
            <w:tcMar>
              <w:top w:w="70" w:type="dxa"/>
              <w:start w:w="70" w:type="dxa"/>
              <w:bottom w:w="70" w:type="dxa"/>
              <w:end w:w="70" w:type="dxa"/>
            </w:tcMar>
          </w:tcPr>
          <w:p>
            <w:pPr>
              <w:spacing w:after="0"/>
            </w:pPr>
            <w:r/>
            <w:r>
              <w:rPr>
                <w:rFonts w:ascii="Times New Roman" w:hAnsi="Times New Roman"/>
                <w:b w:val="0"/>
                <w:sz w:val="16"/>
              </w:rPr>
              <w:t>10 mm d⁻¹ (base)</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42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458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91.6%</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1.092</w:t>
            </w:r>
          </w:p>
        </w:tc>
      </w:tr>
      <w:tr>
        <w:trPr>
          <w:cantSplit/>
        </w:trPr>
        <w:tc>
          <w:tcPr>
            <w:tcW w:type="dxa" w:w="1972"/>
            <w:vAlign w:val="center"/>
            <w:tcMar>
              <w:top w:w="70" w:type="dxa"/>
              <w:start w:w="70" w:type="dxa"/>
              <w:bottom w:w="70" w:type="dxa"/>
              <w:end w:w="70" w:type="dxa"/>
            </w:tcMar>
          </w:tcPr>
          <w:p>
            <w:pPr>
              <w:spacing w:after="0"/>
            </w:pPr>
            <w:r/>
            <w:r>
              <w:rPr>
                <w:rFonts w:ascii="Times New Roman" w:hAnsi="Times New Roman"/>
                <w:b w:val="0"/>
                <w:sz w:val="16"/>
              </w:rPr>
              <w:t>15 mm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63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437 m³ d⁻¹</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87.4%</w:t>
            </w:r>
          </w:p>
        </w:tc>
        <w:tc>
          <w:tcPr>
            <w:tcW w:type="dxa" w:w="1972"/>
            <w:vAlign w:val="center"/>
            <w:tcMar>
              <w:top w:w="70" w:type="dxa"/>
              <w:start w:w="70" w:type="dxa"/>
              <w:bottom w:w="70" w:type="dxa"/>
              <w:end w:w="70" w:type="dxa"/>
            </w:tcMar>
          </w:tcPr>
          <w:p>
            <w:pPr>
              <w:spacing w:after="0"/>
            </w:pPr>
            <w:r/>
            <w:r>
              <w:rPr>
                <w:rFonts w:ascii="Times New Roman" w:hAnsi="Times New Roman"/>
                <w:b w:val="0"/>
                <w:sz w:val="16"/>
              </w:rPr>
              <w:t>1.144</w:t>
            </w:r>
          </w:p>
        </w:tc>
      </w:tr>
    </w:tbl>
    <w:p>
      <w:pPr>
        <w:spacing w:after="0"/>
      </w:pPr>
    </w:p>
    <w:p>
      <w:pPr>
        <w:spacing w:after="80" w:line="252" w:lineRule="auto"/>
      </w:pPr>
      <w:r>
        <w:rPr>
          <w:rFonts w:ascii="Times New Roman" w:hAnsi="Times New Roman"/>
          <w:b w:val="0"/>
          <w:sz w:val="20"/>
        </w:rPr>
        <w:t>The ET values are analytical screening assumptions. The 10 mm d⁻¹ base case is intentionally conservative and is not a measured year-round Riyadh VFCW ET value. The associated EC_out ≈ EC_in × concentration-factor relationship is only a conservative-solute screening approximation and is not a predictive irrigation-salinity model.</w:t>
      </w:r>
    </w:p>
    <w:p>
      <w:pPr>
        <w:pStyle w:val="Heading1"/>
        <w:spacing w:before="140" w:after="60"/>
      </w:pPr>
      <w:r>
        <w:rPr>
          <w:rFonts w:ascii="Times New Roman" w:hAnsi="Times New Roman"/>
          <w:b/>
          <w:sz w:val="24"/>
        </w:rPr>
        <w:t>S4. Pollutant mass-balance results</w:t>
      </w:r>
    </w:p>
    <w:p>
      <w:pPr>
        <w:spacing w:after="80" w:line="252" w:lineRule="auto"/>
      </w:pPr>
      <w:r>
        <w:rPr>
          <w:rFonts w:ascii="Times New Roman" w:hAnsi="Times New Roman"/>
          <w:b w:val="0"/>
          <w:sz w:val="20"/>
        </w:rPr>
        <w:t>M = Q × C / 1000; removal duty = (Q_in C_in − Q_out C_target)/1000. Nitrified ammonia is conservatively added to the nitrate load before denitrification screening.</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Parameter</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A</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B</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C</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BOD₅ removal, kg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5.21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10.21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17.71</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TSS removal, kg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5.21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10.21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17.71</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Ammonia-N removal, kg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0.084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1.084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1.584</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Direct nitrate reduction before nitrified NH₃, kg N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0.336</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2.336</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8.836</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Nitrate requiring denitrification after nitrification, kg N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0.420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3.420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10.420</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Theoretical minimum denitrification COD, kg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1.20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9.78</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29.80</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PO₄ removal, kg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0.063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0.563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1.813</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PO₄ removal, kg yr⁻¹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205.5</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661.7</w:t>
            </w:r>
          </w:p>
        </w:tc>
      </w:tr>
    </w:tbl>
    <w:p>
      <w:pPr>
        <w:spacing w:after="0"/>
      </w:pPr>
    </w:p>
    <w:p>
      <w:pPr>
        <w:spacing w:after="80" w:line="252" w:lineRule="auto"/>
      </w:pPr>
      <w:r>
        <w:rPr>
          <w:rFonts w:ascii="Times New Roman" w:hAnsi="Times New Roman"/>
          <w:b w:val="0"/>
          <w:sz w:val="20"/>
        </w:rPr>
        <w:t>Phosphorus values are retained on the PO₄ reporting basis used in the Saudi standard; no conversion to elemental P or PO₄-P is applied.</w:t>
      </w:r>
    </w:p>
    <w:p>
      <w:pPr>
        <w:pStyle w:val="Heading1"/>
        <w:spacing w:before="140" w:after="60"/>
      </w:pPr>
      <w:r>
        <w:rPr>
          <w:rFonts w:ascii="Times New Roman" w:hAnsi="Times New Roman"/>
          <w:b/>
          <w:sz w:val="24"/>
        </w:rPr>
        <w:t>S5. Aerobic capacity validation</w:t>
      </w:r>
    </w:p>
    <w:p>
      <w:pPr>
        <w:spacing w:after="80" w:line="252" w:lineRule="auto"/>
      </w:pPr>
      <w:r>
        <w:rPr>
          <w:rFonts w:ascii="Times New Roman" w:hAnsi="Times New Roman"/>
          <w:b w:val="0"/>
          <w:sz w:val="20"/>
        </w:rPr>
        <w:t>The feasibility screen converts BOD₅ removal plus 4.3 times ammonium-N oxidation to an areal oxygen requirement. Literature summarized by Stefanakis et al. (2014) reports VFCW oxygen-transfer capacities of approximately 23-64 g O₂ m⁻² d⁻¹ in commonly cited systems and a broader range of about 7.9-156 g O₂ m⁻² d⁻¹.</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Metric</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A</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B</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C</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BOD₅ areal removal, g m⁻²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1.24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2.43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4.22</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Ammonia-N areal removal, g N m⁻²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0.020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0.258</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0.377</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Screening O₂ requirement, g O₂ m⁻²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1.33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3.54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5.84</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Selected literature comparator, g O₂ m⁻² d⁻¹</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23-64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23-64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23-64</w:t>
            </w:r>
          </w:p>
        </w:tc>
      </w:tr>
    </w:tbl>
    <w:p>
      <w:pPr>
        <w:spacing w:after="0"/>
      </w:pPr>
    </w:p>
    <w:p>
      <w:pPr>
        <w:spacing w:after="80" w:line="252" w:lineRule="auto"/>
      </w:pPr>
      <w:r>
        <w:rPr>
          <w:rFonts w:ascii="Times New Roman" w:hAnsi="Times New Roman"/>
          <w:b w:val="0"/>
          <w:sz w:val="20"/>
        </w:rPr>
        <w:t>All three calculated requirements are below the selected comparator. This is a screening check only: it supports the conclusion that aerobic polishing is unlikely to be the controlling process constraint at the reference area, but it does not replace kinetic design or guarantee field performance.</w:t>
      </w:r>
    </w:p>
    <w:p>
      <w:pPr>
        <w:pStyle w:val="Heading1"/>
        <w:spacing w:before="140" w:after="60"/>
      </w:pPr>
      <w:r>
        <w:rPr>
          <w:rFonts w:ascii="Times New Roman" w:hAnsi="Times New Roman"/>
          <w:b/>
          <w:sz w:val="24"/>
        </w:rPr>
        <w:t>S6. Conceptual feasibility BOQ</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Cost group</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Quantity basis</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Feasibility range</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Status / next evidence</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Earthworks / formation</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~4,800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0.15-0.22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Concept allowance; verify site quantities and local rates</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Filter sand + graded gravel</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~4,000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0.75-0.90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Confirm local media gradation, quarry and transport</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Liner + geotextile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~5,600 m² liner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0.40-0.55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Installed supplier quotation required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Distribution/drainage pipework</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~2.7 km concept</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0.30-0.40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Final routing and installed rates required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Chambers/manifolds/valves</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Allowance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0.15-0.22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Engineering allowance; RFQ required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EQ + treated-water storage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~550 m³ effective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0.55-0.75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Tank type and structural basis to be confirmed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Pumps/MCC/control</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Allowance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0.15-0.22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Duty/head and controls to be detailed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Filtration/disinfection</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Allowance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0.12-0.20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Compliance package; pathogen model not included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Instrumentation</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Allowance</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0.10-0.15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Monitoring scope to be confirmed</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Wetland planting/establishment</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4,200 m²</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0.12-0.20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Species and establishment plan required</w:t>
            </w:r>
          </w:p>
        </w:tc>
      </w:tr>
    </w:tbl>
    <w:p>
      <w:pPr>
        <w:spacing w:after="0"/>
      </w:pPr>
    </w:p>
    <w:p>
      <w:pPr>
        <w:spacing w:after="80" w:line="252" w:lineRule="auto"/>
      </w:pPr>
      <w:r>
        <w:rPr>
          <w:rFonts w:ascii="Times New Roman" w:hAnsi="Times New Roman"/>
          <w:b w:val="0"/>
          <w:sz w:val="20"/>
        </w:rPr>
        <w:t>These quantities and costs are planning-level feasibility estimates, not tender rates. GASTAT construction-price information is used only as calibration context. Supplier quotations and installed unit rates should replace allowance items before an investment decision. Land purchase is excluded from the base case and land opportunity cost is treated separately.</w:t>
      </w:r>
    </w:p>
    <w:p>
      <w:pPr>
        <w:pStyle w:val="Heading1"/>
        <w:spacing w:before="140" w:after="60"/>
      </w:pPr>
      <w:r>
        <w:rPr>
          <w:rFonts w:ascii="Times New Roman" w:hAnsi="Times New Roman"/>
          <w:b/>
          <w:sz w:val="24"/>
        </w:rPr>
        <w:t>S7. Economic model, renewal sensitivity and break-even rule</w:t>
      </w:r>
    </w:p>
    <w:p>
      <w:pPr>
        <w:spacing w:after="80" w:line="252" w:lineRule="auto"/>
      </w:pPr>
      <w:r>
        <w:rPr>
          <w:rFonts w:ascii="Times New Roman" w:hAnsi="Times New Roman"/>
          <w:b w:val="0"/>
          <w:sz w:val="20"/>
        </w:rPr>
        <w:t>Base economic assumptions: 30-year analysis period; 6% real discount rate; 95% availability; annual treated volume 173,375 m³ yr⁻¹; base delivered volume 158,811.5 m³ yr⁻¹; common upstream treatment and existing sunk infrastructure excluded.</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Indicator</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A</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B</w:t>
            </w:r>
          </w:p>
        </w:tc>
        <w:tc>
          <w:tcPr>
            <w:tcW w:type="dxa" w:w="2464"/>
            <w:vAlign w:val="center"/>
            <w:shd w:fill="D9EAF7"/>
            <w:tcMar>
              <w:top w:w="70" w:type="dxa"/>
              <w:start w:w="70" w:type="dxa"/>
              <w:bottom w:w="70" w:type="dxa"/>
              <w:end w:w="70" w:type="dxa"/>
            </w:tcMar>
          </w:tcPr>
          <w:p>
            <w:pPr>
              <w:spacing w:after="0"/>
            </w:pPr>
            <w:r/>
            <w:r>
              <w:rPr>
                <w:rFonts w:ascii="Times New Roman" w:hAnsi="Times New Roman"/>
                <w:b/>
                <w:sz w:val="16"/>
              </w:rPr>
              <w:t>Case C</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CAPEX,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3.3-4.2</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3.8-5.3</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4.8-6.7</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Mature OPEX, SAR m⁻³ treated</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0.50-0.70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0.75-1.05</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1.30-1.90</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30-y NPC,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4.49-5.87</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5.59-7.81</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7.90-11.23</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Midpoint NPC, M SAR</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5.18</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6.70</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9.57</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Delivered-water LC, SAR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2.06-2.69</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2.56-3.57</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3.61-5.14</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Midpoint delivered LC, SAR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2.37</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3.06</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4.38</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10% CAPEX renewal reserve at year 15, SAR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0.07</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0.09</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0.11</w:t>
            </w:r>
          </w:p>
        </w:tc>
      </w:tr>
      <w:tr>
        <w:trPr>
          <w:cantSplit/>
        </w:trPr>
        <w:tc>
          <w:tcPr>
            <w:tcW w:type="dxa" w:w="2464"/>
            <w:vAlign w:val="center"/>
            <w:tcMar>
              <w:top w:w="70" w:type="dxa"/>
              <w:start w:w="70" w:type="dxa"/>
              <w:bottom w:w="70" w:type="dxa"/>
              <w:end w:w="70" w:type="dxa"/>
            </w:tcMar>
          </w:tcPr>
          <w:p>
            <w:pPr>
              <w:spacing w:after="0"/>
            </w:pPr>
            <w:r/>
            <w:r>
              <w:rPr>
                <w:rFonts w:ascii="Times New Roman" w:hAnsi="Times New Roman"/>
                <w:b w:val="0"/>
                <w:sz w:val="16"/>
              </w:rPr>
              <w:t>Midpoint LC incl. reserve sensitivity, SAR m⁻³</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2.44</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3.15</w:t>
            </w:r>
          </w:p>
        </w:tc>
        <w:tc>
          <w:tcPr>
            <w:tcW w:type="dxa" w:w="2464"/>
            <w:vAlign w:val="center"/>
            <w:tcMar>
              <w:top w:w="70" w:type="dxa"/>
              <w:start w:w="70" w:type="dxa"/>
              <w:bottom w:w="70" w:type="dxa"/>
              <w:end w:w="70" w:type="dxa"/>
            </w:tcMar>
          </w:tcPr>
          <w:p>
            <w:pPr>
              <w:spacing w:after="0"/>
            </w:pPr>
            <w:r/>
            <w:r>
              <w:rPr>
                <w:rFonts w:ascii="Times New Roman" w:hAnsi="Times New Roman"/>
                <w:b w:val="0"/>
                <w:sz w:val="16"/>
              </w:rPr>
              <w:t>4.49</w:t>
            </w:r>
          </w:p>
        </w:tc>
      </w:tr>
    </w:tbl>
    <w:p>
      <w:pPr>
        <w:spacing w:after="0"/>
      </w:pPr>
    </w:p>
    <w:p>
      <w:pPr>
        <w:spacing w:after="80" w:line="252" w:lineRule="auto"/>
      </w:pPr>
      <w:r>
        <w:rPr>
          <w:rFonts w:ascii="Times New Roman" w:hAnsi="Times New Roman"/>
          <w:b w:val="0"/>
          <w:sz w:val="20"/>
        </w:rPr>
        <w:t>The base NPC model includes CAPEX plus annual OPEX and does not include a discrete major-equipment replacement event because supplier-specific service lives were not available. The 10% CAPEX year-15 reserve shown above is therefore presented as a renewal sensitivity, not as a prediction of replacement requirements.</w:t>
      </w:r>
    </w:p>
    <w:p>
      <w:pPr>
        <w:spacing w:after="80" w:line="252" w:lineRule="auto"/>
      </w:pPr>
      <w:r>
        <w:rPr>
          <w:rFonts w:ascii="Times New Roman" w:hAnsi="Times New Roman"/>
          <w:b w:val="0"/>
          <w:sz w:val="20"/>
        </w:rPr>
        <w:t>Economic preference is evaluated using the same incremental boundary: GO when LC_PWH &lt; LC_conventional,incremental. The site-specific break-even last-mile cost is C_last-mile,BE = LC_PWH − C_central,incremental polishing. No universal pipeline-distance threshold is assigned.</w:t>
      </w:r>
    </w:p>
    <w:p>
      <w:pPr>
        <w:pStyle w:val="Heading1"/>
        <w:spacing w:before="140" w:after="60"/>
      </w:pPr>
      <w:r>
        <w:rPr>
          <w:rFonts w:ascii="Times New Roman" w:hAnsi="Times New Roman"/>
          <w:b/>
          <w:sz w:val="24"/>
        </w:rPr>
        <w:t>S8. Case B sensitivity</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rPr>
          <w:tblHeader w:val="true"/>
          <w:cantSplit/>
        </w:trPr>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Variable</w:t>
            </w:r>
          </w:p>
        </w:tc>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Low</w:t>
            </w:r>
          </w:p>
        </w:tc>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Base</w:t>
            </w:r>
          </w:p>
        </w:tc>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High</w:t>
            </w:r>
          </w:p>
        </w:tc>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Delivered LC at low</w:t>
            </w:r>
          </w:p>
        </w:tc>
        <w:tc>
          <w:tcPr>
            <w:tcW w:type="dxa" w:w="1643"/>
            <w:vAlign w:val="center"/>
            <w:shd w:fill="D9EAF7"/>
            <w:tcMar>
              <w:top w:w="70" w:type="dxa"/>
              <w:start w:w="70" w:type="dxa"/>
              <w:bottom w:w="70" w:type="dxa"/>
              <w:end w:w="70" w:type="dxa"/>
            </w:tcMar>
          </w:tcPr>
          <w:p>
            <w:pPr>
              <w:spacing w:after="0"/>
            </w:pPr>
            <w:r/>
            <w:r>
              <w:rPr>
                <w:rFonts w:ascii="Times New Roman" w:hAnsi="Times New Roman"/>
                <w:b/>
                <w:sz w:val="16"/>
              </w:rPr>
              <w:t>Delivered LC at high</w:t>
            </w:r>
          </w:p>
        </w:tc>
      </w:tr>
      <w:tr>
        <w:trPr>
          <w:cantSplit/>
        </w:trPr>
        <w:tc>
          <w:tcPr>
            <w:tcW w:type="dxa" w:w="1643"/>
            <w:vAlign w:val="center"/>
            <w:tcMar>
              <w:top w:w="70" w:type="dxa"/>
              <w:start w:w="70" w:type="dxa"/>
              <w:bottom w:w="70" w:type="dxa"/>
              <w:end w:w="70" w:type="dxa"/>
            </w:tcMar>
          </w:tcPr>
          <w:p>
            <w:pPr>
              <w:spacing w:after="0"/>
            </w:pPr>
            <w:r/>
            <w:r>
              <w:rPr>
                <w:rFonts w:ascii="Times New Roman" w:hAnsi="Times New Roman"/>
                <w:b w:val="0"/>
                <w:sz w:val="16"/>
              </w:rPr>
              <w:t>ET, mm d⁻¹</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5</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15</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2.93</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3.21</w:t>
            </w:r>
          </w:p>
        </w:tc>
      </w:tr>
      <w:tr>
        <w:trPr>
          <w:cantSplit/>
        </w:trPr>
        <w:tc>
          <w:tcPr>
            <w:tcW w:type="dxa" w:w="1643"/>
            <w:vAlign w:val="center"/>
            <w:tcMar>
              <w:top w:w="70" w:type="dxa"/>
              <w:start w:w="70" w:type="dxa"/>
              <w:bottom w:w="70" w:type="dxa"/>
              <w:end w:w="70" w:type="dxa"/>
            </w:tcMar>
          </w:tcPr>
          <w:p>
            <w:pPr>
              <w:spacing w:after="0"/>
            </w:pPr>
            <w:r/>
            <w:r>
              <w:rPr>
                <w:rFonts w:ascii="Times New Roman" w:hAnsi="Times New Roman"/>
                <w:b w:val="0"/>
                <w:sz w:val="16"/>
              </w:rPr>
              <w:t>CAPEX multiplier</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0.70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1.00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1.30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2.44</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3.69</w:t>
            </w:r>
          </w:p>
        </w:tc>
      </w:tr>
      <w:tr>
        <w:trPr>
          <w:cantSplit/>
        </w:trPr>
        <w:tc>
          <w:tcPr>
            <w:tcW w:type="dxa" w:w="1643"/>
            <w:vAlign w:val="center"/>
            <w:tcMar>
              <w:top w:w="70" w:type="dxa"/>
              <w:start w:w="70" w:type="dxa"/>
              <w:bottom w:w="70" w:type="dxa"/>
              <w:end w:w="70" w:type="dxa"/>
            </w:tcMar>
          </w:tcPr>
          <w:p>
            <w:pPr>
              <w:spacing w:after="0"/>
            </w:pPr>
            <w:r/>
            <w:r>
              <w:rPr>
                <w:rFonts w:ascii="Times New Roman" w:hAnsi="Times New Roman"/>
                <w:b w:val="0"/>
                <w:sz w:val="16"/>
              </w:rPr>
              <w:t>OPEX multiplier</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0.70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1.00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1.30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2.77</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3.36</w:t>
            </w:r>
          </w:p>
        </w:tc>
      </w:tr>
      <w:tr>
        <w:trPr>
          <w:cantSplit/>
        </w:trPr>
        <w:tc>
          <w:tcPr>
            <w:tcW w:type="dxa" w:w="1643"/>
            <w:vAlign w:val="center"/>
            <w:tcMar>
              <w:top w:w="70" w:type="dxa"/>
              <w:start w:w="70" w:type="dxa"/>
              <w:bottom w:w="70" w:type="dxa"/>
              <w:end w:w="70" w:type="dxa"/>
            </w:tcMar>
          </w:tcPr>
          <w:p>
            <w:pPr>
              <w:spacing w:after="0"/>
            </w:pPr>
            <w:r/>
            <w:r>
              <w:rPr>
                <w:rFonts w:ascii="Times New Roman" w:hAnsi="Times New Roman"/>
                <w:b w:val="0"/>
                <w:sz w:val="16"/>
              </w:rPr>
              <w:t>Discount rate</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6%</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9%</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2.44</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3.77</w:t>
            </w:r>
          </w:p>
        </w:tc>
      </w:tr>
      <w:tr>
        <w:trPr>
          <w:cantSplit/>
        </w:trPr>
        <w:tc>
          <w:tcPr>
            <w:tcW w:type="dxa" w:w="1643"/>
            <w:vAlign w:val="center"/>
            <w:tcMar>
              <w:top w:w="70" w:type="dxa"/>
              <w:start w:w="70" w:type="dxa"/>
              <w:bottom w:w="70" w:type="dxa"/>
              <w:end w:w="70" w:type="dxa"/>
            </w:tcMar>
          </w:tcPr>
          <w:p>
            <w:pPr>
              <w:spacing w:after="0"/>
            </w:pPr>
            <w:r/>
            <w:r>
              <w:rPr>
                <w:rFonts w:ascii="Times New Roman" w:hAnsi="Times New Roman"/>
                <w:b w:val="0"/>
                <w:sz w:val="16"/>
              </w:rPr>
              <w:t>Project life, y</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40</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3.48</w:t>
            </w:r>
          </w:p>
        </w:tc>
        <w:tc>
          <w:tcPr>
            <w:tcW w:type="dxa" w:w="1643"/>
            <w:vAlign w:val="center"/>
            <w:tcMar>
              <w:top w:w="70" w:type="dxa"/>
              <w:start w:w="70" w:type="dxa"/>
              <w:bottom w:w="70" w:type="dxa"/>
              <w:end w:w="70" w:type="dxa"/>
            </w:tcMar>
          </w:tcPr>
          <w:p>
            <w:pPr>
              <w:spacing w:after="0"/>
            </w:pPr>
            <w:r/>
            <w:r>
              <w:rPr>
                <w:rFonts w:ascii="Times New Roman" w:hAnsi="Times New Roman"/>
                <w:b w:val="0"/>
                <w:sz w:val="16"/>
              </w:rPr>
              <w:t>2.89</w:t>
            </w:r>
          </w:p>
        </w:tc>
      </w:tr>
    </w:tbl>
    <w:p>
      <w:pPr>
        <w:spacing w:after="0"/>
      </w:pPr>
    </w:p>
    <w:p>
      <w:pPr>
        <w:spacing w:after="80" w:line="252" w:lineRule="auto"/>
      </w:pPr>
      <w:r>
        <w:rPr>
          <w:rFonts w:ascii="Times New Roman" w:hAnsi="Times New Roman"/>
          <w:b w:val="0"/>
          <w:sz w:val="20"/>
        </w:rPr>
        <w:t>Sensitivity values are in SAR m⁻³ delivered for the Case B midpoint. Source-water class is treated as a separate scenario dimension rather than as a one-factor sensitivity because it changes process architecture as well as cost.</w:t>
      </w:r>
    </w:p>
    <w:p>
      <w:pPr>
        <w:pStyle w:val="Heading1"/>
        <w:spacing w:before="140" w:after="60"/>
      </w:pPr>
      <w:r>
        <w:rPr>
          <w:rFonts w:ascii="Times New Roman" w:hAnsi="Times New Roman"/>
          <w:b/>
          <w:sz w:val="24"/>
        </w:rPr>
        <w:t>S9. Recommended pilot monitoring</w:t>
      </w:r>
    </w:p>
    <w:p>
      <w:pPr>
        <w:spacing w:after="80" w:line="252" w:lineRule="auto"/>
      </w:pPr>
      <w:r>
        <w:rPr>
          <w:rFonts w:ascii="Times New Roman" w:hAnsi="Times New Roman"/>
          <w:b w:val="0"/>
          <w:sz w:val="20"/>
        </w:rPr>
        <w:t>A future Riyadh pilot should operate for at least one complete annual climatic cycle. Minimum monitoring should include influent and effluent flow, temperature, EC, TDS, pH, dissolved oxygen, turbidity, BOD₅, COD, TSS, ammonia-N, nitrate-N, total nitrogen, phosphorus, microbiological indicators, evapotranspiration/water balance, energy consumption, infiltration capacity, maintenance interventions, chemical consumption, media condition, vegetation performance, odor and mosquito risk. Hydraulic infiltration decline should be treated as a key long-term performance indicator, not only effluent quality.</w:t>
      </w:r>
    </w:p>
    <w:p>
      <w:pPr>
        <w:pStyle w:val="Heading1"/>
        <w:spacing w:before="140" w:after="60"/>
      </w:pPr>
      <w:r>
        <w:rPr>
          <w:rFonts w:ascii="Times New Roman" w:hAnsi="Times New Roman"/>
          <w:b/>
          <w:sz w:val="24"/>
        </w:rPr>
        <w:t>S10. Reproducibility resource</w:t>
      </w:r>
    </w:p>
    <w:p>
      <w:pPr>
        <w:spacing w:after="80" w:line="252" w:lineRule="auto"/>
      </w:pPr>
      <w:r>
        <w:rPr>
          <w:rFonts w:ascii="Times New Roman" w:hAnsi="Times New Roman"/>
          <w:b w:val="0"/>
          <w:sz w:val="20"/>
        </w:rPr>
        <w:t>The accompanying file Discover_Water_VFCW_Calculation_Workbook.xlsx contains formula-driven versions of the principal inputs, source-water cases, water and pollutant mass balances, aerobic-capacity check, life-cycle-cost model, sensitivity calculations and conceptual BOQ. It is intended to allow reviewers to reproduce the reported screening results and to substitute site-specific inputs when available.</w:t>
      </w:r>
    </w:p>
    <w:sectPr w:rsidR="00FC693F" w:rsidRPr="0006063C" w:rsidSect="00034616">
      <w:footerReference w:type="default" r:id="rId9"/>
      <w:pgSz w:w="12240" w:h="15840"/>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