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8AA1B" w14:textId="77777777" w:rsidR="00B0388E" w:rsidRPr="005F5FD0" w:rsidRDefault="00B0388E" w:rsidP="00B0388E">
      <w:pPr>
        <w:pStyle w:val="TSP21heading1"/>
        <w:spacing w:before="0" w:line="240" w:lineRule="auto"/>
        <w:rPr>
          <w:bCs/>
        </w:rPr>
      </w:pPr>
      <w:r>
        <w:rPr>
          <w:rFonts w:eastAsia="Minion Pro" w:cs="Minion Pro"/>
        </w:rPr>
        <w:t>Appendix A</w:t>
      </w:r>
    </w:p>
    <w:p w14:paraId="54E2ACAB" w14:textId="77777777" w:rsidR="00B0388E" w:rsidRDefault="00B0388E" w:rsidP="00B0388E">
      <w:pPr>
        <w:pStyle w:val="TSP31text"/>
        <w:spacing w:line="240" w:lineRule="auto"/>
      </w:pPr>
      <w:r>
        <w:t>Appendix A reports every CES-D8 pathway estimate from the full candidate set that is not presented in Table 5. Each mediator was estimated separately using the same individual fixed-effects structure and the 5,000-person clustered bootstrap replications used in the main pathway analysis.</w:t>
      </w:r>
    </w:p>
    <w:p w14:paraId="1706F477" w14:textId="77777777" w:rsidR="00B0388E" w:rsidRPr="00E20979" w:rsidRDefault="00B0388E" w:rsidP="00B0388E">
      <w:pPr>
        <w:pStyle w:val="TSP31text"/>
        <w:spacing w:line="240" w:lineRule="auto"/>
        <w:ind w:firstLine="0"/>
        <w:jc w:val="center"/>
        <w:rPr>
          <w:sz w:val="20"/>
          <w:szCs w:val="20"/>
        </w:rPr>
      </w:pPr>
      <w:r>
        <w:rPr>
          <w:b/>
        </w:rPr>
        <w:t>Table A1:</w:t>
      </w:r>
      <w:r>
        <w:t xml:space="preserve"> Complete additional individual fixed effects pathway estimates for CES-D8</w:t>
      </w:r>
    </w:p>
    <w:tbl>
      <w:tblPr>
        <w:tblW w:w="5000" w:type="pct"/>
        <w:jc w:val="center"/>
        <w:tblBorders>
          <w:top w:val="single" w:sz="8" w:space="0" w:color="404040"/>
          <w:left w:val="nil"/>
          <w:bottom w:val="single" w:sz="8" w:space="0" w:color="404040"/>
          <w:right w:val="nil"/>
          <w:insideH w:val="nil"/>
          <w:insideV w:val="nil"/>
        </w:tblBorders>
        <w:tblLayout w:type="fixed"/>
        <w:tblCellMar>
          <w:top w:w="10" w:type="dxa"/>
          <w:left w:w="20" w:type="dxa"/>
          <w:bottom w:w="10" w:type="dxa"/>
          <w:right w:w="20" w:type="dxa"/>
        </w:tblCellMar>
        <w:tblLook w:val="04A0" w:firstRow="1" w:lastRow="0" w:firstColumn="1" w:lastColumn="0" w:noHBand="0" w:noVBand="1"/>
      </w:tblPr>
      <w:tblGrid>
        <w:gridCol w:w="2085"/>
        <w:gridCol w:w="1058"/>
        <w:gridCol w:w="1255"/>
        <w:gridCol w:w="960"/>
        <w:gridCol w:w="1706"/>
        <w:gridCol w:w="1044"/>
        <w:gridCol w:w="918"/>
      </w:tblGrid>
      <w:tr w:rsidR="00B0388E" w:rsidRPr="006F68D5" w14:paraId="129E3187" w14:textId="77777777" w:rsidTr="00AF5AA4">
        <w:trPr>
          <w:cantSplit/>
          <w:tblHeader/>
          <w:jc w:val="center"/>
        </w:trPr>
        <w:tc>
          <w:tcPr>
            <w:tcW w:w="2164" w:type="dxa"/>
            <w:tcBorders>
              <w:top w:val="single" w:sz="10" w:space="0" w:color="3F3F3F"/>
              <w:left w:val="nil"/>
              <w:bottom w:val="single" w:sz="6" w:space="0" w:color="707070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DD32A1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rPr>
                <w:b/>
              </w:rPr>
              <w:t>Mediator</w:t>
            </w:r>
          </w:p>
        </w:tc>
        <w:tc>
          <w:tcPr>
            <w:tcW w:w="1097" w:type="dxa"/>
            <w:tcBorders>
              <w:top w:val="single" w:sz="10" w:space="0" w:color="3F3F3F"/>
              <w:left w:val="nil"/>
              <w:bottom w:val="single" w:sz="6" w:space="0" w:color="707070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0EC0336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rPr>
                <w:b/>
              </w:rPr>
              <w:t>a (p)</w:t>
            </w:r>
          </w:p>
        </w:tc>
        <w:tc>
          <w:tcPr>
            <w:tcW w:w="1301" w:type="dxa"/>
            <w:tcBorders>
              <w:top w:val="single" w:sz="10" w:space="0" w:color="3F3F3F"/>
              <w:left w:val="nil"/>
              <w:bottom w:val="single" w:sz="6" w:space="0" w:color="707070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943F55A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rPr>
                <w:b/>
              </w:rPr>
              <w:t>b (p)</w:t>
            </w:r>
          </w:p>
        </w:tc>
        <w:tc>
          <w:tcPr>
            <w:tcW w:w="995" w:type="dxa"/>
            <w:tcBorders>
              <w:top w:val="single" w:sz="10" w:space="0" w:color="3F3F3F"/>
              <w:left w:val="nil"/>
              <w:bottom w:val="single" w:sz="6" w:space="0" w:color="707070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F284E9D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rPr>
                <w:b/>
              </w:rPr>
              <w:t>a*b</w:t>
            </w:r>
          </w:p>
        </w:tc>
        <w:tc>
          <w:tcPr>
            <w:tcW w:w="1770" w:type="dxa"/>
            <w:tcBorders>
              <w:top w:val="single" w:sz="10" w:space="0" w:color="3F3F3F"/>
              <w:left w:val="nil"/>
              <w:bottom w:val="single" w:sz="6" w:space="0" w:color="707070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5CE3D5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rPr>
                <w:b/>
              </w:rPr>
              <w:t>Bootstrap 95% CI</w:t>
            </w:r>
          </w:p>
        </w:tc>
        <w:tc>
          <w:tcPr>
            <w:tcW w:w="1082" w:type="dxa"/>
            <w:tcBorders>
              <w:top w:val="single" w:sz="10" w:space="0" w:color="3F3F3F"/>
              <w:left w:val="nil"/>
              <w:bottom w:val="single" w:sz="6" w:space="0" w:color="707070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9D3387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rPr>
                <w:b/>
              </w:rPr>
              <w:t>Bootstrap p</w:t>
            </w:r>
          </w:p>
        </w:tc>
        <w:tc>
          <w:tcPr>
            <w:tcW w:w="951" w:type="dxa"/>
            <w:tcBorders>
              <w:top w:val="single" w:sz="10" w:space="0" w:color="3F3F3F"/>
              <w:left w:val="nil"/>
              <w:bottom w:val="single" w:sz="6" w:space="0" w:color="707070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FCE9104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rPr>
                <w:b/>
              </w:rPr>
              <w:t>N</w:t>
            </w:r>
          </w:p>
        </w:tc>
      </w:tr>
      <w:tr w:rsidR="00B0388E" w14:paraId="4145D118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9DED12C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Academic burden index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0B699D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0.105 (0.248)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DF83B3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0.105 (0.241)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CC57CD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0.011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3510AEB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[−0.0125, 0.0515]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71CC319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0.419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7554DF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966</w:t>
            </w:r>
          </w:p>
        </w:tc>
      </w:tr>
      <w:tr w:rsidR="00B0388E" w14:paraId="0E1AC34A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7356A5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Study pressure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9CFB203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0.139 (0.081)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FECEE29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0.423 (&lt;0.001)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F798943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0.059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493BE8A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[−0.0069, 0.1451]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015687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0.079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613AD4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977</w:t>
            </w:r>
          </w:p>
        </w:tc>
      </w:tr>
      <w:tr w:rsidR="00B0388E" w14:paraId="3C74986C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C2B36B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Study hours per day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F69D8ED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0.456 (0.031)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AB3D9C2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0.049 (0.198)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0B5C343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0.023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810CEBC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[−0.0106, 0.0758]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7D7E3A0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0.203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0446F74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967</w:t>
            </w:r>
          </w:p>
        </w:tc>
      </w:tr>
      <w:tr w:rsidR="00B0388E" w14:paraId="63FB72AD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008348F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Policy targeted training index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D53D2C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0.038 (0.673)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098980D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0.011 (0.897)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90E071D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A339596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[−0.0161, 0.0216]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7FE8238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0.915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9D67961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976</w:t>
            </w:r>
          </w:p>
        </w:tc>
      </w:tr>
      <w:tr w:rsidR="00B0388E" w14:paraId="18625E89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06B3B07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Academic tutoring participation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CC44FC3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0.043 (0.286)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34CBF9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0.126 (0.564)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E81EB17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0.005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924D72D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[−0.0182, 0.0401]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55FC312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0.679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5CB6EB0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976</w:t>
            </w:r>
          </w:p>
        </w:tc>
      </w:tr>
      <w:tr w:rsidR="00B0388E" w14:paraId="7EC98757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0D16658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Academic tutoring hours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C4FF6C4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−0.925 (0.317)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2BA8AE8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0.003 (0.727)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96FA79F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−0.003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B7E413A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[−0.0306, 0.0223]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9905F9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0.826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86C1E6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976</w:t>
            </w:r>
          </w:p>
        </w:tc>
      </w:tr>
      <w:tr w:rsidR="00B0388E" w14:paraId="67E714C6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45A1F4D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Private tutor participation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06F88D7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0.006 (0.427)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E17EF7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−0.476 (0.545)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2D0A1EC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−0.003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8E0AC8F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[−0.0226, 0.0162]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48AAEA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0.828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4D198FE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977</w:t>
            </w:r>
          </w:p>
        </w:tc>
      </w:tr>
      <w:tr w:rsidR="00B0388E" w14:paraId="39ACF41D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714DB3B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Nonacademic organized training index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2B1E1A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−0.327 (&lt;0.001)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F2ECA14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−0.099 (0.323)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0B13B1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0.032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FF5083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[−0.0303, 0.1083]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C05195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0.334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06B079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971</w:t>
            </w:r>
          </w:p>
        </w:tc>
      </w:tr>
      <w:tr w:rsidR="00B0388E" w14:paraId="4D770187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B1DD46D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Talent training participation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6B35EA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−0.045 (0.030)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5FFFD17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−0.182 (0.589)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89D4635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0.008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49B2A7C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[−0.0212, 0.0489]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FB9989C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0.603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E20700A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977</w:t>
            </w:r>
          </w:p>
        </w:tc>
      </w:tr>
      <w:tr w:rsidR="00B0388E" w14:paraId="74CBFB27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9828656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Competition training participation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F687978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−0.038 (&lt;0.001)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608BD78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−0.958 (0.121)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598C5F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0.037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6AE205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[−0.0079, 0.0890]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6D948F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0.129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7E91B5F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971</w:t>
            </w:r>
          </w:p>
        </w:tc>
      </w:tr>
      <w:tr w:rsidR="00B0388E" w14:paraId="3AC1E959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06EF9BC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Competition training hours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C6F70CC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−0.227 (0.003)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A47113B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−0.014 (0.854)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36CFD71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0.003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743BF4D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[−0.0267, 0.0473]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0ED25B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0.785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CA89752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971</w:t>
            </w:r>
          </w:p>
        </w:tc>
      </w:tr>
      <w:tr w:rsidR="00B0388E" w14:paraId="0ECDD119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C21DCE4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Interest or intelligence training participation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A23DD55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−0.001 (0.803)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CEF0329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−2.360 (0.024)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8590A59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0.003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EEB2A0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[−0.0265, 0.0353]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2478A1B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0.736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89E973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977</w:t>
            </w:r>
          </w:p>
        </w:tc>
      </w:tr>
      <w:tr w:rsidR="00B0388E" w14:paraId="65FFCD15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8DB6A47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Interest or intelligence training hours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488D020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−0.036 (0.295)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FA54D83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−0.167 (0.020)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9B9E64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0.006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182948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[−0.0187, 0.0245]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F4AFE2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0.279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F0C4D57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977</w:t>
            </w:r>
          </w:p>
        </w:tc>
      </w:tr>
      <w:tr w:rsidR="00B0388E" w14:paraId="675A7ABB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6B8D9A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Other training participation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2400CC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−0.032 (0.167)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3F6043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0.358 (0.260)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5CAF21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−0.012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EB72EB8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[−0.0464, 0.0120]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884FB7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0.385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C6705E9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977</w:t>
            </w:r>
          </w:p>
        </w:tc>
      </w:tr>
      <w:tr w:rsidR="00B0388E" w14:paraId="5EB2F195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52355E4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Other training hours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7A2CC45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−0.456 (0.190)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B832EA3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−0.005 (0.860)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A0E633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0.002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AC1B34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[−0.0287, 0.0425]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29C6A37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0.860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A38F08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977</w:t>
            </w:r>
          </w:p>
        </w:tc>
      </w:tr>
      <w:tr w:rsidR="00B0388E" w14:paraId="18D8F321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1EACC81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Restorative activity index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7B42F80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0.367 (&lt;0.001)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68F3C02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0.057 (0.542)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FFDF1F7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0.021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C387761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[−0.0478, 0.0968]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D48BE98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0.553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AC4BECF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985</w:t>
            </w:r>
          </w:p>
        </w:tc>
      </w:tr>
      <w:tr w:rsidR="00B0388E" w14:paraId="1575AEB5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F3EA11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Weekly exercise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967670B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0.126 (0.002)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E8D4CE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0.125 (0.528)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538CB70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0.016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EE1510C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[−0.0334, 0.0750]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EEE62A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0.513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C00CAED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1,005</w:t>
            </w:r>
          </w:p>
        </w:tc>
      </w:tr>
      <w:tr w:rsidR="00B0388E" w14:paraId="3B46339A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BC099A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Exercise session duration (minutes)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C94D75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0.976 (0.788)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BAD6CA7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0.004 (0.148)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72E12EC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0.004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988975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[−0.0312, 0.0413]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FDDF6F1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0.822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157402F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969</w:t>
            </w:r>
          </w:p>
        </w:tc>
      </w:tr>
      <w:tr w:rsidR="00B0388E" w14:paraId="01D708E4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F365D69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Late bedtime hour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AA3D0B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0.037 (0.663)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4F495CE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0.114 (0.160)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623CC43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0.004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600AAB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[−0.0180, 0.0349]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862448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0.697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E2A8FAF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1,005</w:t>
            </w:r>
          </w:p>
        </w:tc>
      </w:tr>
      <w:tr w:rsidR="00B0388E" w14:paraId="67B1EC79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7CBDEA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Reading participation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98E7E7F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0.049 (0.101)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A97995E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0.654 (0.020)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E36CB5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0.032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3CE597C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[−0.0062, 0.0914]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4BBC18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0.112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A7BBA97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1,005</w:t>
            </w:r>
          </w:p>
        </w:tc>
      </w:tr>
      <w:tr w:rsidR="00B0388E" w14:paraId="78D4A20A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FC9D1F3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Books read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C8811A5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−1.968 (0.275)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B19D3E3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0.005 (0.035)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8E2897F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−0.009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C1CBC4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[−0.0292, 0.0071]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6B2F6FF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0.307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ABA517B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991</w:t>
            </w:r>
          </w:p>
        </w:tc>
      </w:tr>
      <w:tr w:rsidR="00B0388E" w14:paraId="63F2D4AA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05948FB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Family dinners (days/week)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C5175A9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0.438 (0.042)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C1BC23D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−0.039 (0.347)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FF782EF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−0.017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6716DD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[−0.0670, 0.0192]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E508DB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0.353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919AF7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986</w:t>
            </w:r>
          </w:p>
        </w:tc>
      </w:tr>
      <w:tr w:rsidR="00B0388E" w14:paraId="41B7CC67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5D55CEA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Digital activity index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55A7113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0.028 (0.734)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9B0A751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−0.196 (0.061)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90F97DC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−0.005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64186B4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[−0.0471, 0.0309]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AD94836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0.734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CB40886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997</w:t>
            </w:r>
          </w:p>
        </w:tc>
      </w:tr>
      <w:tr w:rsidR="00B0388E" w14:paraId="35E8B770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3296F73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lastRenderedPageBreak/>
              <w:t>Daily online learning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7A55510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−0.025 (0.400)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CBD08D4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−0.294 (0.319)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B086177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0.007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B8FF1C4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[−0.0166, 0.0449]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C3AB661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0.608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373A0B2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1,005</w:t>
            </w:r>
          </w:p>
        </w:tc>
      </w:tr>
      <w:tr w:rsidR="00B0388E" w14:paraId="70C3DEC8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BD21762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Gaming intensity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D7E053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0.081 (0.119)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C57BD6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−0.208 (0.221)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42C969C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−0.017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D9ABEA7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[−0.0661, 0.0111]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49100A8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0.312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9D30DC4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1,005</w:t>
            </w:r>
          </w:p>
        </w:tc>
      </w:tr>
      <w:tr w:rsidR="00B0388E" w14:paraId="2E245375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546A2E8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Daily short video use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E468B0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0.032 (0.385)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290E993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−0.190 (0.413)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C5D8ABD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−0.006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BA0426F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[−0.0394, 0.0159]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218AFE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0.664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7DE16FA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1,005</w:t>
            </w:r>
          </w:p>
        </w:tc>
      </w:tr>
      <w:tr w:rsidR="00B0388E" w14:paraId="7C3947C4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A272CA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Internet use (h/day)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D1A8D91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0.105 (0.671)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B5D9E1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−0.070 (0.065)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1745D4A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−0.007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82B9D7A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[−0.0545, 0.0303]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C4510A2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0.704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9C035A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997</w:t>
            </w:r>
          </w:p>
        </w:tc>
      </w:tr>
      <w:tr w:rsidR="00B0388E" w:rsidRPr="006F68D5" w14:paraId="41CC6D44" w14:textId="77777777" w:rsidTr="00AF5AA4">
        <w:trPr>
          <w:cantSplit/>
          <w:jc w:val="center"/>
        </w:trPr>
        <w:tc>
          <w:tcPr>
            <w:tcW w:w="2164" w:type="dxa"/>
            <w:tcBorders>
              <w:top w:val="nil"/>
              <w:left w:val="nil"/>
              <w:bottom w:val="single" w:sz="10" w:space="0" w:color="485158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C8333A0" w14:textId="77777777" w:rsidR="00B0388E" w:rsidRPr="00AE2FDA" w:rsidRDefault="00B0388E" w:rsidP="00AF5AA4">
            <w:pPr>
              <w:pStyle w:val="TSP42tablebody"/>
              <w:spacing w:line="240" w:lineRule="auto"/>
              <w:jc w:val="left"/>
            </w:pPr>
            <w:r w:rsidRPr="00AE2FDA">
              <w:t>Video viewing (h/week)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10" w:space="0" w:color="485158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0604517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−0.333 (0.610)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10" w:space="0" w:color="485158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8472D2A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−0.011 (0.383)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10" w:space="0" w:color="485158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9C8BBC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0.004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10" w:space="0" w:color="485158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9A97F38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[−0.0189, 0.0308]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10" w:space="0" w:color="485158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824B9B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0.784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10" w:space="0" w:color="485158"/>
              <w:right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F9B3EFE" w14:textId="77777777" w:rsidR="00B0388E" w:rsidRPr="00AE2FDA" w:rsidRDefault="00B0388E" w:rsidP="00AF5AA4">
            <w:pPr>
              <w:pStyle w:val="TSP42tablebody"/>
              <w:spacing w:line="240" w:lineRule="auto"/>
            </w:pPr>
            <w:r w:rsidRPr="00AE2FDA">
              <w:t>1,000</w:t>
            </w:r>
          </w:p>
        </w:tc>
      </w:tr>
    </w:tbl>
    <w:p w14:paraId="2957B238" w14:textId="5A889F1F" w:rsidR="00E023F9" w:rsidRDefault="00B0388E">
      <w:r>
        <w:br w:type="page"/>
      </w:r>
    </w:p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88E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9E10FF"/>
    <w:rsid w:val="00B0388E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FCA76"/>
  <w15:chartTrackingRefBased/>
  <w15:docId w15:val="{ED701D45-32BE-41AC-AA99-719D90D8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88E"/>
    <w:pPr>
      <w:spacing w:after="0" w:line="260" w:lineRule="atLeast"/>
      <w:jc w:val="both"/>
    </w:pPr>
    <w:rPr>
      <w:rFonts w:ascii="Palatino Linotype" w:eastAsiaTheme="minorEastAsia" w:hAnsi="Palatino Linotype" w:cs="Times New Roman"/>
      <w:color w:val="000000"/>
      <w:sz w:val="20"/>
      <w:szCs w:val="20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388E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88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88E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88E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88E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88E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88E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88E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88E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8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8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8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8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8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88E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03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88E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03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88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B03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88E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4"/>
      <w:szCs w:val="24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B038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8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88E"/>
    <w:rPr>
      <w:b/>
      <w:bCs/>
      <w:smallCaps/>
      <w:color w:val="0F4761" w:themeColor="accent1" w:themeShade="BF"/>
      <w:spacing w:val="5"/>
    </w:rPr>
  </w:style>
  <w:style w:type="paragraph" w:customStyle="1" w:styleId="TSP21heading1">
    <w:name w:val="TSP_2.1_heading1"/>
    <w:qFormat/>
    <w:rsid w:val="00B0388E"/>
    <w:pPr>
      <w:adjustRightInd w:val="0"/>
      <w:snapToGrid w:val="0"/>
      <w:spacing w:before="240" w:after="60" w:line="240" w:lineRule="atLeast"/>
      <w:outlineLvl w:val="0"/>
    </w:pPr>
    <w:rPr>
      <w:rFonts w:ascii="Minion Pro" w:eastAsia="Times New Roman" w:hAnsi="Minion Pro" w:cs="Times New Roman"/>
      <w:b/>
      <w:snapToGrid w:val="0"/>
      <w:color w:val="000000"/>
      <w:kern w:val="0"/>
      <w:sz w:val="22"/>
      <w:szCs w:val="22"/>
      <w:lang w:val="en-US" w:eastAsia="de-DE" w:bidi="en-US"/>
      <w14:ligatures w14:val="none"/>
    </w:rPr>
  </w:style>
  <w:style w:type="paragraph" w:customStyle="1" w:styleId="TSP31text">
    <w:name w:val="TSP_3.1_text"/>
    <w:qFormat/>
    <w:rsid w:val="00B0388E"/>
    <w:pPr>
      <w:adjustRightInd w:val="0"/>
      <w:snapToGrid w:val="0"/>
      <w:spacing w:after="60" w:line="240" w:lineRule="atLeast"/>
      <w:ind w:firstLine="425"/>
      <w:jc w:val="both"/>
    </w:pPr>
    <w:rPr>
      <w:rFonts w:ascii="Minion Pro" w:eastAsia="Times New Roman" w:hAnsi="Minion Pro" w:cs="Times New Roman"/>
      <w:snapToGrid w:val="0"/>
      <w:color w:val="000000"/>
      <w:kern w:val="0"/>
      <w:sz w:val="22"/>
      <w:szCs w:val="22"/>
      <w:lang w:val="en-US" w:eastAsia="de-DE" w:bidi="en-US"/>
      <w14:ligatures w14:val="none"/>
    </w:rPr>
  </w:style>
  <w:style w:type="paragraph" w:customStyle="1" w:styleId="TSP42tablebody">
    <w:name w:val="TSP_4.2_table_body"/>
    <w:qFormat/>
    <w:rsid w:val="00B0388E"/>
    <w:pPr>
      <w:adjustRightInd w:val="0"/>
      <w:snapToGrid w:val="0"/>
      <w:spacing w:after="0" w:line="240" w:lineRule="atLeast"/>
      <w:jc w:val="center"/>
    </w:pPr>
    <w:rPr>
      <w:rFonts w:ascii="Minion Pro" w:eastAsia="Times New Roman" w:hAnsi="Minion Pro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2026-09-29T07:31:00Z</dcterms:created>
  <dcterms:modified xsi:type="dcterms:W3CDTF">2026-09-29T07:32:00Z</dcterms:modified>
</cp:coreProperties>
</file>