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681"/>
        <w:tblW w:w="0" w:type="auto"/>
        <w:tblLook w:val="04A0" w:firstRow="1" w:lastRow="0" w:firstColumn="1" w:lastColumn="0" w:noHBand="0" w:noVBand="1"/>
      </w:tblPr>
      <w:tblGrid>
        <w:gridCol w:w="2160"/>
        <w:gridCol w:w="1728"/>
        <w:gridCol w:w="3744"/>
        <w:gridCol w:w="6048"/>
      </w:tblGrid>
      <w:tr w:rsidR="00A421A2" w14:paraId="15A72678" w14:textId="77777777" w:rsidTr="00A421A2">
        <w:tc>
          <w:tcPr>
            <w:tcW w:w="2160" w:type="dxa"/>
          </w:tcPr>
          <w:p w14:paraId="5BF2B74D" w14:textId="77777777" w:rsidR="00A421A2" w:rsidRDefault="00A421A2" w:rsidP="00A421A2">
            <w:pPr>
              <w:jc w:val="center"/>
            </w:pPr>
            <w:r>
              <w:rPr>
                <w:rFonts w:ascii="Times New Roman" w:hAnsi="Times New Roman"/>
                <w:b/>
                <w:sz w:val="16"/>
              </w:rPr>
              <w:t>Functional Category</w:t>
            </w:r>
          </w:p>
        </w:tc>
        <w:tc>
          <w:tcPr>
            <w:tcW w:w="1728" w:type="dxa"/>
          </w:tcPr>
          <w:p w14:paraId="096EEC3B" w14:textId="77777777" w:rsidR="00A421A2" w:rsidRDefault="00A421A2" w:rsidP="00A421A2">
            <w:pPr>
              <w:jc w:val="center"/>
            </w:pPr>
            <w:r>
              <w:rPr>
                <w:rFonts w:ascii="Times New Roman" w:hAnsi="Times New Roman"/>
                <w:b/>
                <w:sz w:val="16"/>
              </w:rPr>
              <w:t>Loci Distribution</w:t>
            </w:r>
          </w:p>
        </w:tc>
        <w:tc>
          <w:tcPr>
            <w:tcW w:w="3744" w:type="dxa"/>
          </w:tcPr>
          <w:p w14:paraId="7F694316" w14:textId="77777777" w:rsidR="00A421A2" w:rsidRDefault="00A421A2" w:rsidP="00A421A2">
            <w:pPr>
              <w:jc w:val="center"/>
            </w:pPr>
            <w:r>
              <w:rPr>
                <w:rFonts w:ascii="Times New Roman" w:hAnsi="Times New Roman"/>
                <w:b/>
                <w:sz w:val="16"/>
              </w:rPr>
              <w:t>Key Genes</w:t>
            </w:r>
          </w:p>
        </w:tc>
        <w:tc>
          <w:tcPr>
            <w:tcW w:w="6048" w:type="dxa"/>
          </w:tcPr>
          <w:p w14:paraId="043F90EA" w14:textId="77777777" w:rsidR="00A421A2" w:rsidRDefault="00A421A2" w:rsidP="00A421A2">
            <w:pPr>
              <w:jc w:val="center"/>
            </w:pPr>
            <w:r>
              <w:rPr>
                <w:rFonts w:ascii="Times New Roman" w:hAnsi="Times New Roman"/>
                <w:b/>
                <w:sz w:val="16"/>
              </w:rPr>
              <w:t>Role in Salt Stress</w:t>
            </w:r>
          </w:p>
        </w:tc>
      </w:tr>
      <w:tr w:rsidR="00A421A2" w14:paraId="643BB558" w14:textId="77777777" w:rsidTr="00A421A2">
        <w:tc>
          <w:tcPr>
            <w:tcW w:w="2160" w:type="dxa"/>
          </w:tcPr>
          <w:p w14:paraId="487B8BAE" w14:textId="77777777" w:rsidR="00A421A2" w:rsidRDefault="00A421A2" w:rsidP="00A421A2">
            <w:pPr>
              <w:jc w:val="center"/>
            </w:pPr>
            <w:r>
              <w:rPr>
                <w:rFonts w:ascii="Times New Roman" w:hAnsi="Times New Roman"/>
                <w:sz w:val="16"/>
              </w:rPr>
              <w:t>Transcription Factors and Gene Regulation (14 Genes)</w:t>
            </w:r>
          </w:p>
        </w:tc>
        <w:tc>
          <w:tcPr>
            <w:tcW w:w="1728" w:type="dxa"/>
          </w:tcPr>
          <w:p w14:paraId="46AA73FE" w14:textId="77777777" w:rsidR="00A421A2" w:rsidRDefault="00A421A2" w:rsidP="00A421A2">
            <w:pPr>
              <w:jc w:val="center"/>
            </w:pPr>
            <w:r>
              <w:rPr>
                <w:rFonts w:ascii="Times New Roman" w:hAnsi="Times New Roman"/>
                <w:sz w:val="16"/>
              </w:rPr>
              <w:t>Chromosomes 2, 4, 5, 7, and 8</w:t>
            </w:r>
          </w:p>
        </w:tc>
        <w:tc>
          <w:tcPr>
            <w:tcW w:w="3744" w:type="dxa"/>
          </w:tcPr>
          <w:p w14:paraId="1430B2B0" w14:textId="77777777" w:rsidR="00A421A2" w:rsidRDefault="00A421A2" w:rsidP="00A421A2">
            <w:pPr>
              <w:jc w:val="both"/>
            </w:pPr>
            <w:r w:rsidRPr="004624D3">
              <w:rPr>
                <w:rFonts w:ascii="Times New Roman" w:hAnsi="Times New Roman"/>
                <w:i/>
                <w:iCs/>
                <w:sz w:val="16"/>
              </w:rPr>
              <w:t>OsMADS26</w:t>
            </w:r>
            <w:r>
              <w:rPr>
                <w:rFonts w:ascii="Times New Roman" w:hAnsi="Times New Roman"/>
                <w:sz w:val="16"/>
              </w:rPr>
              <w:t xml:space="preserve"> (chr08), </w:t>
            </w:r>
            <w:r w:rsidRPr="004624D3">
              <w:rPr>
                <w:rFonts w:ascii="Times New Roman" w:hAnsi="Times New Roman"/>
                <w:i/>
                <w:iCs/>
                <w:sz w:val="16"/>
              </w:rPr>
              <w:t>AP2-like PLETHORA 2</w:t>
            </w:r>
            <w:r>
              <w:rPr>
                <w:rFonts w:ascii="Times New Roman" w:hAnsi="Times New Roman"/>
                <w:sz w:val="16"/>
              </w:rPr>
              <w:t xml:space="preserve"> (chr07), </w:t>
            </w:r>
            <w:proofErr w:type="spellStart"/>
            <w:r w:rsidRPr="004624D3">
              <w:rPr>
                <w:rFonts w:ascii="Times New Roman" w:hAnsi="Times New Roman"/>
                <w:i/>
                <w:iCs/>
                <w:sz w:val="16"/>
              </w:rPr>
              <w:t>bZIP</w:t>
            </w:r>
            <w:proofErr w:type="spellEnd"/>
            <w:r>
              <w:rPr>
                <w:rFonts w:ascii="Times New Roman" w:hAnsi="Times New Roman"/>
                <w:sz w:val="16"/>
              </w:rPr>
              <w:t xml:space="preserve"> transcription factor (chr07), </w:t>
            </w:r>
            <w:proofErr w:type="spellStart"/>
            <w:r w:rsidRPr="004624D3">
              <w:rPr>
                <w:rFonts w:ascii="Times New Roman" w:hAnsi="Times New Roman"/>
                <w:i/>
                <w:iCs/>
                <w:sz w:val="16"/>
              </w:rPr>
              <w:t>Myb</w:t>
            </w:r>
            <w:proofErr w:type="spellEnd"/>
            <w:r w:rsidRPr="004624D3">
              <w:rPr>
                <w:rFonts w:ascii="Times New Roman" w:hAnsi="Times New Roman"/>
                <w:i/>
                <w:iCs/>
                <w:sz w:val="16"/>
              </w:rPr>
              <w:t>-like/LMYB</w:t>
            </w:r>
            <w:r>
              <w:rPr>
                <w:rFonts w:ascii="Times New Roman" w:hAnsi="Times New Roman"/>
                <w:sz w:val="16"/>
              </w:rPr>
              <w:t xml:space="preserve"> domain proteins (chr05, chr07), </w:t>
            </w:r>
            <w:r w:rsidRPr="004624D3">
              <w:rPr>
                <w:rFonts w:ascii="Times New Roman" w:hAnsi="Times New Roman"/>
                <w:i/>
                <w:iCs/>
                <w:sz w:val="16"/>
              </w:rPr>
              <w:t>HBP-1b</w:t>
            </w:r>
            <w:r>
              <w:rPr>
                <w:rFonts w:ascii="Times New Roman" w:hAnsi="Times New Roman"/>
                <w:sz w:val="16"/>
              </w:rPr>
              <w:t xml:space="preserve"> (chr05), </w:t>
            </w:r>
            <w:r w:rsidRPr="004624D3">
              <w:rPr>
                <w:rFonts w:ascii="Times New Roman" w:hAnsi="Times New Roman"/>
                <w:i/>
                <w:iCs/>
                <w:sz w:val="16"/>
              </w:rPr>
              <w:t>E2F family</w:t>
            </w:r>
            <w:r>
              <w:rPr>
                <w:rFonts w:ascii="Times New Roman" w:hAnsi="Times New Roman"/>
                <w:sz w:val="16"/>
              </w:rPr>
              <w:t xml:space="preserve"> (chr02), and zinc finger domain proteins (chr08). Transcription factor </w:t>
            </w:r>
            <w:r w:rsidRPr="004624D3">
              <w:rPr>
                <w:rFonts w:ascii="Times New Roman" w:hAnsi="Times New Roman"/>
                <w:i/>
                <w:iCs/>
                <w:sz w:val="16"/>
              </w:rPr>
              <w:t>RF2a</w:t>
            </w:r>
            <w:r>
              <w:rPr>
                <w:rFonts w:ascii="Times New Roman" w:hAnsi="Times New Roman"/>
                <w:sz w:val="16"/>
              </w:rPr>
              <w:t xml:space="preserve"> (chr04) and </w:t>
            </w:r>
            <w:r w:rsidRPr="004624D3">
              <w:rPr>
                <w:rFonts w:ascii="Times New Roman" w:hAnsi="Times New Roman"/>
                <w:i/>
                <w:iCs/>
                <w:sz w:val="16"/>
              </w:rPr>
              <w:t xml:space="preserve">NIN </w:t>
            </w:r>
            <w:r>
              <w:rPr>
                <w:rFonts w:ascii="Times New Roman" w:hAnsi="Times New Roman"/>
                <w:sz w:val="16"/>
              </w:rPr>
              <w:t>(chr04) are also associated.</w:t>
            </w:r>
          </w:p>
        </w:tc>
        <w:tc>
          <w:tcPr>
            <w:tcW w:w="6048" w:type="dxa"/>
          </w:tcPr>
          <w:p w14:paraId="2B43D47E" w14:textId="77777777" w:rsidR="00A421A2" w:rsidRDefault="00A421A2" w:rsidP="00A421A2">
            <w:pPr>
              <w:jc w:val="both"/>
            </w:pPr>
            <w:r>
              <w:rPr>
                <w:rFonts w:ascii="Times New Roman" w:hAnsi="Times New Roman"/>
                <w:sz w:val="16"/>
              </w:rPr>
              <w:t xml:space="preserve">Transcription factors (TFs) act as master molecular switches that regulate downstream stress-responsive genes. Under salinity stress, families such as </w:t>
            </w:r>
            <w:proofErr w:type="spellStart"/>
            <w:r>
              <w:rPr>
                <w:rFonts w:ascii="Times New Roman" w:hAnsi="Times New Roman"/>
                <w:sz w:val="16"/>
              </w:rPr>
              <w:t>bZIP</w:t>
            </w:r>
            <w:proofErr w:type="spellEnd"/>
            <w:r>
              <w:rPr>
                <w:rFonts w:ascii="Times New Roman" w:hAnsi="Times New Roman"/>
                <w:sz w:val="16"/>
              </w:rPr>
              <w:t>, AP2/ERF, and MYB are widely recognized for coordinating both ABA-dependent and ABA-independent signaling pathways, adjusting osmotic balance, and initiating protective morphological changes (</w:t>
            </w:r>
            <w:proofErr w:type="spellStart"/>
            <w:r>
              <w:rPr>
                <w:rFonts w:ascii="Times New Roman" w:hAnsi="Times New Roman"/>
                <w:sz w:val="16"/>
              </w:rPr>
              <w:t>Golldack</w:t>
            </w:r>
            <w:proofErr w:type="spellEnd"/>
            <w:r>
              <w:rPr>
                <w:rFonts w:ascii="Times New Roman" w:hAnsi="Times New Roman"/>
                <w:sz w:val="16"/>
              </w:rPr>
              <w:t xml:space="preserve"> et al., 2011). Notably, MADS-box genes like OsMADS26 play a crucial role in developmental plasticity, helping the plant halt excessive vegetative growth to conserve energy during osmotic shock (Arora et al., 2007).</w:t>
            </w:r>
          </w:p>
        </w:tc>
      </w:tr>
      <w:tr w:rsidR="00A421A2" w14:paraId="645FD751" w14:textId="77777777" w:rsidTr="00A421A2">
        <w:tc>
          <w:tcPr>
            <w:tcW w:w="2160" w:type="dxa"/>
          </w:tcPr>
          <w:p w14:paraId="61A8ED6C" w14:textId="77777777" w:rsidR="00A421A2" w:rsidRDefault="00A421A2" w:rsidP="00A421A2">
            <w:pPr>
              <w:jc w:val="center"/>
            </w:pPr>
            <w:r>
              <w:rPr>
                <w:rFonts w:ascii="Times New Roman" w:hAnsi="Times New Roman"/>
                <w:sz w:val="16"/>
              </w:rPr>
              <w:t>Protein Degradation and Ubiquitination (10 Genes)</w:t>
            </w:r>
          </w:p>
        </w:tc>
        <w:tc>
          <w:tcPr>
            <w:tcW w:w="1728" w:type="dxa"/>
          </w:tcPr>
          <w:p w14:paraId="28A93D20" w14:textId="77777777" w:rsidR="00A421A2" w:rsidRDefault="00A421A2" w:rsidP="00A421A2">
            <w:pPr>
              <w:jc w:val="center"/>
            </w:pPr>
            <w:r>
              <w:rPr>
                <w:rFonts w:ascii="Times New Roman" w:hAnsi="Times New Roman"/>
                <w:sz w:val="16"/>
              </w:rPr>
              <w:t>Chromosomes 1, 2, 5, and 7</w:t>
            </w:r>
          </w:p>
        </w:tc>
        <w:tc>
          <w:tcPr>
            <w:tcW w:w="3744" w:type="dxa"/>
          </w:tcPr>
          <w:p w14:paraId="7F9AB5E2" w14:textId="77777777" w:rsidR="00A421A2" w:rsidRDefault="00A421A2" w:rsidP="00A421A2">
            <w:pPr>
              <w:jc w:val="both"/>
            </w:pPr>
            <w:r>
              <w:rPr>
                <w:rFonts w:ascii="Times New Roman" w:hAnsi="Times New Roman"/>
                <w:sz w:val="16"/>
              </w:rPr>
              <w:t xml:space="preserve">F-box proteins such as OsFBX212, OsFBX213, </w:t>
            </w:r>
            <w:r w:rsidRPr="004624D3">
              <w:rPr>
                <w:rFonts w:ascii="Times New Roman" w:hAnsi="Times New Roman"/>
                <w:i/>
                <w:iCs/>
                <w:sz w:val="16"/>
              </w:rPr>
              <w:t>OsFBLD4</w:t>
            </w:r>
            <w:r>
              <w:rPr>
                <w:rFonts w:ascii="Times New Roman" w:hAnsi="Times New Roman"/>
                <w:sz w:val="16"/>
              </w:rPr>
              <w:t xml:space="preserve">, </w:t>
            </w:r>
            <w:r w:rsidRPr="004624D3">
              <w:rPr>
                <w:rFonts w:ascii="Times New Roman" w:hAnsi="Times New Roman"/>
                <w:i/>
                <w:iCs/>
                <w:sz w:val="16"/>
              </w:rPr>
              <w:t>OsFBL33</w:t>
            </w:r>
            <w:r>
              <w:rPr>
                <w:rFonts w:ascii="Times New Roman" w:hAnsi="Times New Roman"/>
                <w:sz w:val="16"/>
              </w:rPr>
              <w:t xml:space="preserve">, </w:t>
            </w:r>
            <w:r w:rsidRPr="004624D3">
              <w:rPr>
                <w:rFonts w:ascii="Times New Roman" w:hAnsi="Times New Roman"/>
                <w:i/>
                <w:iCs/>
                <w:sz w:val="16"/>
              </w:rPr>
              <w:t>OsFBD13</w:t>
            </w:r>
            <w:r>
              <w:rPr>
                <w:rFonts w:ascii="Times New Roman" w:hAnsi="Times New Roman"/>
                <w:sz w:val="16"/>
              </w:rPr>
              <w:t xml:space="preserve"> (all on chr07), </w:t>
            </w:r>
            <w:r w:rsidRPr="004624D3">
              <w:rPr>
                <w:rFonts w:ascii="Times New Roman" w:hAnsi="Times New Roman"/>
                <w:i/>
                <w:iCs/>
                <w:sz w:val="16"/>
              </w:rPr>
              <w:t>OsFBL9</w:t>
            </w:r>
            <w:r>
              <w:rPr>
                <w:rFonts w:ascii="Times New Roman" w:hAnsi="Times New Roman"/>
                <w:sz w:val="16"/>
              </w:rPr>
              <w:t xml:space="preserve"> (chr02), </w:t>
            </w:r>
            <w:r w:rsidRPr="004624D3">
              <w:rPr>
                <w:rFonts w:ascii="Times New Roman" w:hAnsi="Times New Roman"/>
                <w:i/>
                <w:iCs/>
                <w:sz w:val="16"/>
              </w:rPr>
              <w:t>OsFBT7</w:t>
            </w:r>
            <w:r>
              <w:rPr>
                <w:rFonts w:ascii="Times New Roman" w:hAnsi="Times New Roman"/>
                <w:sz w:val="16"/>
              </w:rPr>
              <w:t xml:space="preserve"> (chr05), alongside an E3 ubiquitin ligase (chr05) and an </w:t>
            </w:r>
            <w:r w:rsidRPr="004624D3">
              <w:rPr>
                <w:rFonts w:ascii="Times New Roman" w:hAnsi="Times New Roman"/>
                <w:i/>
                <w:iCs/>
                <w:sz w:val="16"/>
              </w:rPr>
              <w:t>AMSH-like</w:t>
            </w:r>
            <w:r>
              <w:rPr>
                <w:rFonts w:ascii="Times New Roman" w:hAnsi="Times New Roman"/>
                <w:sz w:val="16"/>
              </w:rPr>
              <w:t xml:space="preserve"> protease (chr01).</w:t>
            </w:r>
          </w:p>
        </w:tc>
        <w:tc>
          <w:tcPr>
            <w:tcW w:w="6048" w:type="dxa"/>
          </w:tcPr>
          <w:p w14:paraId="6D40A752" w14:textId="77777777" w:rsidR="00A421A2" w:rsidRDefault="00A421A2" w:rsidP="00A421A2">
            <w:pPr>
              <w:jc w:val="both"/>
            </w:pPr>
            <w:r>
              <w:rPr>
                <w:rFonts w:ascii="Times New Roman" w:hAnsi="Times New Roman"/>
                <w:sz w:val="16"/>
              </w:rPr>
              <w:t>The accumulation of F-box proteins and ubiquitin ligases indicates a massive reprogramming of the cellular machinery. Under salt stress, toxic ions cause protein misfolding. The ubiquitin-26S proteasome system targets these damaged, oxidized proteins for degradation, preventing cellular toxicity. Furthermore, targeted degradation is used to rapidly turn over negative regulators of stress pathways, allowing the plant to mount an efficient physiological response (Stone, 2014).</w:t>
            </w:r>
          </w:p>
        </w:tc>
      </w:tr>
      <w:tr w:rsidR="00A421A2" w14:paraId="4D31A492" w14:textId="77777777" w:rsidTr="00A421A2">
        <w:tc>
          <w:tcPr>
            <w:tcW w:w="2160" w:type="dxa"/>
          </w:tcPr>
          <w:p w14:paraId="4BD4393C" w14:textId="77777777" w:rsidR="00A421A2" w:rsidRDefault="00A421A2" w:rsidP="00A421A2">
            <w:pPr>
              <w:jc w:val="center"/>
            </w:pPr>
            <w:r>
              <w:rPr>
                <w:rFonts w:ascii="Times New Roman" w:hAnsi="Times New Roman"/>
                <w:sz w:val="16"/>
              </w:rPr>
              <w:t>Signal Transduction and Kinases (8 Genes)</w:t>
            </w:r>
          </w:p>
        </w:tc>
        <w:tc>
          <w:tcPr>
            <w:tcW w:w="1728" w:type="dxa"/>
          </w:tcPr>
          <w:p w14:paraId="27A48179" w14:textId="77777777" w:rsidR="00A421A2" w:rsidRDefault="00A421A2" w:rsidP="00A421A2">
            <w:pPr>
              <w:jc w:val="center"/>
            </w:pPr>
            <w:r>
              <w:rPr>
                <w:rFonts w:ascii="Times New Roman" w:hAnsi="Times New Roman"/>
                <w:sz w:val="16"/>
              </w:rPr>
              <w:t>Chromosomes 5, 7, 8, and 12</w:t>
            </w:r>
          </w:p>
        </w:tc>
        <w:tc>
          <w:tcPr>
            <w:tcW w:w="3744" w:type="dxa"/>
          </w:tcPr>
          <w:p w14:paraId="6D07CE27" w14:textId="77777777" w:rsidR="00A421A2" w:rsidRDefault="00A421A2" w:rsidP="00A421A2">
            <w:pPr>
              <w:jc w:val="both"/>
            </w:pPr>
            <w:r w:rsidRPr="004624D3">
              <w:rPr>
                <w:rFonts w:ascii="Times New Roman" w:hAnsi="Times New Roman"/>
                <w:i/>
                <w:iCs/>
                <w:sz w:val="16"/>
              </w:rPr>
              <w:t>Phospholipase C</w:t>
            </w:r>
            <w:r>
              <w:rPr>
                <w:rFonts w:ascii="Times New Roman" w:hAnsi="Times New Roman"/>
                <w:sz w:val="16"/>
              </w:rPr>
              <w:t xml:space="preserve"> (chr12), </w:t>
            </w:r>
            <w:r w:rsidRPr="004624D3">
              <w:rPr>
                <w:rFonts w:ascii="Times New Roman" w:hAnsi="Times New Roman"/>
                <w:i/>
                <w:iCs/>
                <w:sz w:val="16"/>
              </w:rPr>
              <w:t>DUF26</w:t>
            </w:r>
            <w:r>
              <w:rPr>
                <w:rFonts w:ascii="Times New Roman" w:hAnsi="Times New Roman"/>
                <w:sz w:val="16"/>
              </w:rPr>
              <w:t xml:space="preserve"> kinases (chr05), </w:t>
            </w:r>
            <w:r w:rsidRPr="004624D3">
              <w:rPr>
                <w:rFonts w:ascii="Times New Roman" w:hAnsi="Times New Roman"/>
                <w:i/>
                <w:iCs/>
                <w:sz w:val="16"/>
              </w:rPr>
              <w:t>STE/MAP3K</w:t>
            </w:r>
            <w:r>
              <w:rPr>
                <w:rFonts w:ascii="Times New Roman" w:hAnsi="Times New Roman"/>
                <w:sz w:val="16"/>
              </w:rPr>
              <w:t xml:space="preserve"> kinases (chr07), Ser/</w:t>
            </w:r>
            <w:proofErr w:type="spellStart"/>
            <w:r>
              <w:rPr>
                <w:rFonts w:ascii="Times New Roman" w:hAnsi="Times New Roman"/>
                <w:sz w:val="16"/>
              </w:rPr>
              <w:t>Thr</w:t>
            </w:r>
            <w:proofErr w:type="spellEnd"/>
            <w:r>
              <w:rPr>
                <w:rFonts w:ascii="Times New Roman" w:hAnsi="Times New Roman"/>
                <w:sz w:val="16"/>
              </w:rPr>
              <w:t xml:space="preserve"> protein kinases (chr05, chr08), and an IQ calmodulin-binding protein (chr05).</w:t>
            </w:r>
          </w:p>
        </w:tc>
        <w:tc>
          <w:tcPr>
            <w:tcW w:w="6048" w:type="dxa"/>
          </w:tcPr>
          <w:p w14:paraId="5F7CAE25" w14:textId="77777777" w:rsidR="00A421A2" w:rsidRDefault="00A421A2" w:rsidP="00A421A2">
            <w:pPr>
              <w:jc w:val="both"/>
            </w:pPr>
            <w:r>
              <w:rPr>
                <w:rFonts w:ascii="Times New Roman" w:hAnsi="Times New Roman"/>
                <w:sz w:val="16"/>
              </w:rPr>
              <w:t>Upon exposure to salinity, plants first perceive the stress via osmotic and ionic sensors. Phospholipase C is a crucial lipid signaling enzyme that rapidly responds to osmotic stress by generating secondary messengers (IP3 and DAG) (Zhu, 2016). Subsequently, calcium signatures are decoded by calmodulin-binding proteins, which activate kinase cascades (like the MAP3K network) to transmit the stress signal from the membrane into the nucleus, triggering cellular adaptation (Munns &amp; Tester, 2008).</w:t>
            </w:r>
          </w:p>
        </w:tc>
      </w:tr>
      <w:tr w:rsidR="00A421A2" w14:paraId="26C9FF10" w14:textId="77777777" w:rsidTr="00A421A2">
        <w:tc>
          <w:tcPr>
            <w:tcW w:w="2160" w:type="dxa"/>
          </w:tcPr>
          <w:p w14:paraId="04835ACC" w14:textId="77777777" w:rsidR="00A421A2" w:rsidRDefault="00A421A2" w:rsidP="00A421A2">
            <w:pPr>
              <w:jc w:val="center"/>
            </w:pPr>
            <w:r>
              <w:rPr>
                <w:rFonts w:ascii="Times New Roman" w:hAnsi="Times New Roman"/>
                <w:sz w:val="16"/>
              </w:rPr>
              <w:t>Lipid Metabolism and Cell Wall Remodeling (7 Genes)</w:t>
            </w:r>
          </w:p>
        </w:tc>
        <w:tc>
          <w:tcPr>
            <w:tcW w:w="1728" w:type="dxa"/>
          </w:tcPr>
          <w:p w14:paraId="3E3EEAD9" w14:textId="77777777" w:rsidR="00A421A2" w:rsidRDefault="00A421A2" w:rsidP="00A421A2">
            <w:pPr>
              <w:jc w:val="center"/>
            </w:pPr>
            <w:r>
              <w:rPr>
                <w:rFonts w:ascii="Times New Roman" w:hAnsi="Times New Roman"/>
                <w:sz w:val="16"/>
              </w:rPr>
              <w:t>Chromosomes 1, 4, 5, 7, 8, and 12</w:t>
            </w:r>
          </w:p>
        </w:tc>
        <w:tc>
          <w:tcPr>
            <w:tcW w:w="3744" w:type="dxa"/>
          </w:tcPr>
          <w:p w14:paraId="0EC45D27" w14:textId="77777777" w:rsidR="00A421A2" w:rsidRDefault="00A421A2" w:rsidP="00A421A2">
            <w:pPr>
              <w:jc w:val="both"/>
            </w:pPr>
            <w:r w:rsidRPr="004624D3">
              <w:rPr>
                <w:rFonts w:ascii="Times New Roman" w:hAnsi="Times New Roman"/>
                <w:i/>
                <w:iCs/>
                <w:sz w:val="16"/>
              </w:rPr>
              <w:t>CESA6</w:t>
            </w:r>
            <w:r>
              <w:rPr>
                <w:rFonts w:ascii="Times New Roman" w:hAnsi="Times New Roman"/>
                <w:sz w:val="16"/>
              </w:rPr>
              <w:t xml:space="preserve"> - cellulose synthase (chr07), glycerol-3-</w:t>
            </w:r>
            <w:r w:rsidRPr="004624D3">
              <w:rPr>
                <w:rFonts w:ascii="Times New Roman" w:hAnsi="Times New Roman"/>
                <w:i/>
                <w:iCs/>
                <w:sz w:val="16"/>
              </w:rPr>
              <w:t>phosphate acyltransferase</w:t>
            </w:r>
            <w:r>
              <w:rPr>
                <w:rFonts w:ascii="Times New Roman" w:hAnsi="Times New Roman"/>
                <w:sz w:val="16"/>
              </w:rPr>
              <w:t xml:space="preserve"> (chr05, chr08), </w:t>
            </w:r>
            <w:r w:rsidRPr="004624D3">
              <w:rPr>
                <w:rFonts w:ascii="Times New Roman" w:hAnsi="Times New Roman"/>
                <w:i/>
                <w:iCs/>
                <w:sz w:val="16"/>
              </w:rPr>
              <w:t>GDSL-like lipase</w:t>
            </w:r>
            <w:r>
              <w:rPr>
                <w:rFonts w:ascii="Times New Roman" w:hAnsi="Times New Roman"/>
                <w:sz w:val="16"/>
              </w:rPr>
              <w:t xml:space="preserve"> (chr08), 3-oxoacyl-reductase (chr04), and an invertase/pectin </w:t>
            </w:r>
            <w:proofErr w:type="spellStart"/>
            <w:r>
              <w:rPr>
                <w:rFonts w:ascii="Times New Roman" w:hAnsi="Times New Roman"/>
                <w:sz w:val="16"/>
              </w:rPr>
              <w:t>methylesterase</w:t>
            </w:r>
            <w:proofErr w:type="spellEnd"/>
            <w:r>
              <w:rPr>
                <w:rFonts w:ascii="Times New Roman" w:hAnsi="Times New Roman"/>
                <w:sz w:val="16"/>
              </w:rPr>
              <w:t xml:space="preserve"> inhibitor (chr12). </w:t>
            </w:r>
            <w:r w:rsidRPr="004624D3">
              <w:rPr>
                <w:rFonts w:ascii="Times New Roman" w:hAnsi="Times New Roman"/>
                <w:i/>
                <w:iCs/>
                <w:sz w:val="16"/>
              </w:rPr>
              <w:t>UDP-</w:t>
            </w:r>
            <w:proofErr w:type="spellStart"/>
            <w:r w:rsidRPr="004624D3">
              <w:rPr>
                <w:rFonts w:ascii="Times New Roman" w:hAnsi="Times New Roman"/>
                <w:i/>
                <w:iCs/>
                <w:sz w:val="16"/>
              </w:rPr>
              <w:t>glucoronosyl</w:t>
            </w:r>
            <w:proofErr w:type="spellEnd"/>
            <w:r>
              <w:rPr>
                <w:rFonts w:ascii="Times New Roman" w:hAnsi="Times New Roman"/>
                <w:sz w:val="16"/>
              </w:rPr>
              <w:t xml:space="preserve"> and </w:t>
            </w:r>
            <w:r w:rsidRPr="004624D3">
              <w:rPr>
                <w:rFonts w:ascii="Times New Roman" w:hAnsi="Times New Roman"/>
                <w:i/>
                <w:iCs/>
                <w:sz w:val="16"/>
              </w:rPr>
              <w:t>UDP-glucosyl transferase</w:t>
            </w:r>
            <w:r>
              <w:rPr>
                <w:rFonts w:ascii="Times New Roman" w:hAnsi="Times New Roman"/>
                <w:sz w:val="16"/>
              </w:rPr>
              <w:t xml:space="preserve"> domain containing protein (chr12).</w:t>
            </w:r>
          </w:p>
        </w:tc>
        <w:tc>
          <w:tcPr>
            <w:tcW w:w="6048" w:type="dxa"/>
          </w:tcPr>
          <w:p w14:paraId="1E365E3D" w14:textId="77777777" w:rsidR="00A421A2" w:rsidRDefault="00A421A2" w:rsidP="00A421A2">
            <w:pPr>
              <w:jc w:val="both"/>
            </w:pPr>
            <w:r>
              <w:rPr>
                <w:rFonts w:ascii="Times New Roman" w:hAnsi="Times New Roman"/>
                <w:sz w:val="16"/>
              </w:rPr>
              <w:t xml:space="preserve">Salinity directly impacts cell membrane integrity and cell wall stability. Lipid metabolic enzymes like acyltransferases modify membrane lipid composition (increasing unsaturated fatty acids) to maintain membrane fluidity and prevent cellular leakage during osmotic shock (Zhao et al., 2020). Concurrently, cell wall remodeling proteins like cellulose synthase (CESA6) and pectin </w:t>
            </w:r>
            <w:proofErr w:type="spellStart"/>
            <w:r>
              <w:rPr>
                <w:rFonts w:ascii="Times New Roman" w:hAnsi="Times New Roman"/>
                <w:sz w:val="16"/>
              </w:rPr>
              <w:t>methylesterase</w:t>
            </w:r>
            <w:proofErr w:type="spellEnd"/>
            <w:r>
              <w:rPr>
                <w:rFonts w:ascii="Times New Roman" w:hAnsi="Times New Roman"/>
                <w:sz w:val="16"/>
              </w:rPr>
              <w:t xml:space="preserve"> inhibitors reinforce the mechanical strength of the cell wall, restricting toxic Na+ entry and preventing cellular collapse under turgor loss (Byrt et al., 2018).</w:t>
            </w:r>
          </w:p>
        </w:tc>
      </w:tr>
      <w:tr w:rsidR="00A421A2" w14:paraId="44007021" w14:textId="77777777" w:rsidTr="00A421A2">
        <w:tc>
          <w:tcPr>
            <w:tcW w:w="2160" w:type="dxa"/>
          </w:tcPr>
          <w:p w14:paraId="2E4AC56E" w14:textId="77777777" w:rsidR="00A421A2" w:rsidRDefault="00A421A2" w:rsidP="00A421A2">
            <w:pPr>
              <w:jc w:val="center"/>
            </w:pPr>
            <w:r>
              <w:rPr>
                <w:rFonts w:ascii="Times New Roman" w:hAnsi="Times New Roman"/>
                <w:sz w:val="16"/>
              </w:rPr>
              <w:t>Defense, Disease Resistance, and ROS Scavenging (7 Genes)</w:t>
            </w:r>
          </w:p>
        </w:tc>
        <w:tc>
          <w:tcPr>
            <w:tcW w:w="1728" w:type="dxa"/>
          </w:tcPr>
          <w:p w14:paraId="0584E4C8" w14:textId="77777777" w:rsidR="00A421A2" w:rsidRDefault="00A421A2" w:rsidP="00A421A2">
            <w:pPr>
              <w:jc w:val="center"/>
            </w:pPr>
            <w:r>
              <w:rPr>
                <w:rFonts w:ascii="Times New Roman" w:hAnsi="Times New Roman"/>
                <w:sz w:val="16"/>
              </w:rPr>
              <w:t>Chromosomes 5, 6, 7, and 8</w:t>
            </w:r>
          </w:p>
        </w:tc>
        <w:tc>
          <w:tcPr>
            <w:tcW w:w="3744" w:type="dxa"/>
          </w:tcPr>
          <w:p w14:paraId="56497BA3" w14:textId="77777777" w:rsidR="00A421A2" w:rsidRDefault="00A421A2" w:rsidP="00A421A2">
            <w:pPr>
              <w:jc w:val="both"/>
            </w:pPr>
            <w:r w:rsidRPr="005D042D">
              <w:rPr>
                <w:rFonts w:ascii="Times New Roman" w:hAnsi="Times New Roman"/>
                <w:i/>
                <w:iCs/>
                <w:sz w:val="16"/>
              </w:rPr>
              <w:t>NBS-LRR/NB-ARC</w:t>
            </w:r>
            <w:r>
              <w:rPr>
                <w:rFonts w:ascii="Times New Roman" w:hAnsi="Times New Roman"/>
                <w:sz w:val="16"/>
              </w:rPr>
              <w:t xml:space="preserve"> domain proteins (chr06, chr07), disease resistance </w:t>
            </w:r>
            <w:r w:rsidRPr="005D042D">
              <w:rPr>
                <w:rFonts w:ascii="Times New Roman" w:hAnsi="Times New Roman"/>
                <w:i/>
                <w:iCs/>
                <w:sz w:val="16"/>
              </w:rPr>
              <w:t>RGA2/RPP13</w:t>
            </w:r>
            <w:r>
              <w:rPr>
                <w:rFonts w:ascii="Times New Roman" w:hAnsi="Times New Roman"/>
                <w:sz w:val="16"/>
              </w:rPr>
              <w:t xml:space="preserve">-like (chr05), </w:t>
            </w:r>
            <w:r w:rsidRPr="005D042D">
              <w:rPr>
                <w:rFonts w:ascii="Times New Roman" w:hAnsi="Times New Roman"/>
                <w:i/>
                <w:iCs/>
                <w:sz w:val="16"/>
              </w:rPr>
              <w:t>peroxidase precursor</w:t>
            </w:r>
            <w:r>
              <w:rPr>
                <w:rFonts w:ascii="Times New Roman" w:hAnsi="Times New Roman"/>
                <w:sz w:val="16"/>
              </w:rPr>
              <w:t xml:space="preserve"> (chr08), and </w:t>
            </w:r>
            <w:r w:rsidRPr="005D042D">
              <w:rPr>
                <w:rFonts w:ascii="Times New Roman" w:hAnsi="Times New Roman"/>
                <w:i/>
                <w:iCs/>
                <w:sz w:val="16"/>
              </w:rPr>
              <w:t>L-ascorbate oxidase</w:t>
            </w:r>
            <w:r>
              <w:rPr>
                <w:rFonts w:ascii="Times New Roman" w:hAnsi="Times New Roman"/>
                <w:sz w:val="16"/>
              </w:rPr>
              <w:t xml:space="preserve"> (chr07).</w:t>
            </w:r>
          </w:p>
        </w:tc>
        <w:tc>
          <w:tcPr>
            <w:tcW w:w="6048" w:type="dxa"/>
          </w:tcPr>
          <w:p w14:paraId="5C18F1C8" w14:textId="77777777" w:rsidR="00A421A2" w:rsidRDefault="00A421A2" w:rsidP="00A421A2">
            <w:pPr>
              <w:jc w:val="both"/>
            </w:pPr>
            <w:r>
              <w:rPr>
                <w:rFonts w:ascii="Times New Roman" w:hAnsi="Times New Roman"/>
                <w:sz w:val="16"/>
              </w:rPr>
              <w:t>High salinity inevitably leads to the accumulation of Reactive Oxygen Species (ROS), causing secondary oxidative stress. Antioxidant enzymes like peroxidases and ascorbate oxidases are vital for scavenging these toxic ROS radicals, protecting DNA and proteins from damage (Apel &amp; Hirt, 2004). Interestingly, the presence of NBS-LRR genes highlights a known cross-talk between biotic and abiotic stress networks, suggesting that salinity primes the plant's basal immune responses.</w:t>
            </w:r>
          </w:p>
        </w:tc>
      </w:tr>
      <w:tr w:rsidR="00A421A2" w14:paraId="07D5A6E3" w14:textId="77777777" w:rsidTr="00A421A2">
        <w:tc>
          <w:tcPr>
            <w:tcW w:w="2160" w:type="dxa"/>
          </w:tcPr>
          <w:p w14:paraId="5FDA8019" w14:textId="77777777" w:rsidR="00A421A2" w:rsidRDefault="00A421A2" w:rsidP="00A421A2">
            <w:pPr>
              <w:jc w:val="center"/>
            </w:pPr>
            <w:r>
              <w:rPr>
                <w:rFonts w:ascii="Times New Roman" w:hAnsi="Times New Roman"/>
                <w:sz w:val="16"/>
              </w:rPr>
              <w:t>Ion Transporters and Homeostasis (5 Genes)</w:t>
            </w:r>
          </w:p>
        </w:tc>
        <w:tc>
          <w:tcPr>
            <w:tcW w:w="1728" w:type="dxa"/>
          </w:tcPr>
          <w:p w14:paraId="5C711E51" w14:textId="77777777" w:rsidR="00A421A2" w:rsidRDefault="00A421A2" w:rsidP="00A421A2">
            <w:pPr>
              <w:jc w:val="center"/>
            </w:pPr>
            <w:r>
              <w:rPr>
                <w:rFonts w:ascii="Times New Roman" w:hAnsi="Times New Roman"/>
                <w:sz w:val="16"/>
              </w:rPr>
              <w:t>Chromosomes 1, 7, and 8</w:t>
            </w:r>
          </w:p>
        </w:tc>
        <w:tc>
          <w:tcPr>
            <w:tcW w:w="3744" w:type="dxa"/>
          </w:tcPr>
          <w:p w14:paraId="7AA4DE17" w14:textId="4FFDE007" w:rsidR="00A421A2" w:rsidRDefault="00131034" w:rsidP="00A421A2">
            <w:pPr>
              <w:jc w:val="both"/>
            </w:pPr>
            <w:r w:rsidRPr="00131034">
              <w:rPr>
                <w:rFonts w:ascii="Times New Roman" w:hAnsi="Times New Roman"/>
                <w:sz w:val="16"/>
              </w:rPr>
              <w:t xml:space="preserve">OsZIP8 </w:t>
            </w:r>
            <w:r w:rsidR="00A421A2">
              <w:rPr>
                <w:rFonts w:ascii="Times New Roman" w:hAnsi="Times New Roman"/>
                <w:sz w:val="16"/>
              </w:rPr>
              <w:t xml:space="preserve">A metal cation transporter (chr07), an </w:t>
            </w:r>
            <w:r w:rsidR="00A421A2" w:rsidRPr="005D042D">
              <w:rPr>
                <w:rFonts w:ascii="Times New Roman" w:hAnsi="Times New Roman"/>
                <w:i/>
                <w:iCs/>
                <w:sz w:val="16"/>
              </w:rPr>
              <w:t>ABC-2</w:t>
            </w:r>
            <w:r w:rsidR="00A421A2">
              <w:rPr>
                <w:rFonts w:ascii="Times New Roman" w:hAnsi="Times New Roman"/>
                <w:sz w:val="16"/>
              </w:rPr>
              <w:t xml:space="preserve"> type transporter (chr01), a generalized transporter (chr08), and two nodulin </w:t>
            </w:r>
            <w:r w:rsidR="00A421A2" w:rsidRPr="005D042D">
              <w:rPr>
                <w:rFonts w:ascii="Times New Roman" w:hAnsi="Times New Roman"/>
                <w:i/>
                <w:iCs/>
                <w:sz w:val="16"/>
              </w:rPr>
              <w:t>MtN3</w:t>
            </w:r>
            <w:r w:rsidR="00A421A2">
              <w:rPr>
                <w:rFonts w:ascii="Times New Roman" w:hAnsi="Times New Roman"/>
                <w:sz w:val="16"/>
              </w:rPr>
              <w:t xml:space="preserve"> family proteins (chr01). </w:t>
            </w:r>
            <w:r w:rsidR="00A421A2" w:rsidRPr="005D042D">
              <w:rPr>
                <w:rFonts w:ascii="Times New Roman" w:hAnsi="Times New Roman"/>
                <w:i/>
                <w:iCs/>
                <w:sz w:val="16"/>
              </w:rPr>
              <w:t>ATPase, AAA</w:t>
            </w:r>
            <w:r w:rsidR="00A421A2">
              <w:rPr>
                <w:rFonts w:ascii="Times New Roman" w:hAnsi="Times New Roman"/>
                <w:sz w:val="16"/>
              </w:rPr>
              <w:t xml:space="preserve"> family protein (chr02).</w:t>
            </w:r>
          </w:p>
        </w:tc>
        <w:tc>
          <w:tcPr>
            <w:tcW w:w="6048" w:type="dxa"/>
          </w:tcPr>
          <w:p w14:paraId="21E9224D" w14:textId="77777777" w:rsidR="00A421A2" w:rsidRDefault="00A421A2" w:rsidP="00A421A2">
            <w:pPr>
              <w:jc w:val="both"/>
            </w:pPr>
            <w:r>
              <w:rPr>
                <w:rFonts w:ascii="Times New Roman" w:hAnsi="Times New Roman"/>
                <w:sz w:val="16"/>
              </w:rPr>
              <w:t>The most fundamental aspect of salinity tolerance is the exclusion, compartmentalization, or efflux of toxic Na+ and Cl- ions. ABC transporters and metal cation transporters facilitate the sequestration of sodium into vacuoles or its export out of the root cells, thereby maintaining a favorable K+/Na+ ratio in the cytoplasm and protecting vital cytosolic enzymes from ion toxicity (Munns &amp; Tester, 2008).</w:t>
            </w:r>
          </w:p>
        </w:tc>
      </w:tr>
    </w:tbl>
    <w:p w14:paraId="409367B7" w14:textId="04DCF48E" w:rsidR="00B3301A" w:rsidRPr="005549D6" w:rsidRDefault="00B3301A" w:rsidP="005549D6">
      <w:pPr>
        <w:spacing w:line="480" w:lineRule="auto"/>
      </w:pPr>
    </w:p>
    <w:sectPr w:rsidR="00B3301A" w:rsidRPr="005549D6"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1828184">
    <w:abstractNumId w:val="8"/>
  </w:num>
  <w:num w:numId="2" w16cid:durableId="347879208">
    <w:abstractNumId w:val="6"/>
  </w:num>
  <w:num w:numId="3" w16cid:durableId="173958843">
    <w:abstractNumId w:val="5"/>
  </w:num>
  <w:num w:numId="4" w16cid:durableId="1053194506">
    <w:abstractNumId w:val="4"/>
  </w:num>
  <w:num w:numId="5" w16cid:durableId="1107240222">
    <w:abstractNumId w:val="7"/>
  </w:num>
  <w:num w:numId="6" w16cid:durableId="2043900465">
    <w:abstractNumId w:val="3"/>
  </w:num>
  <w:num w:numId="7" w16cid:durableId="198670499">
    <w:abstractNumId w:val="2"/>
  </w:num>
  <w:num w:numId="8" w16cid:durableId="549659140">
    <w:abstractNumId w:val="1"/>
  </w:num>
  <w:num w:numId="9" w16cid:durableId="164955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851"/>
    <w:rsid w:val="00100BCC"/>
    <w:rsid w:val="00131034"/>
    <w:rsid w:val="0015074B"/>
    <w:rsid w:val="0029639D"/>
    <w:rsid w:val="00326F90"/>
    <w:rsid w:val="004624D3"/>
    <w:rsid w:val="004C1A04"/>
    <w:rsid w:val="005549D6"/>
    <w:rsid w:val="005D042D"/>
    <w:rsid w:val="00674ABC"/>
    <w:rsid w:val="006E493A"/>
    <w:rsid w:val="008B5151"/>
    <w:rsid w:val="0094529B"/>
    <w:rsid w:val="00A421A2"/>
    <w:rsid w:val="00AA1D8D"/>
    <w:rsid w:val="00B3301A"/>
    <w:rsid w:val="00B47730"/>
    <w:rsid w:val="00BF37B0"/>
    <w:rsid w:val="00CB0664"/>
    <w:rsid w:val="00D3300E"/>
    <w:rsid w:val="00D37175"/>
    <w:rsid w:val="00D762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191ACB"/>
  <w14:defaultImageDpi w14:val="300"/>
  <w15:docId w15:val="{1215EA52-9F93-408B-8321-60F2FD0A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421A2"/>
    <w:rPr>
      <w:sz w:val="16"/>
      <w:szCs w:val="16"/>
    </w:rPr>
  </w:style>
  <w:style w:type="paragraph" w:styleId="CommentText">
    <w:name w:val="annotation text"/>
    <w:basedOn w:val="Normal"/>
    <w:link w:val="CommentTextChar"/>
    <w:uiPriority w:val="99"/>
    <w:semiHidden/>
    <w:unhideWhenUsed/>
    <w:rsid w:val="00A421A2"/>
    <w:pPr>
      <w:spacing w:after="160" w:line="240" w:lineRule="auto"/>
    </w:pPr>
    <w:rPr>
      <w:rFonts w:eastAsiaTheme="minorHAnsi"/>
      <w:kern w:val="2"/>
      <w:sz w:val="20"/>
      <w:szCs w:val="20"/>
      <w14:ligatures w14:val="standardContextual"/>
    </w:rPr>
  </w:style>
  <w:style w:type="character" w:customStyle="1" w:styleId="CommentTextChar">
    <w:name w:val="Comment Text Char"/>
    <w:basedOn w:val="DefaultParagraphFont"/>
    <w:link w:val="CommentText"/>
    <w:uiPriority w:val="99"/>
    <w:semiHidden/>
    <w:rsid w:val="00A421A2"/>
    <w:rPr>
      <w:rFonts w:eastAsiaTheme="minorHAnsi"/>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Mohammad Hosseini</cp:lastModifiedBy>
  <cp:revision>12</cp:revision>
  <dcterms:created xsi:type="dcterms:W3CDTF">2013-12-23T23:15:00Z</dcterms:created>
  <dcterms:modified xsi:type="dcterms:W3CDTF">2026-09-19T08:00:00Z</dcterms:modified>
  <cp:category/>
</cp:coreProperties>
</file>