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8A31" w14:textId="77777777" w:rsidR="0065777D" w:rsidRDefault="00000000">
      <w:pPr>
        <w:pStyle w:val="Title"/>
        <w:spacing w:after="120"/>
      </w:pPr>
      <w:r>
        <w:rPr>
          <w:rFonts w:ascii="Calibri" w:eastAsia="Calibri" w:hAnsi="Calibri" w:cs="Calibri"/>
          <w:b/>
          <w:bCs/>
          <w:sz w:val="32"/>
          <w:szCs w:val="32"/>
        </w:rPr>
        <w:t>CARE Checklist</w:t>
      </w:r>
    </w:p>
    <w:p w14:paraId="4FE97369" w14:textId="77777777" w:rsidR="0065777D" w:rsidRPr="00425CBF" w:rsidRDefault="00000000" w:rsidP="00425CBF">
      <w:pPr>
        <w:spacing w:after="300"/>
        <w:jc w:val="center"/>
        <w:rPr>
          <w:sz w:val="24"/>
          <w:szCs w:val="24"/>
        </w:rPr>
      </w:pPr>
      <w:r w:rsidRPr="00425CBF">
        <w:rPr>
          <w:rFonts w:ascii="Calibri" w:eastAsia="Calibri" w:hAnsi="Calibri" w:cs="Calibri"/>
          <w:sz w:val="24"/>
          <w:szCs w:val="24"/>
        </w:rPr>
        <w:t xml:space="preserve">Sealing the Leak: Percutaneous Deep Dorsal Penile Vein Embolization Using </w:t>
      </w:r>
      <w:proofErr w:type="spellStart"/>
      <w:r w:rsidRPr="00425CBF">
        <w:rPr>
          <w:rFonts w:ascii="Calibri" w:eastAsia="Calibri" w:hAnsi="Calibri" w:cs="Calibri"/>
          <w:sz w:val="24"/>
          <w:szCs w:val="24"/>
        </w:rPr>
        <w:t>Glubran</w:t>
      </w:r>
      <w:proofErr w:type="spellEnd"/>
      <w:r w:rsidRPr="00425CBF">
        <w:rPr>
          <w:rFonts w:ascii="Calibri" w:eastAsia="Calibri" w:hAnsi="Calibri" w:cs="Calibri"/>
          <w:sz w:val="24"/>
          <w:szCs w:val="24"/>
        </w:rPr>
        <w:t xml:space="preserve"> for Veno-Occlusive Erectile Dysfunction</w:t>
      </w:r>
    </w:p>
    <w:p w14:paraId="23FCE981" w14:textId="77777777" w:rsidR="00425CBF" w:rsidRDefault="00425CBF" w:rsidP="00425CBF">
      <w:pPr>
        <w:spacing w:after="300"/>
      </w:pPr>
      <w:r>
        <w:rPr>
          <w:rFonts w:ascii="Calibri" w:eastAsia="Calibri" w:hAnsi="Calibri" w:cs="Calibri"/>
        </w:rPr>
        <w:t>This checklist is completed in accordance with the CARE (</w:t>
      </w:r>
      <w:proofErr w:type="spellStart"/>
      <w:r>
        <w:rPr>
          <w:rFonts w:ascii="Calibri" w:eastAsia="Calibri" w:hAnsi="Calibri" w:cs="Calibri"/>
        </w:rPr>
        <w:t>CAse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REport</w:t>
      </w:r>
      <w:proofErr w:type="spellEnd"/>
      <w:r>
        <w:rPr>
          <w:rFonts w:ascii="Calibri" w:eastAsia="Calibri" w:hAnsi="Calibri" w:cs="Calibri"/>
        </w:rPr>
        <w:t>) guidelines (careguidelines.org) and maps each CARE reporting item to its location in the manuscript, as required for submission to the Journal of Medical Case Reports.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3069"/>
        <w:gridCol w:w="4227"/>
        <w:gridCol w:w="2846"/>
      </w:tblGrid>
      <w:tr w:rsidR="0065777D" w14:paraId="5489F7A8" w14:textId="77777777" w:rsidTr="00425CBF">
        <w:trPr>
          <w:tblHeader/>
        </w:trPr>
        <w:tc>
          <w:tcPr>
            <w:tcW w:w="700" w:type="dxa"/>
            <w:shd w:val="clear" w:color="auto" w:fill="80340D" w:themeFill="accent2" w:themeFillShade="8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58E2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No.</w:t>
            </w:r>
          </w:p>
        </w:tc>
        <w:tc>
          <w:tcPr>
            <w:tcW w:w="2500" w:type="dxa"/>
            <w:shd w:val="clear" w:color="auto" w:fill="80340D" w:themeFill="accent2" w:themeFillShade="8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EB3DAB" w14:textId="0C994E1E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CARE Item</w:t>
            </w:r>
          </w:p>
        </w:tc>
        <w:tc>
          <w:tcPr>
            <w:tcW w:w="4900" w:type="dxa"/>
            <w:shd w:val="clear" w:color="auto" w:fill="80340D" w:themeFill="accent2" w:themeFillShade="8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A9983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Description</w:t>
            </w:r>
          </w:p>
        </w:tc>
        <w:tc>
          <w:tcPr>
            <w:tcW w:w="2700" w:type="dxa"/>
            <w:shd w:val="clear" w:color="auto" w:fill="80340D" w:themeFill="accent2" w:themeFillShade="8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427B8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Reported in Manuscript</w:t>
            </w:r>
          </w:p>
        </w:tc>
      </w:tr>
      <w:tr w:rsidR="0065777D" w14:paraId="3E62DD95" w14:textId="77777777" w:rsidTr="00425CBF">
        <w:trPr>
          <w:trHeight w:val="945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EECD6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4B05C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Title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91B2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words “case report” should appear in the title along with the phenomenon of greatest interest (e.g., symptom, diagnosis, test, intervention).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027C2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 xml:space="preserve">Title page, p.1 – “Sealing the Leak: Percutaneous Deep Dorsal Penile Vein Embolization Using </w:t>
            </w:r>
            <w:proofErr w:type="spellStart"/>
            <w:r>
              <w:rPr>
                <w:rFonts w:ascii="Calibri" w:eastAsia="Calibri" w:hAnsi="Calibri" w:cs="Calibri"/>
              </w:rPr>
              <w:t>Glubran</w:t>
            </w:r>
            <w:proofErr w:type="spellEnd"/>
            <w:r>
              <w:rPr>
                <w:rFonts w:ascii="Calibri" w:eastAsia="Calibri" w:hAnsi="Calibri" w:cs="Calibri"/>
              </w:rPr>
              <w:t xml:space="preserve"> for Veno-Occlusive Erectile Dysfunction - A Case Report”</w:t>
            </w:r>
          </w:p>
        </w:tc>
      </w:tr>
      <w:tr w:rsidR="0065777D" w14:paraId="6823D1AA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DB740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FBED0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Keywords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47EBE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2 to 5 keywords that identify diagnoses or interventions in this case report, including “case report.”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2F66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Keywords, p.2 – now includes “case report” among the listed terms</w:t>
            </w:r>
          </w:p>
        </w:tc>
      </w:tr>
      <w:tr w:rsidR="0065777D" w14:paraId="78263239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F5773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3a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3AB7C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 – Introduction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A62A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What is unique about this case and what does it add to the literature?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97946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Abstract, p.2 (first reported case of this procedure in Lebanon and the Arab region)</w:t>
            </w:r>
          </w:p>
        </w:tc>
      </w:tr>
      <w:tr w:rsidR="0065777D" w14:paraId="4A6CE10D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1B4F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3b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69002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 – Main symptoms/findings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3906C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main symptoms of the patient and the main important clinical findings.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5FC4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 xml:space="preserve">Abstract, p.2 (ED refractory to sildenafil; IIEF-5/EHS scores; duplex and </w:t>
            </w:r>
            <w:proofErr w:type="spellStart"/>
            <w:r>
              <w:rPr>
                <w:rFonts w:ascii="Calibri" w:eastAsia="Calibri" w:hAnsi="Calibri" w:cs="Calibri"/>
              </w:rPr>
              <w:t>cavernosographic</w:t>
            </w:r>
            <w:proofErr w:type="spellEnd"/>
            <w:r>
              <w:rPr>
                <w:rFonts w:ascii="Calibri" w:eastAsia="Calibri" w:hAnsi="Calibri" w:cs="Calibri"/>
              </w:rPr>
              <w:t xml:space="preserve"> findings)</w:t>
            </w:r>
          </w:p>
        </w:tc>
      </w:tr>
      <w:tr w:rsidR="0065777D" w14:paraId="5D013BFF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289B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3c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9EAB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 – Diagnoses/interventions/outcomes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5EB2B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main diagnoses, therapeutic interventions, and outcomes.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B0BD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Abstract, p.2 (</w:t>
            </w:r>
            <w:proofErr w:type="spellStart"/>
            <w:r>
              <w:rPr>
                <w:rFonts w:ascii="Calibri" w:eastAsia="Calibri" w:hAnsi="Calibri" w:cs="Calibri"/>
              </w:rPr>
              <w:t>veno</w:t>
            </w:r>
            <w:proofErr w:type="spellEnd"/>
            <w:r>
              <w:rPr>
                <w:rFonts w:ascii="Calibri" w:eastAsia="Calibri" w:hAnsi="Calibri" w:cs="Calibri"/>
              </w:rPr>
              <w:t xml:space="preserve">-occlusive dysfunction; </w:t>
            </w:r>
            <w:proofErr w:type="spellStart"/>
            <w:r>
              <w:rPr>
                <w:rFonts w:ascii="Calibri" w:eastAsia="Calibri" w:hAnsi="Calibri" w:cs="Calibri"/>
              </w:rPr>
              <w:t>Glubran</w:t>
            </w:r>
            <w:proofErr w:type="spellEnd"/>
            <w:r>
              <w:rPr>
                <w:rFonts w:ascii="Calibri" w:eastAsia="Calibri" w:hAnsi="Calibri" w:cs="Calibri"/>
              </w:rPr>
              <w:t xml:space="preserve"> embolization; 3-month outcome)</w:t>
            </w:r>
          </w:p>
        </w:tc>
      </w:tr>
      <w:tr w:rsidR="0065777D" w14:paraId="3A91704F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7953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3d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3D77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 – Conclusion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FEA9F4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What is the main “take-away” lesson from this case?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CAE3C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Abstract, p.2 (feasibility of pelvic venous plexus embolization; structured diagnostic pathway)</w:t>
            </w:r>
          </w:p>
        </w:tc>
      </w:tr>
      <w:tr w:rsidR="0065777D" w14:paraId="685A0F01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E5BD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547F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Introduction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62C3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One or two paragraphs summarizing why this case is unique, with a scholarly context (may include a literature review).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5A116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Introduction, p.2–3</w:t>
            </w:r>
          </w:p>
        </w:tc>
      </w:tr>
      <w:tr w:rsidR="0065777D" w14:paraId="545BC308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E85D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5a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62235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Patient Information – Demographics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F3637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De-identified patient-specific information.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C1E1B" w14:textId="6514DE64" w:rsidR="0065777D" w:rsidRPr="00425CBF" w:rsidRDefault="00000000">
            <w:pPr>
              <w:spacing w:after="60"/>
            </w:pPr>
            <w:r w:rsidRPr="00425CBF">
              <w:rPr>
                <w:rFonts w:ascii="Calibri" w:eastAsia="Calibri" w:hAnsi="Calibri" w:cs="Calibri"/>
                <w:color w:val="000000" w:themeColor="text1"/>
              </w:rPr>
              <w:t xml:space="preserve">Case Presentation, p.3 (67-year-old man; </w:t>
            </w:r>
            <w:r w:rsidR="00425CBF" w:rsidRPr="00425CBF">
              <w:rPr>
                <w:rFonts w:ascii="Calibri" w:eastAsia="Calibri" w:hAnsi="Calibri" w:cs="Calibri"/>
                <w:color w:val="000000" w:themeColor="text1"/>
              </w:rPr>
              <w:t>Lebanese Middle Eastern</w:t>
            </w:r>
          </w:p>
        </w:tc>
      </w:tr>
      <w:tr w:rsidR="0065777D" w14:paraId="6ACC3750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5DFD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5b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796EC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Patient Information – Main concerns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BDE8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Main concerns and symptoms of the patient.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B49BD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p.3 (1.5-year history of ED refractory to sildenafil)</w:t>
            </w:r>
          </w:p>
        </w:tc>
      </w:tr>
      <w:tr w:rsidR="0065777D" w14:paraId="0F7878A7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2E39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5c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91BE2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Patient Information – History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8644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Medical, family, and psychosocial history, including relevant genetic information, and prior interventions and their outcomes.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6D26D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p.3 (controlled hypertension, 35-pack-year smoking history, sedentary lifestyle, prior sildenafil failure)</w:t>
            </w:r>
          </w:p>
        </w:tc>
      </w:tr>
      <w:tr w:rsidR="0065777D" w14:paraId="45017AB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B9511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lastRenderedPageBreak/>
              <w:t>6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8E8ED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Clinical Findings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BC9274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Describe relevant physical examination and other clinical findings.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B5B7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p.3–4 (IIEF-5/EHS scoring; duplex Doppler findings)</w:t>
            </w:r>
          </w:p>
        </w:tc>
      </w:tr>
      <w:tr w:rsidR="0065777D" w14:paraId="31541175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CE84A4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C37B9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Timeline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684A6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Historical and current information from this episode of care organized as a timeline (figure or table).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FB64B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Table 1 – Structured Clinical Timeline, p.3</w:t>
            </w:r>
          </w:p>
        </w:tc>
      </w:tr>
      <w:tr w:rsidR="0065777D" w14:paraId="564E3BBE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E7FE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8a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DCF4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Assessment – Methods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35DB7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testing methods (e.g., physical examination, laboratory testing, imaging, questionnaires).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324A03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 xml:space="preserve">Case Presentation, p.3–5 (IIEF-5/EHS questionnaires, penile duplex Doppler ultrasonography, pelvic arteriography, </w:t>
            </w:r>
            <w:proofErr w:type="spellStart"/>
            <w:r>
              <w:rPr>
                <w:rFonts w:ascii="Calibri" w:eastAsia="Calibri" w:hAnsi="Calibri" w:cs="Calibri"/>
              </w:rPr>
              <w:t>cavernosography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65777D" w14:paraId="5E46E057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6BC0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8b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77D70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Assessment – Challenges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1A8E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challenges (e.g., access to testing, financial, or cultural).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3A3D1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p.3–4 (inadequate penile rigidity limited definitive duplex assessment, necessitating arteriography/</w:t>
            </w:r>
            <w:proofErr w:type="spellStart"/>
            <w:r>
              <w:rPr>
                <w:rFonts w:ascii="Calibri" w:eastAsia="Calibri" w:hAnsi="Calibri" w:cs="Calibri"/>
              </w:rPr>
              <w:t>cavernosography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65777D" w14:paraId="27DCE881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957E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8c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DFAC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Assessment – Diagnosis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9A978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reasoning, including other diagnoses considered.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B4242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 xml:space="preserve">Case Presentation, p.4–5 (arterial insufficiency excluded before confirming </w:t>
            </w:r>
            <w:proofErr w:type="spellStart"/>
            <w:r>
              <w:rPr>
                <w:rFonts w:ascii="Calibri" w:eastAsia="Calibri" w:hAnsi="Calibri" w:cs="Calibri"/>
              </w:rPr>
              <w:t>veno</w:t>
            </w:r>
            <w:proofErr w:type="spellEnd"/>
            <w:r>
              <w:rPr>
                <w:rFonts w:ascii="Calibri" w:eastAsia="Calibri" w:hAnsi="Calibri" w:cs="Calibri"/>
              </w:rPr>
              <w:t>-occlusive dysfunction)</w:t>
            </w:r>
          </w:p>
        </w:tc>
      </w:tr>
      <w:tr w:rsidR="0065777D" w14:paraId="354B0121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07700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8d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2288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Diagnostic Assessment – Prognosis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8A4BC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Prognostic characteristics where applicable.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96DED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Discussion, p.7 (age, smoking history, and sedentary lifestyle framed as consistent with an acquired/degenerative rather than congenital venous leak)</w:t>
            </w:r>
          </w:p>
        </w:tc>
      </w:tr>
      <w:tr w:rsidR="0065777D" w14:paraId="7E8E5C8A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7154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9a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77E072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Therapeutic Intervention – Types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EA29D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Types of intervention (e.g., pharmacologic, surgical, preventive, self-care).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4E2D2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p.5–6 (percutaneous transcatheter embolization of the retropubic/pelvic venous plexus)</w:t>
            </w:r>
          </w:p>
        </w:tc>
      </w:tr>
      <w:tr w:rsidR="0065777D" w14:paraId="2AF5EF04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11A90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9b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4C68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Therapeutic Intervention – Administration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A0F613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Administration of intervention (e.g., dosage, strength, duration).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CDFE4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 xml:space="preserve">Case Presentation, p.5–6 (ultrasound-guided deep dorsal vein access; </w:t>
            </w:r>
            <w:proofErr w:type="spellStart"/>
            <w:r>
              <w:rPr>
                <w:rFonts w:ascii="Calibri" w:eastAsia="Calibri" w:hAnsi="Calibri" w:cs="Calibri"/>
              </w:rPr>
              <w:t>Glubran</w:t>
            </w:r>
            <w:proofErr w:type="spellEnd"/>
            <w:r>
              <w:rPr>
                <w:rFonts w:ascii="Calibri" w:eastAsia="Calibri" w:hAnsi="Calibri" w:cs="Calibri"/>
              </w:rPr>
              <w:t>/lipiodol 1:3 mixture; tourniquet technique)</w:t>
            </w:r>
          </w:p>
        </w:tc>
      </w:tr>
      <w:tr w:rsidR="0065777D" w14:paraId="6690A618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DF475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9c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0BB1C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Therapeutic Intervention – Changes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6E73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Changes in intervention with explanation.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195E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Not applicable – a single embolization procedure was performed with no change in intervention strategy</w:t>
            </w:r>
          </w:p>
        </w:tc>
      </w:tr>
      <w:tr w:rsidR="0065777D" w14:paraId="74FF3552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40C534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10a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DA379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Follow-up and Outcomes – Assessment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93F560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Clinician- and patient-assessed outcomes, if available.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3922F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p.6 (IIEF-5 and EHS scores improved from 10/2 to 22/4 at 3 months)</w:t>
            </w:r>
          </w:p>
        </w:tc>
      </w:tr>
      <w:tr w:rsidR="0065777D" w14:paraId="63F848DE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AD719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10b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B8FC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Follow-up and Outcomes – Test results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F7FB72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Important follow-up diagnostic and other test results.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760DB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p.6 (3-month follow-up duplex Doppler: end-diastolic velocity decreased from 23 to 8.6 cm/s)</w:t>
            </w:r>
          </w:p>
        </w:tc>
      </w:tr>
      <w:tr w:rsidR="0065777D" w14:paraId="7D6E26BB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10595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lastRenderedPageBreak/>
              <w:t>10c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415A7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Follow-up and Outcomes – Adherence/tolerability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96A7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Intervention adherence and tolerability (how was this assessed?).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B63724" w14:textId="700522DC" w:rsidR="0065777D" w:rsidRPr="00425CBF" w:rsidRDefault="00000000">
            <w:pPr>
              <w:spacing w:after="60"/>
            </w:pPr>
            <w:r w:rsidRPr="00425CBF">
              <w:rPr>
                <w:rFonts w:ascii="Calibri" w:eastAsia="Calibri" w:hAnsi="Calibri" w:cs="Calibri"/>
                <w:color w:val="000000" w:themeColor="text1"/>
              </w:rPr>
              <w:t xml:space="preserve">Case Presentation, p.7 </w:t>
            </w:r>
          </w:p>
        </w:tc>
      </w:tr>
      <w:tr w:rsidR="0065777D" w14:paraId="11673F84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D0DF2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10d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0DA160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Follow-up and Outcomes – Adverse events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F4C14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Adverse and unanticipated events.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A7C61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Case Presentation, p.6 (no adverse events reported; residual, partially improved end-diastolic velocity noted as an incomplete hemodynamic response)</w:t>
            </w:r>
          </w:p>
        </w:tc>
      </w:tr>
      <w:tr w:rsidR="0065777D" w14:paraId="1D021BA7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C78A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11a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D865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 – Strengths/limitations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08ACF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Scientific basis for and limitations of this case report.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E0AAB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Discussion, p.8 (single-case, short follow-up, residual venous leak acknowledged as limitations)</w:t>
            </w:r>
          </w:p>
        </w:tc>
      </w:tr>
      <w:tr w:rsidR="0065777D" w14:paraId="156BB8A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BA21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11b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6570D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 – Literature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64998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 of the relevant medical literature.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204B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Discussion, p.7–8 (comparison with published technical/clinical success rates for transcatheter venous embolization)</w:t>
            </w:r>
          </w:p>
        </w:tc>
      </w:tr>
      <w:tr w:rsidR="0065777D" w14:paraId="0BDDEAFB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8704E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11c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947A9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 – Rationale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F0ABF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rationale for conclusions.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BE78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Discussion, p.8</w:t>
            </w:r>
          </w:p>
        </w:tc>
      </w:tr>
      <w:tr w:rsidR="0065777D" w14:paraId="47F4E656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C56DB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11d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ECE7D3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Discussion – Lessons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866271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primary “take-away” lessons from this case (without overgeneralization).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B6C42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Conclusion, p.9</w:t>
            </w:r>
          </w:p>
        </w:tc>
      </w:tr>
      <w:tr w:rsidR="0065777D" w14:paraId="37CEC3E5" w14:textId="77777777"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353A3A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2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077367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Patient Perspective</w:t>
            </w:r>
          </w:p>
        </w:tc>
        <w:tc>
          <w:tcPr>
            <w:tcW w:w="4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E2EFF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The patient should share their perspective or experience, where appropriate.</w:t>
            </w:r>
          </w:p>
        </w:tc>
        <w:tc>
          <w:tcPr>
            <w:tcW w:w="2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1C9D63" w14:textId="0F094211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Not applicable</w:t>
            </w:r>
            <w:r w:rsidR="00425CBF">
              <w:rPr>
                <w:rFonts w:ascii="Calibri" w:eastAsia="Calibri" w:hAnsi="Calibri" w:cs="Calibri"/>
              </w:rPr>
              <w:t xml:space="preserve">; </w:t>
            </w:r>
            <w:r>
              <w:rPr>
                <w:rFonts w:ascii="Calibri" w:eastAsia="Calibri" w:hAnsi="Calibri" w:cs="Calibri"/>
              </w:rPr>
              <w:t>no patient-authored perspective is included</w:t>
            </w:r>
          </w:p>
        </w:tc>
      </w:tr>
      <w:tr w:rsidR="0065777D" w14:paraId="233AB91C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3DF572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DD44D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Informed Consent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68F86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Did the patient give informed consent? Please provide if requested.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7CE3C5" w14:textId="77777777" w:rsidR="0065777D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Declarations – Consent for publication, p.9</w:t>
            </w:r>
          </w:p>
        </w:tc>
      </w:tr>
    </w:tbl>
    <w:p w14:paraId="1EDC3806" w14:textId="77777777" w:rsidR="0065777D" w:rsidRDefault="00000000">
      <w:pPr>
        <w:spacing w:before="300"/>
      </w:pPr>
      <w:r>
        <w:rPr>
          <w:rFonts w:ascii="Calibri" w:eastAsia="Calibri" w:hAnsi="Calibri" w:cs="Calibri"/>
          <w:i/>
          <w:iCs/>
          <w:sz w:val="18"/>
          <w:szCs w:val="18"/>
        </w:rPr>
        <w:t>Reference: Riley DS, Barber MS, Kienle GS, et al. CARE guidelines for case reports: explanation and elaboration document. J Clin Epidemiol. 2017;89:218-235.</w:t>
      </w:r>
    </w:p>
    <w:sectPr w:rsidR="0065777D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E0CB0"/>
    <w:multiLevelType w:val="hybridMultilevel"/>
    <w:tmpl w:val="DE16B1BE"/>
    <w:lvl w:ilvl="0" w:tplc="3C5AA3BC">
      <w:start w:val="1"/>
      <w:numFmt w:val="bullet"/>
      <w:lvlText w:val="●"/>
      <w:lvlJc w:val="left"/>
      <w:pPr>
        <w:ind w:left="720" w:hanging="360"/>
      </w:pPr>
    </w:lvl>
    <w:lvl w:ilvl="1" w:tplc="EFA65FAE">
      <w:start w:val="1"/>
      <w:numFmt w:val="bullet"/>
      <w:lvlText w:val="○"/>
      <w:lvlJc w:val="left"/>
      <w:pPr>
        <w:ind w:left="1440" w:hanging="360"/>
      </w:pPr>
    </w:lvl>
    <w:lvl w:ilvl="2" w:tplc="EFE6D498">
      <w:start w:val="1"/>
      <w:numFmt w:val="bullet"/>
      <w:lvlText w:val="■"/>
      <w:lvlJc w:val="left"/>
      <w:pPr>
        <w:ind w:left="2160" w:hanging="360"/>
      </w:pPr>
    </w:lvl>
    <w:lvl w:ilvl="3" w:tplc="5318205E">
      <w:start w:val="1"/>
      <w:numFmt w:val="bullet"/>
      <w:lvlText w:val="●"/>
      <w:lvlJc w:val="left"/>
      <w:pPr>
        <w:ind w:left="2880" w:hanging="360"/>
      </w:pPr>
    </w:lvl>
    <w:lvl w:ilvl="4" w:tplc="1F182AA4">
      <w:start w:val="1"/>
      <w:numFmt w:val="bullet"/>
      <w:lvlText w:val="○"/>
      <w:lvlJc w:val="left"/>
      <w:pPr>
        <w:ind w:left="3600" w:hanging="360"/>
      </w:pPr>
    </w:lvl>
    <w:lvl w:ilvl="5" w:tplc="5A76CEDA">
      <w:start w:val="1"/>
      <w:numFmt w:val="bullet"/>
      <w:lvlText w:val="■"/>
      <w:lvlJc w:val="left"/>
      <w:pPr>
        <w:ind w:left="4320" w:hanging="360"/>
      </w:pPr>
    </w:lvl>
    <w:lvl w:ilvl="6" w:tplc="FDCAB972">
      <w:start w:val="1"/>
      <w:numFmt w:val="bullet"/>
      <w:lvlText w:val="●"/>
      <w:lvlJc w:val="left"/>
      <w:pPr>
        <w:ind w:left="5040" w:hanging="360"/>
      </w:pPr>
    </w:lvl>
    <w:lvl w:ilvl="7" w:tplc="E3EC5B94">
      <w:start w:val="1"/>
      <w:numFmt w:val="bullet"/>
      <w:lvlText w:val="●"/>
      <w:lvlJc w:val="left"/>
      <w:pPr>
        <w:ind w:left="5760" w:hanging="360"/>
      </w:pPr>
    </w:lvl>
    <w:lvl w:ilvl="8" w:tplc="D1621B96">
      <w:start w:val="1"/>
      <w:numFmt w:val="bullet"/>
      <w:lvlText w:val="●"/>
      <w:lvlJc w:val="left"/>
      <w:pPr>
        <w:ind w:left="6480" w:hanging="360"/>
      </w:pPr>
    </w:lvl>
  </w:abstractNum>
  <w:num w:numId="1" w16cid:durableId="11278905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7D"/>
    <w:rsid w:val="00425CBF"/>
    <w:rsid w:val="005329F9"/>
    <w:rsid w:val="0065777D"/>
    <w:rsid w:val="0080566B"/>
    <w:rsid w:val="00C5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F84054"/>
  <w15:docId w15:val="{8EAD861B-962D-7A43-9AB8-868A0FFD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ralph rahebkhelo</cp:lastModifiedBy>
  <cp:revision>4</cp:revision>
  <dcterms:created xsi:type="dcterms:W3CDTF">2026-09-26T18:10:00Z</dcterms:created>
  <dcterms:modified xsi:type="dcterms:W3CDTF">2026-09-26T18:23:00Z</dcterms:modified>
</cp:coreProperties>
</file>