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50F8F5" w14:textId="77777777" w:rsidR="004209B1" w:rsidRDefault="004209B1" w:rsidP="004209B1">
      <w:pPr>
        <w:spacing w:after="80"/>
      </w:pPr>
    </w:p>
    <w:p w14:paraId="0B6B942B" w14:textId="77777777" w:rsidR="004209B1" w:rsidRDefault="004209B1" w:rsidP="004209B1">
      <w:pPr>
        <w:pStyle w:val="TableCaption"/>
        <w:keepNext/>
      </w:pPr>
      <w:r>
        <w:t>Table S1. (Supplementary). Regression Diagnostics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753"/>
        <w:gridCol w:w="3309"/>
      </w:tblGrid>
      <w:tr w:rsidR="004209B1" w14:paraId="66F1CFDA" w14:textId="77777777" w:rsidTr="00C14C96">
        <w:trPr>
          <w:tblHeader/>
          <w:jc w:val="center"/>
        </w:trPr>
        <w:tc>
          <w:tcPr>
            <w:tcW w:w="5760" w:type="dxa"/>
            <w:shd w:val="clear" w:color="auto" w:fill="D9E2F3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391FDBD6" w14:textId="77777777" w:rsidR="004209B1" w:rsidRDefault="004209B1" w:rsidP="00C14C96">
            <w:pPr>
              <w:spacing w:after="0" w:line="240" w:lineRule="auto"/>
            </w:pPr>
            <w:r>
              <w:rPr>
                <w:b/>
                <w:sz w:val="18"/>
              </w:rPr>
              <w:t>Diagnostic</w:t>
            </w:r>
          </w:p>
        </w:tc>
        <w:tc>
          <w:tcPr>
            <w:tcW w:w="3312" w:type="dxa"/>
            <w:shd w:val="clear" w:color="auto" w:fill="D9E2F3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6416CA6" w14:textId="77777777" w:rsidR="004209B1" w:rsidRDefault="004209B1" w:rsidP="00C14C96">
            <w:pPr>
              <w:spacing w:after="0" w:line="240" w:lineRule="auto"/>
            </w:pPr>
            <w:r>
              <w:rPr>
                <w:b/>
                <w:sz w:val="18"/>
              </w:rPr>
              <w:t>Result</w:t>
            </w:r>
          </w:p>
        </w:tc>
      </w:tr>
      <w:tr w:rsidR="004209B1" w14:paraId="685EDAB5" w14:textId="77777777" w:rsidTr="00C14C96">
        <w:trPr>
          <w:jc w:val="center"/>
        </w:trPr>
        <w:tc>
          <w:tcPr>
            <w:tcW w:w="576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65BFDD32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Sample size</w:t>
            </w:r>
          </w:p>
        </w:tc>
        <w:tc>
          <w:tcPr>
            <w:tcW w:w="331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C95C2CD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1,555</w:t>
            </w:r>
          </w:p>
        </w:tc>
      </w:tr>
      <w:tr w:rsidR="004209B1" w14:paraId="003F92EF" w14:textId="77777777" w:rsidTr="00C14C96">
        <w:trPr>
          <w:jc w:val="center"/>
        </w:trPr>
        <w:tc>
          <w:tcPr>
            <w:tcW w:w="576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9F9405A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Maximum Cook's distance</w:t>
            </w:r>
          </w:p>
        </w:tc>
        <w:tc>
          <w:tcPr>
            <w:tcW w:w="331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0A267412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0.00757</w:t>
            </w:r>
          </w:p>
        </w:tc>
      </w:tr>
      <w:tr w:rsidR="004209B1" w14:paraId="75036431" w14:textId="77777777" w:rsidTr="00C14C96">
        <w:trPr>
          <w:jc w:val="center"/>
        </w:trPr>
        <w:tc>
          <w:tcPr>
            <w:tcW w:w="576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21F49DBD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Mean Cook's distance</w:t>
            </w:r>
          </w:p>
        </w:tc>
        <w:tc>
          <w:tcPr>
            <w:tcW w:w="331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40541701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0.000625</w:t>
            </w:r>
          </w:p>
        </w:tc>
      </w:tr>
      <w:tr w:rsidR="004209B1" w14:paraId="6625FBB0" w14:textId="77777777" w:rsidTr="00C14C96">
        <w:trPr>
          <w:jc w:val="center"/>
        </w:trPr>
        <w:tc>
          <w:tcPr>
            <w:tcW w:w="576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1E279C0C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Reference Cook's distance (4/N)</w:t>
            </w:r>
          </w:p>
        </w:tc>
        <w:tc>
          <w:tcPr>
            <w:tcW w:w="331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709A2FBB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0.00257</w:t>
            </w:r>
          </w:p>
        </w:tc>
      </w:tr>
      <w:tr w:rsidR="004209B1" w14:paraId="40CDC561" w14:textId="77777777" w:rsidTr="00C14C96">
        <w:trPr>
          <w:jc w:val="center"/>
        </w:trPr>
        <w:tc>
          <w:tcPr>
            <w:tcW w:w="5760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A35785C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Influential observations</w:t>
            </w:r>
          </w:p>
        </w:tc>
        <w:tc>
          <w:tcPr>
            <w:tcW w:w="3312" w:type="dxa"/>
            <w:tcMar>
              <w:top w:w="45" w:type="dxa"/>
              <w:left w:w="80" w:type="dxa"/>
              <w:bottom w:w="45" w:type="dxa"/>
              <w:right w:w="80" w:type="dxa"/>
            </w:tcMar>
            <w:vAlign w:val="center"/>
          </w:tcPr>
          <w:p w14:paraId="50575110" w14:textId="77777777" w:rsidR="004209B1" w:rsidRDefault="004209B1" w:rsidP="00C14C96">
            <w:pPr>
              <w:spacing w:after="0" w:line="240" w:lineRule="auto"/>
            </w:pPr>
            <w:r>
              <w:rPr>
                <w:sz w:val="18"/>
              </w:rPr>
              <w:t>None detected</w:t>
            </w:r>
          </w:p>
        </w:tc>
      </w:tr>
    </w:tbl>
    <w:p w14:paraId="3119E9AA" w14:textId="77777777" w:rsidR="004209B1" w:rsidRDefault="004209B1" w:rsidP="004209B1">
      <w:pPr>
        <w:spacing w:before="40" w:after="160"/>
        <w:jc w:val="both"/>
      </w:pPr>
      <w:r>
        <w:rPr>
          <w:sz w:val="16"/>
        </w:rPr>
        <w:t>The dependent variable was log-transformed before regression analysis because of its skewed distribution. Regression assumptions were evaluated using residual histograms, normal P–P plots, residual-versus-predicted scatterplots, variance inflation factors (VIF), and Cook's distance. No substantial violations of model assumptions were identified.</w:t>
      </w:r>
    </w:p>
    <w:p w14:paraId="7FDA6E6A" w14:textId="77777777" w:rsidR="00767E38" w:rsidRDefault="00767E38"/>
    <w:sectPr w:rsidR="00767E38" w:rsidSect="004209B1">
      <w:footerReference w:type="default" r:id="rId4"/>
      <w:pgSz w:w="11906" w:h="16838"/>
      <w:pgMar w:top="1304" w:right="1417" w:bottom="1247" w:left="1417" w:header="680" w:footer="68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5E6EA" w14:textId="77777777" w:rsidR="004209B1" w:rsidRDefault="004209B1">
    <w:pPr>
      <w:pStyle w:val="Footer"/>
      <w:jc w:val="center"/>
    </w:pPr>
    <w:r>
      <w:rPr>
        <w:sz w:val="18"/>
      </w:rPr>
      <w:fldChar w:fldCharType="begin"/>
    </w:r>
    <w:r>
      <w:rPr>
        <w:sz w:val="18"/>
      </w:rPr>
      <w:instrText xml:space="preserve"> PAGE </w:instrText>
    </w:r>
    <w:r>
      <w:rPr>
        <w:sz w:val="18"/>
      </w:rPr>
      <w:fldChar w:fldCharType="separate"/>
    </w:r>
    <w:r>
      <w:rPr>
        <w:noProof/>
        <w:sz w:val="18"/>
      </w:rPr>
      <w:t>1</w:t>
    </w:r>
    <w:r>
      <w:rPr>
        <w:sz w:val="18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09B1"/>
    <w:rsid w:val="004209B1"/>
    <w:rsid w:val="00546A23"/>
    <w:rsid w:val="00767E3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51A99"/>
  <w15:chartTrackingRefBased/>
  <w15:docId w15:val="{827E35BA-EC34-47BD-93D9-3EE8357BE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09B1"/>
    <w:pPr>
      <w:spacing w:after="120" w:line="269" w:lineRule="auto"/>
    </w:pPr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209B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09B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209B1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209B1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209B1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209B1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209B1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209B1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209B1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209B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209B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209B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209B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209B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209B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209B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209B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209B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209B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209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209B1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209B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209B1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 w:val="24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209B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209B1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 w:val="24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209B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209B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 w:val="24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209B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209B1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4209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09B1"/>
    <w:rPr>
      <w:rFonts w:ascii="Times New Roman" w:eastAsiaTheme="minorEastAsia" w:hAnsi="Times New Roman"/>
      <w:kern w:val="0"/>
      <w:sz w:val="22"/>
      <w:szCs w:val="22"/>
      <w:lang w:val="en-US"/>
      <w14:ligatures w14:val="none"/>
    </w:rPr>
  </w:style>
  <w:style w:type="table" w:styleId="TableGrid">
    <w:name w:val="Table Grid"/>
    <w:basedOn w:val="TableNormal"/>
    <w:uiPriority w:val="59"/>
    <w:rsid w:val="004209B1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aption">
    <w:name w:val="Table Caption"/>
    <w:rsid w:val="004209B1"/>
    <w:pPr>
      <w:spacing w:before="160" w:after="60" w:line="276" w:lineRule="auto"/>
    </w:pPr>
    <w:rPr>
      <w:rFonts w:ascii="Times New Roman" w:eastAsiaTheme="minorEastAsia" w:hAnsi="Times New Roman"/>
      <w:b/>
      <w:kern w:val="0"/>
      <w:sz w:val="20"/>
      <w:szCs w:val="22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2026-10-28T11:03:00Z</dcterms:created>
  <dcterms:modified xsi:type="dcterms:W3CDTF">2026-10-28T11:03:00Z</dcterms:modified>
</cp:coreProperties>
</file>