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656C0" w14:textId="77777777" w:rsidR="00905760" w:rsidRDefault="00000000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Supplementary Table S1 Univariate Logistic Regression Analysis of Risk Factors for DKD among Young Overweight/Obese Inpatients with Type 2 Diabetes Mellitus</w:t>
      </w:r>
    </w:p>
    <w:tbl>
      <w:tblPr>
        <w:tblW w:w="4999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2"/>
        <w:gridCol w:w="2386"/>
        <w:gridCol w:w="1006"/>
      </w:tblGrid>
      <w:tr w:rsidR="00905760" w14:paraId="4AFD8375" w14:textId="77777777">
        <w:trPr>
          <w:tblHeader/>
        </w:trPr>
        <w:tc>
          <w:tcPr>
            <w:tcW w:w="2986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F797A8" w14:textId="77777777" w:rsidR="00905760" w:rsidRDefault="00000000">
            <w:pPr>
              <w:widowControl/>
              <w:jc w:val="left"/>
              <w:rPr>
                <w:rFonts w:ascii="Arial" w:hAnsi="Arial" w:cs="Arial"/>
                <w:bCs/>
                <w:color w:val="000000"/>
                <w:sz w:val="15"/>
                <w:szCs w:val="15"/>
              </w:rPr>
            </w:pPr>
            <w:bookmarkStart w:id="0" w:name="OLE_LINK2"/>
            <w:r>
              <w:rPr>
                <w:rFonts w:ascii="Arial" w:eastAsia="宋体" w:hAnsi="Arial" w:cs="Arial"/>
                <w:bCs/>
                <w:color w:val="000000"/>
                <w:kern w:val="0"/>
                <w:sz w:val="15"/>
                <w:szCs w:val="15"/>
                <w:lang w:bidi="ar"/>
              </w:rPr>
              <w:t>Variable</w:t>
            </w:r>
          </w:p>
        </w:tc>
        <w:tc>
          <w:tcPr>
            <w:tcW w:w="1416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010BF5" w14:textId="77777777" w:rsidR="00905760" w:rsidRDefault="00000000">
            <w:pPr>
              <w:widowControl/>
              <w:jc w:val="left"/>
              <w:rPr>
                <w:rFonts w:ascii="Arial" w:hAnsi="Arial" w:cs="Arial"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bCs/>
                <w:color w:val="000000"/>
                <w:kern w:val="0"/>
                <w:sz w:val="15"/>
                <w:szCs w:val="15"/>
                <w:lang w:bidi="ar"/>
              </w:rPr>
              <w:t>OR (95%CI)</w:t>
            </w:r>
          </w:p>
        </w:tc>
        <w:tc>
          <w:tcPr>
            <w:tcW w:w="597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2120D3" w14:textId="77777777" w:rsidR="00905760" w:rsidRDefault="00000000">
            <w:pPr>
              <w:widowControl/>
              <w:jc w:val="left"/>
              <w:rPr>
                <w:rFonts w:ascii="Arial" w:hAnsi="Arial" w:cs="Arial"/>
                <w:bCs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bCs/>
                <w:color w:val="000000"/>
                <w:kern w:val="0"/>
                <w:sz w:val="15"/>
                <w:szCs w:val="15"/>
                <w:lang w:bidi="ar"/>
              </w:rPr>
              <w:t>P value</w:t>
            </w:r>
          </w:p>
        </w:tc>
      </w:tr>
      <w:tr w:rsidR="00905760" w14:paraId="30A021E8" w14:textId="77777777">
        <w:tc>
          <w:tcPr>
            <w:tcW w:w="298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4CDFD9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Demographic characteristics</w:t>
            </w:r>
          </w:p>
        </w:tc>
        <w:tc>
          <w:tcPr>
            <w:tcW w:w="141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E530FB" w14:textId="77777777" w:rsidR="00905760" w:rsidRDefault="00905760">
            <w:pPr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59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6A3D58" w14:textId="77777777" w:rsidR="00905760" w:rsidRDefault="00905760">
            <w:pPr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</w:tr>
      <w:tr w:rsidR="00905760" w14:paraId="6EF8D36F" w14:textId="77777777"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45DB78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Sex (Male vs Female)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67C725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0.945 (0.820–1.087)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3FFA74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0.428</w:t>
            </w:r>
          </w:p>
        </w:tc>
      </w:tr>
      <w:tr w:rsidR="00905760" w14:paraId="01FC170A" w14:textId="77777777"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DA6A6A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Age (years)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1D93B7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1.001 (0.994–1.007)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790C2D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0.859</w:t>
            </w:r>
          </w:p>
        </w:tc>
      </w:tr>
      <w:tr w:rsidR="00905760" w14:paraId="652EA7F1" w14:textId="77777777"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5FF116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Educational level (Low vs Higher)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812F6C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2.049 (1.777–2.363)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719BD8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&lt;0.001</w:t>
            </w:r>
          </w:p>
        </w:tc>
      </w:tr>
      <w:tr w:rsidR="00905760" w14:paraId="683F42E4" w14:textId="77777777"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4D63A2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Anthropometric indices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A3ED51" w14:textId="77777777" w:rsidR="00905760" w:rsidRDefault="00905760">
            <w:pPr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68389F" w14:textId="77777777" w:rsidR="00905760" w:rsidRDefault="00905760">
            <w:pPr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</w:tr>
      <w:tr w:rsidR="00905760" w14:paraId="467A8BA7" w14:textId="77777777"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5DCAF5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BMI classification (Obesity vs Overweight)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43F260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6.479 (5.548–7.566)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4D317F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&lt;0.001</w:t>
            </w:r>
          </w:p>
        </w:tc>
      </w:tr>
      <w:tr w:rsidR="00905760" w14:paraId="14E5C2EB" w14:textId="77777777"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A01229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Diabetes duration (years)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4FA641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0.994 (0.964–1.026)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39A238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0.723</w:t>
            </w:r>
          </w:p>
        </w:tc>
      </w:tr>
      <w:tr w:rsidR="00905760" w14:paraId="68BC78E7" w14:textId="77777777"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809CA8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Glycemic metabolic indicators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B39DD2" w14:textId="77777777" w:rsidR="00905760" w:rsidRDefault="00905760">
            <w:pPr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4B1703" w14:textId="77777777" w:rsidR="00905760" w:rsidRDefault="00905760">
            <w:pPr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</w:tr>
      <w:tr w:rsidR="00905760" w14:paraId="28C70E4A" w14:textId="77777777"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FBA73C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Glycated hemoglobin (%)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B8ED1E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0.984 (0.954–1.016)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7AE90A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0.321</w:t>
            </w:r>
          </w:p>
        </w:tc>
      </w:tr>
      <w:tr w:rsidR="00905760" w14:paraId="56C7917F" w14:textId="77777777"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00B5E2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Mean blood glucose (mmol/L)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8C3C51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1.124 (1.071–1.179)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CFB44A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&lt;0.001</w:t>
            </w:r>
          </w:p>
        </w:tc>
      </w:tr>
      <w:tr w:rsidR="00905760" w14:paraId="037132AD" w14:textId="77777777"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94BAC6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Coefficient of glycemic variability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76B829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2.943 (1.329–6.516)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29FE70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0.008</w:t>
            </w:r>
          </w:p>
        </w:tc>
      </w:tr>
      <w:tr w:rsidR="00905760" w14:paraId="361CD225" w14:textId="77777777"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2C75EA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Laboratory blood glucose (mmol/L)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8A866D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1.023 (1.004–1.042)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D2AE7D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0.019</w:t>
            </w:r>
          </w:p>
        </w:tc>
      </w:tr>
      <w:tr w:rsidR="00905760" w14:paraId="180F3D66" w14:textId="77777777"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4F5464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Count of blood glucose &gt;20 mmol/L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ABE41B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1.058 (1.021–1.096)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57CFFA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0.002</w:t>
            </w:r>
          </w:p>
        </w:tc>
      </w:tr>
      <w:tr w:rsidR="00905760" w14:paraId="13C09A19" w14:textId="77777777"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874264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Count of blood glucose &lt;3.9 mmol/L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8375F8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1.052 (1.001–1.107)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4251A3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0.046</w:t>
            </w:r>
          </w:p>
        </w:tc>
      </w:tr>
      <w:tr w:rsidR="00905760" w14:paraId="4068D6DE" w14:textId="77777777"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89AD2E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Insulin resistance markers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3019F4" w14:textId="77777777" w:rsidR="00905760" w:rsidRDefault="00905760">
            <w:pPr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E2FA89" w14:textId="77777777" w:rsidR="00905760" w:rsidRDefault="00905760">
            <w:pPr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</w:tr>
      <w:tr w:rsidR="00905760" w14:paraId="73FA2C52" w14:textId="77777777"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2A50BE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HOMA-IR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670CAA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0.999 (0.993–1.006)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611002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0.858</w:t>
            </w:r>
          </w:p>
        </w:tc>
      </w:tr>
      <w:tr w:rsidR="00905760" w14:paraId="643B4887" w14:textId="77777777"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1CF273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Fasting insulin (μU/mL)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13F576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1.000 (0.994–1.007)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1802C7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0.979</w:t>
            </w:r>
          </w:p>
        </w:tc>
      </w:tr>
      <w:tr w:rsidR="00905760" w14:paraId="255E3E7A" w14:textId="77777777"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4C3589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Fasting C-peptide (ng/mL)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18C9EB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1.004 (0.962–1.049)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80E8F8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0.839</w:t>
            </w:r>
          </w:p>
        </w:tc>
      </w:tr>
      <w:tr w:rsidR="00905760" w14:paraId="671D6DED" w14:textId="77777777"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A6BB3B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Blood pressure indicators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B04473" w14:textId="77777777" w:rsidR="00905760" w:rsidRDefault="00905760">
            <w:pPr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A8A682" w14:textId="77777777" w:rsidR="00905760" w:rsidRDefault="00905760">
            <w:pPr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</w:tr>
      <w:tr w:rsidR="00905760" w14:paraId="56E403C3" w14:textId="77777777"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0FA278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Systolic blood pressure (mmHg)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01C697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1.037 (1.031–1.042)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882524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&lt;0.001</w:t>
            </w:r>
          </w:p>
        </w:tc>
      </w:tr>
      <w:tr w:rsidR="00905760" w14:paraId="11DC7BC8" w14:textId="77777777"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C889DD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Diastolic blood pressure (mmHg)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FDB5B2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1.000 (0.991–1.010)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898435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0.931</w:t>
            </w:r>
          </w:p>
        </w:tc>
      </w:tr>
      <w:tr w:rsidR="00905760" w14:paraId="6829DCC7" w14:textId="77777777"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939E2F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Pulse rate (times/min)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0A4DAA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1.019 (1.007–1.030)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1547F5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0.001</w:t>
            </w:r>
          </w:p>
        </w:tc>
      </w:tr>
      <w:tr w:rsidR="00905760" w14:paraId="1679694D" w14:textId="77777777"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FB30D6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Treatment regimens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3C5A13" w14:textId="77777777" w:rsidR="00905760" w:rsidRDefault="00905760">
            <w:pPr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0B386A" w14:textId="77777777" w:rsidR="00905760" w:rsidRDefault="00905760">
            <w:pPr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</w:tr>
      <w:tr w:rsidR="00905760" w14:paraId="1788E3A6" w14:textId="77777777"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F9031F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Antihypertensive medication use (Yes vs No)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6AC35A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2.800 (2.423–3.237)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88D351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&lt;0.001</w:t>
            </w:r>
          </w:p>
        </w:tc>
      </w:tr>
      <w:tr w:rsidR="00905760" w14:paraId="26D93CAE" w14:textId="77777777"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E05A4D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Lipid metabolic indicators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B4C938" w14:textId="77777777" w:rsidR="00905760" w:rsidRDefault="00905760">
            <w:pPr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546DCA" w14:textId="77777777" w:rsidR="00905760" w:rsidRDefault="00905760">
            <w:pPr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</w:tr>
      <w:tr w:rsidR="00905760" w14:paraId="512BE78C" w14:textId="77777777"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A54360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Total cholesterol (mmol/L)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F5733C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1.115 (1.055–1.178)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DAA9CC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&lt;0.001</w:t>
            </w:r>
          </w:p>
        </w:tc>
      </w:tr>
      <w:tr w:rsidR="00905760" w14:paraId="39AD9C94" w14:textId="77777777"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627A00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Triglycerides (mmol/L)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5F4EAF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1.035 (0.996–1.075)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F196E5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0.082</w:t>
            </w:r>
          </w:p>
        </w:tc>
      </w:tr>
      <w:tr w:rsidR="00905760" w14:paraId="633EB96C" w14:textId="77777777">
        <w:tc>
          <w:tcPr>
            <w:tcW w:w="29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7D1DCA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High-density lipoprotein cholesterol (mmol/L)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88F573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1.422 (1.130–1.789)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5924C0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0.003</w:t>
            </w:r>
          </w:p>
        </w:tc>
      </w:tr>
      <w:tr w:rsidR="00905760" w14:paraId="5D519E49" w14:textId="77777777">
        <w:tc>
          <w:tcPr>
            <w:tcW w:w="298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B9895E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Low-density lipoprotein cholesterol (mmol/L)</w:t>
            </w:r>
          </w:p>
        </w:tc>
        <w:tc>
          <w:tcPr>
            <w:tcW w:w="141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D24F58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1.031 (0.956–1.111)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9B7AD2" w14:textId="77777777" w:rsidR="00905760" w:rsidRDefault="00000000">
            <w:pPr>
              <w:widowControl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  <w:lang w:bidi="ar"/>
              </w:rPr>
              <w:t>0.428</w:t>
            </w:r>
          </w:p>
        </w:tc>
      </w:tr>
      <w:bookmarkEnd w:id="0"/>
    </w:tbl>
    <w:p w14:paraId="501FA4F3" w14:textId="77777777" w:rsidR="00905760" w:rsidRDefault="00905760"/>
    <w:p w14:paraId="5000D778" w14:textId="77777777" w:rsidR="00905760" w:rsidRDefault="00000000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Note for Supplementary Table S1</w:t>
      </w:r>
    </w:p>
    <w:p w14:paraId="37AA184C" w14:textId="77777777" w:rsidR="00905760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Dependent variable coding: DKD = 1, non-DKD = 0.</w:t>
      </w:r>
    </w:p>
    <w:p w14:paraId="6F7D2B37" w14:textId="77777777" w:rsidR="00905760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Categorical independent variable coding: sex (male = 1, female = 0); educational level (middle school or below = 1, high school/college/bachelor’s degree = 0); BMI classification (obesity = 1, overweight = 0); antihypertensive medication use (yes = 1, no = 0). Continuous variables were imported into univariate models as raw measured values. Variables with </w:t>
      </w:r>
      <w:r w:rsidRPr="009D15FE"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 xml:space="preserve"> &lt; 0.05 in univariate analysis were included in the multivariate logistic regression model.</w:t>
      </w:r>
    </w:p>
    <w:sectPr w:rsidR="009057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ED045" w14:textId="77777777" w:rsidR="00A05519" w:rsidRDefault="00A05519" w:rsidP="009D15FE">
      <w:r>
        <w:separator/>
      </w:r>
    </w:p>
  </w:endnote>
  <w:endnote w:type="continuationSeparator" w:id="0">
    <w:p w14:paraId="23B2C93B" w14:textId="77777777" w:rsidR="00A05519" w:rsidRDefault="00A05519" w:rsidP="009D1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B805F" w14:textId="77777777" w:rsidR="00A05519" w:rsidRDefault="00A05519" w:rsidP="009D15FE">
      <w:r>
        <w:separator/>
      </w:r>
    </w:p>
  </w:footnote>
  <w:footnote w:type="continuationSeparator" w:id="0">
    <w:p w14:paraId="75045C97" w14:textId="77777777" w:rsidR="00A05519" w:rsidRDefault="00A05519" w:rsidP="009D15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60D0C7E"/>
    <w:rsid w:val="00106FD1"/>
    <w:rsid w:val="00905760"/>
    <w:rsid w:val="009D15FE"/>
    <w:rsid w:val="00A05519"/>
    <w:rsid w:val="00D105CF"/>
    <w:rsid w:val="0BEF4520"/>
    <w:rsid w:val="160D0C7E"/>
    <w:rsid w:val="517B655A"/>
    <w:rsid w:val="785B1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A3E1EEF9-614D-49AD-B4CD-6D92A2894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D15F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9D15F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9D15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9D15F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695</Words>
  <Characters>1481</Characters>
  <Application>Microsoft Office Word</Application>
  <DocSecurity>0</DocSecurity>
  <Lines>70</Lines>
  <Paragraphs>54</Paragraphs>
  <ScaleCrop>false</ScaleCrop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杨慢莉</dc:creator>
  <cp:lastModifiedBy>女士 真佛了杨</cp:lastModifiedBy>
  <cp:revision>2</cp:revision>
  <dcterms:created xsi:type="dcterms:W3CDTF">2026-07-19T06:24:00Z</dcterms:created>
  <dcterms:modified xsi:type="dcterms:W3CDTF">2026-09-14T08:04:00Z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9077754D5BA748B5B24311DEE0F0E905_11</vt:lpwstr>
  </property>
  <property fmtid="{D5CDD505-2E9C-101B-9397-08002B2CF9AE}" pid="4" name="KSOTemplateDocerSaveRecord">
    <vt:lpwstr>eyJoZGlkIjoiM2MwZGRmZmY4YTUzYTJiYmQ0MTM2NWIxNDY1ODgyYzQiLCJ1c2VySWQiOiI4ODY5MzIzMjQifQ==</vt:lpwstr>
  </property>
</Properties>
</file>