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Supplementary legends for the ABIS infection and microbiome secondary analysis</w:t>
      </w:r>
    </w:p>
    <w:p>
      <w:pPr>
        <w:pStyle w:val="Heading2"/>
      </w:pPr>
      <w:r>
        <w:t>Supplementary figures</w:t>
      </w:r>
    </w:p>
    <w:p>
      <w:r>
        <w:t>Preparation of the graphical elements in this file. Selected graphical elements of Supplementary Figures S1-S4 were prepared with the assistance of a generative artificial intelligence tool (DeepSeek), used under human supervision after the statistical analyses had been completed. The tool took no part in defining the analysis variables, in fitting the models or in producing the numerical results: every value shown in these figures is the study's own statistical result, generated from the frozen analysis outputs by plotting code that the authors reviewed and verified, and no data point, curve, error bar or statistical value was created or altered by artificial intelligence. The specific elements for which the tool was used, the prompts and the model version are not recorded in the study archive, and the authors therefore do not claim a more detailed attribution than this. All AI-assisted content was reviewed and verified by the authors, who take responsibility for the content of these supplementary materials.</w:t>
      </w:r>
    </w:p>
    <w:p>
      <w:r>
        <w:rPr>
          <w:b/>
        </w:rPr>
        <w:t>Figure S1. Associations of the three primary bacterial features across sequentially adjusted models (M0-M3).</w:t>
      </w:r>
    </w:p>
    <w:p>
      <w:r>
        <w:t>Trend coefficients (beta, points) with 95% confidence intervals (error bars) for the three features that reached Benjamini-Hochberg FDR q &lt; 0.05 in the Model 3 primary analysis, shown across Models 0-3. Covariates are added cumulatively as defined for Models 0-3.</w:t>
      </w:r>
    </w:p>
    <w:p>
      <w:r>
        <w:t>Complete-case sample sizes differ because of covariate missingness: M0 n = 1,339; M1 n = 1,282; M2 n = 1,123; M3 n = 1,023. Changes in beta between models may therefore reflect both covariate adjustment and the change in the analysed sample; the four models are not four independent validations.</w:t>
      </w:r>
    </w:p>
    <w:p>
      <w:r>
        <w:t>All three features reach FDR q &lt; 0.05 at every model (family = 230 features per model; q values are family-specific and are not directly comparable across models). The magnitude of beta does not decrease uniformly across models, so the panel must not be described as a uniform attenuation of effect.</w:t>
      </w:r>
    </w:p>
    <w:p>
      <w:r>
        <w:rPr>
          <w:b/>
        </w:rPr>
        <w:t>Figure S2. Complete-case versus multiple-imputation trend estimates (Model 3, all 230 bacterial features).</w:t>
      </w:r>
    </w:p>
    <w:p>
      <w:r>
        <w:t>Scatter plot of the complete-case trend coefficient (x-axis) versus the multiple-imputation trend coefficient (y-axis) for all 230 bacterial features. The dashed line is the identity line (beta_MI = beta_CC). Both analyses use the same pre-specified Model 3 covariate set. Imputation used 20 imputations of Model 3 covariates only; the exposure and the microbiome outcomes were never imputed, and estimates were pooled by Rubin's rules.</w:t>
      </w:r>
    </w:p>
    <w:p>
      <w:r>
        <w:t>Each feature is assigned to exactly one of four mutually exclusive display categories: Level 1 (n = 3) complete-case FDR-positive with MI in the same direction (core result); Level 2 (n = 21) not FDR-positive in the complete-case analysis but FDR-positive under MI (exploratory sensitivity only); Level 3 (n = 179) not FDR-positive in either analysis with a consistent direction (no clear association can be claimed); Level 4 (n = 27) complete-case and MI estimates differ in sign (unstable). The four labels are a presentation classification only and are not an additional statistical score or a re-defined biological evidence grade.</w:t>
      </w:r>
    </w:p>
    <w:p>
      <w:r>
        <w:t>The 21 MI-only features (Level 2) are exploratory supplementary findings only and must not be promoted to main findings. MI is a sensitivity analysis and depends on the missing-at-random assumption, on the imputation model and on the imputed-variable choice. A direction difference in Level 4 does not by itself prove true effect heterogeneity.</w:t>
      </w:r>
    </w:p>
    <w:p>
      <w:r>
        <w:rPr>
          <w:b/>
        </w:rPr>
        <w:t>Figure S3. Detection-rate distribution of the 230 public bacterial features.</w:t>
      </w:r>
    </w:p>
    <w:p>
      <w:r>
        <w:t>Histogram of the detection rate of each of the 230 public bacterial features. Detection rate is defined as the proportion of microbiome-available participants with a non-zero (positive) value for that feature; the denominator is the 1,728 participants with usable microbiome data, not the 1,877 participants in the raw public dataset and not the Model 3 complete-case sample of 1,023.</w:t>
      </w:r>
    </w:p>
    <w:p>
      <w:r>
        <w:t>The dashed vertical line marks 10%. This 10% threshold was used only for the pre-specified prevalence-restricted sensitivity analysis (Supplementary Table S5, 'prevalence10'), in which the FDR family was restricted to the 158 features detected in at least 10% of the Model 0 eligible sample (n = 1,339); the histogram itself uses the 1,728 microbiome-available participants as its denominator. It was not applied to the Model 3 primary analysis, whose FDR family remains all 230 features.</w:t>
      </w:r>
    </w:p>
    <w:p>
      <w:r>
        <w:t>The 230-feature public set is already a filtered feature set (all 230 features are detected in at least about 5% of samples); the figure describes detection rates within that released set.</w:t>
      </w:r>
    </w:p>
    <w:p>
      <w:r>
        <w:rPr>
          <w:b/>
        </w:rPr>
        <w:t>Figure S4. Presence/absence detection models (Model 3) for the three primary bacterial features.</w:t>
      </w:r>
    </w:p>
    <w:p>
      <w:r>
        <w:t>Odds ratios (points) with Wald 95% confidence intervals (error bars) for bacterial-feature detection (bac_public &gt; 0) per one-step increase in the ordinal penicillin-treated infection-burden exposure (0 = 0 episodes, 1 = 1-2 episodes, 2 = &gt;=3 episodes). The analysis is the Model 3 complete-case sample, n = 1,023, adjusted for the Model 3 covariates.</w:t>
      </w:r>
    </w:p>
    <w:p>
      <w:r>
        <w:t>The independent column on the right gives the Benjamini-Hochberg FDR q value for each feature within the pre-specified detection-model family of 230 features (a separate family from the primary continuous-outcome trend model). Coprococcus eutactus (OR 0.38, 95% CI 0.22-0.67; q = 0.0399) and Saccharimonadia unknown Species 103 (OR 0.58, 95% CI 0.46-0.72; q = 0.0005) are FDR-positive in the detection model. Intestinimonas unknown Species 284 (OR 0.62, 95% CI 0.43-0.88; q = 0.2092) is NOT FDR-positive in the detection model. All three features remain FDR-positive in the primary continuous-outcome trend model.</w:t>
      </w:r>
    </w:p>
    <w:p>
      <w:r>
        <w:t>An odds ratio below 1 indicates lower odds of detection per one-step increase in infection burden. It must not be interpreted as a percentage decrease in detection probability.</w:t>
      </w:r>
    </w:p>
    <w:p>
      <w:r>
        <w:t>Model fitting returned status 'ok' for all 920 detection models. For two very-high-prevalence features ([Ruminococcus] gnavus group sp.4 and Streptococcus sp.7) the fitting routine reported 'fitted probabilities numerically 0 or 1' at Models 2 and 3; these warnings relate to near-complete detection and do not affect the three primary features, none of which produced a warning.</w:t>
      </w:r>
    </w:p>
    <w:p>
      <w:pPr>
        <w:pStyle w:val="Heading2"/>
      </w:pPr>
      <w:r>
        <w:t>Supplementary tables</w:t>
      </w:r>
    </w:p>
    <w:p>
      <w:r>
        <w:rPr>
          <w:b/>
        </w:rPr>
        <w:t>Supplementary Table S1. Full results for all 230 bacterial features (M0-M3, trend and 3-category contrasts).</w:t>
      </w:r>
    </w:p>
    <w:p>
      <w:r>
        <w:t>Includes all null results. Columns: model, taxon, effect, fdr_family, fdr_role, n, beta, se, ci_low, ci_high, p, q_fdr, status. q_fdr is computed within each (model x effect) family of 230 features. The .csv data sheet contains the complete frozen primary results for all 230 bacterial features; no value shown in the main text or in the main tables was recomputed for this supplementary file.</w:t>
      </w:r>
    </w:p>
    <w:p>
      <w:r>
        <w:rPr>
          <w:b/>
        </w:rPr>
        <w:t>Supplementary Table S2. Model diagnostics for the primary continuous-outcome (trend) models.</w:t>
      </w:r>
    </w:p>
    <w:p>
      <w:r>
        <w:t>These diagnostics apply to the linear (ordinary least squares) trend models of the continuous outcome bac_public fitted at M0-M3 for each of the 230 features. They do NOT describe the logistic presence/absence detection models, which are reported separately in Supplementary Table S4.</w:t>
      </w:r>
    </w:p>
    <w:p>
      <w:r>
        <w:t>Shapiro-Wilk and Breusch-Pagan p values refer to model residuals; HC3 robust standard errors were used for inference. max_vif is the maximum variance inflation factor and vif_exposure is the VIF of penicillin_trend. max_cooks_d and n_cooks_gt_4_over_n summarise influence; no observation was removed from any reported analysis.</w:t>
      </w:r>
    </w:p>
    <w:p>
      <w:r>
        <w:rPr>
          <w:b/>
        </w:rPr>
        <w:t>Supplementary Table S3. Sequentially adjusted models (M0-M3) for every feature reaching BH-FDR q &lt; 0.05 in at least one model.</w:t>
      </w:r>
    </w:p>
    <w:p>
      <w:r>
        <w:t>Signal taxa are defined programmatically as the 19 features whose trend coefficient reached BH-FDR q &lt; 0.05 in AT LEAST ONE of Models 0-3 (selection rule: unique(taxon) where q_fdr &lt; 0.05 across the pooled M0-M3 trend results). All four model rows are shown for each feature, giving 76 rows. Because a feature may be FDR-positive in one model and not in another, 36 of the 76 rows have q &gt;= 0.05; those rows are retained for transparency and are not FDR-positive.</w:t>
      </w:r>
    </w:p>
    <w:p>
      <w:r>
        <w:rPr>
          <w:b/>
        </w:rPr>
        <w:t>Supplementary Table S4. Presence/absence logistic regression for all 230 features (M0-M3).</w:t>
      </w:r>
    </w:p>
    <w:p>
      <w:r>
        <w:t>Y = detection (bac_public &gt; 0); X = penicillin_trend (ordinal 0/1/2). Odds ratios are per one-step increase with Wald 95% confidence intervals; raw P and BH-FDR q are given within each model x effect family of 230 features.</w:t>
      </w:r>
    </w:p>
    <w:p>
      <w:r>
        <w:t>At Model 3, 5 features reach q &lt; 0.05 in the detection family. For the three primary features: Coprococcus eutactus OR 0.38 (0.22-0.67), q = 0.0399 (FDR-positive); Saccharimonadia unknown Species 103 OR 0.58 (0.46-0.72), q = 0.0005 (FDR-positive); Intestinimonas unknown Species 284 OR 0.62 (0.43-0.88), q = 0.2092 (NOT FDR-positive in the detection model). This does not change their FDR-positive status in the primary trend model.</w:t>
      </w:r>
    </w:p>
    <w:p>
      <w:r>
        <w:t>All 920 detection models returned status 'ok'. For two very-high-prevalence features ([Ruminococcus] gnavus group sp.4 and Streptococcus sp.7) the fitting routine reported 'fitted probabilities numerically 0 or 1' at Models 2 and 3; none of the three primary features produced a warning.</w:t>
      </w:r>
    </w:p>
    <w:p>
      <w:r>
        <w:rPr>
          <w:b/>
        </w:rPr>
        <w:t>Supplementary Table S5. All pre-specified sensitivity analyses for all 230 features.</w:t>
      </w:r>
    </w:p>
    <w:p>
      <w:r>
        <w:t>Each analysis is listed with its exposure coding, outcome scale, model type, sample and FDR family: S1_any_vs_0 (0 vs &gt;=1; bac_public; OLS HC3; family 230); S2_ge3_vs_lt3 (&lt;3 vs &gt;=3; bac_public; OLS HC3; family 230); S6_inverse_normal (rank inverse-normal; OLS HC3; family 230); depth_adjusted (log reconstructed library size added to each of the Model 0 to Model 3 covariate sets; family 230 per model); reconstructed_CLR (centred log-ratio of candidate reconstructed counts, zeros -&gt; 0.5; family 230); reconstructed_NB (negative-binomial GLM; family 230); prevalence10 (restricted to the 158 features detected in &gt;=10% of the Model 0 eligible sample, n = 1,339; family 158 per model).</w:t>
      </w:r>
    </w:p>
    <w:p>
      <w:r>
        <w:t>Beta values are on different scales across these analyses and must NOT be compared by absolute magnitude. Candidate reconstructed counts are not the original raw sequencing counts; no DESeq2 analysis was performed. None of these analyses replaces the primary Model 3 complete-case trend analysis.</w:t>
      </w:r>
    </w:p>
    <w:p>
      <w:r>
        <w:rPr>
          <w:b/>
        </w:rPr>
        <w:t>Supplementary Table S6a. Complete-case versus multiple-imputation comparison (Model 3) with mutually exclusive display classification.</w:t>
      </w:r>
    </w:p>
    <w:p>
      <w:r>
        <w:t>All 230 features; the complete-case (CC) and multiple-imputation (MI) beta, SE, raw P and BH-FDR q are unchanged from the frozen results. display_classification is a mutually exclusive presentation category (Level 1 = 3; Level 2 = 21; Level 3 = 179; Level 4 = 27) and is NOT a statistical score or a biological evidence grade. MI used 20 imputations of Model 3 covariates only, pooled by Rubin's rules; the complete-case analysis remains the primary analysis.</w:t>
      </w:r>
    </w:p>
    <w:p>
      <w:r>
        <w:rPr>
          <w:b/>
        </w:rPr>
        <w:t>Supplementary Table S6b. MI-only features (Level 2 exploratory sensitivity findings; not main findings).</w:t>
      </w:r>
    </w:p>
    <w:p>
      <w:r>
        <w:t>The 21 features that reach BH-FDR q &lt; 0.05 under multiple imputation but not in the complete-case primary analysis (selection: complete-case q &gt;= 0.05 AND MI q &lt; 0.05). Every feature is Level 2 - MI-only exploratory sensitivity finding; the previous 'Level 2/4' label has been removed. The designation column indicates the display position of each feature in the supplementary materials and is not an evidence class. The 21 features and their estimates are unchanged; MI results depend on the MAR assumption, the imputation model and the imputed-variable choice and must not be promoted to main findings.</w:t>
      </w:r>
    </w:p>
    <w:p>
      <w:r>
        <w:rPr>
          <w:b/>
        </w:rPr>
        <w:t>Supplementary Table S7. Missing-data report for all variables (full public-dataset denominator, n = 1,877).</w:t>
      </w:r>
    </w:p>
    <w:p>
      <w:r>
        <w:t>All percentages use the full public dataset of 1,877 participants as the denominator (total_n = 1,877 for every variable). They describe missingness in the raw public data and must NOT be presented as missingness within the Model 0 sample (n = 1,339) or the Model 3 complete-case sample (n = 1,023). The 230 bacterial features are non-missing in 1,728 of 1,877 participants (7.94%); this 1,728 is the denominator used in Figure S3. The Model 3 sample of 1,023 is obtained by successive exclusion (see main-text Figure 1).</w:t>
      </w:r>
    </w:p>
    <w:p>
      <w:r>
        <w:rPr>
          <w:b/>
        </w:rPr>
        <w:t>Supplementary Table S8. Taxonomy audit of the 230 public bacterial features.</w:t>
      </w:r>
    </w:p>
    <w:p>
      <w:r>
        <w:t>Taxonomy is taken from the public ABIS processed feature labels. Higher ranks are marked 'NOT AVAILABLE FROM PUBLIC CSV'. Unidentified species are retained exactly as released and are NOT renamed to formally confirmed species such as Intestinimonas butyriciproducens. Lineage grouping (for example the Saccharibacteria/TM7 group) is a possible/putative grouping inferred from feature labels, reported for context only; shared lineage is not evidence of a validated, coordinated biological effect. Unique taxon IDs match main-text Tables 2-5 and Figures 2-3 and Supplementary Tables S1, S4 and S6a.</w:t>
      </w:r>
    </w:p>
    <w:p>
      <w:r>
        <w:rPr>
          <w:b/>
        </w:rPr>
        <w:t>Supplementary Table S9. Model formula registry and analysis parameters.</w:t>
      </w:r>
    </w:p>
    <w:p>
      <w:r>
        <w:t>Estimator: ordinary least squares with HC3 heteroskedasticity-robust standard errors; Benjamini-Hochberg FDR applied over 230 features per family. Outcome: bac_public used directly as released, with no further transformation.</w:t>
      </w:r>
    </w:p>
    <w:p>
      <w:r>
        <w:rPr>
          <w:b/>
        </w:rPr>
        <w:t>Supplementary Table S10. Model 3 infection coding: ordinal burden score (primary, coded 0/1/2) versus any/none sensitivity (all 230 features).</w:t>
      </w:r>
    </w:p>
    <w:p>
      <w:r>
        <w:t>The primary ordinal coding of the exposure is 0, 1 and 2, corresponding to 0, 1-2 and 3 or more parent-reported episodes of infection treated with penicillin during the first year (penicillin_trend = 0/1/2); never-versus-1-or-more ("any/none") is a pre-specified sensitivity coding. The ordinal 0-3 burden scores apply only to the three general-infection covariates (common cold, gastroenteritis and influenza) and must not be confused with the primary exposure, which is coded 0/1/2. This table reports the actual pre-specified results and is not a new independent validation. Under the primary ordinal coding, 3 features reach q &lt; 0.05 at Model 3; under any/none, 2 reach q &lt; 0.05 (Intestinimonas unknown Species 284 has q = 0.0696). Directional agreement is observed for 222 of 230 features.</w:t>
      </w:r>
    </w:p>
    <w:p>
      <w:r>
        <w:rPr>
          <w:b/>
        </w:rPr>
        <w:t>Supplementary Table S11. Influence diagnostics for all 230 features (Model 3 trend).</w:t>
      </w:r>
    </w:p>
    <w:p>
      <w:r>
        <w:t>Influence diagnostics for the Model 3 linear trend model of bac_public (230 features, n = 1,023). max_cooks_d = maximum Cook's distance; n_cooks_gt_4_over_n = number of observations with Cook's D &gt; 4/n; max_abs_dfbeta_exposure = maximum absolute dfbeta for penicillin_trend. No observation was removed and no model was re-fitted. Passing these influence checks does not establish causal stability of an observational association.</w:t>
      </w:r>
    </w:p>
    <w:p>
      <w:pPr>
        <w:pStyle w:val="Heading2"/>
      </w:pPr>
      <w:r>
        <w:t>Relocated analytical column-code definitions (Table 5 of the main manuscript)</w:t>
      </w:r>
    </w:p>
    <w:p>
      <w:r>
        <w:rPr>
          <w:b w:val="0"/>
        </w:rPr>
        <w:t>'Model' indicates the estimator: OLS-HC3 denotes per-feature ordinary least squares with HC3 heteroskedasticity-robust standard errors, 'Neg. binomial' denotes a negative-binomial generalised linear model, and 'MI pooling' denotes Rubin's-rules pooling of 20 multiple imputations. 'Exposure coding' indicates the exposure parameterisation: 'trend 0/1/2' is the primary ordinal penicillin-treated infection-burden score (0, 1-2 and 3 or more episodes), whereas 'binary 0 vs &gt;=1' and 'binary &lt;3 vs &gt;=3' are the two pre-specified binary contrasts. Only S1 and S2 use a binary exposure contrast; all other analyses use the ordinal trend coding 0/1/2. 'Outcome scale' indicates the outcome analysed: 'bac_public' is the public processed bacterial-feature value used directly as released, 'bac_public + depth' adds log reconstructed library size, 'inverse-normal score' is the rank inverse-normal transform of the outcome, 'CLR (reconstructed)' is the centred log-ratio of candidate reconstructed counts, and 'recon. counts' are those reconstructed counts. Candidate reconstructed counts are not the original raw sequencing counts, and beta values on different outcome scales must not be compared.</w:t>
      </w:r>
    </w:p>
    <w:p>
      <w:r>
        <w:t>P values &lt; 0.001 are shown as "&lt;0.001"; FDR q values &lt; 0.0001 as "&lt;0.0001" (no value is rounded to zero).</w:t>
      </w:r>
    </w:p>
    <w:p>
      <w:r>
        <w:rPr>
          <w:b w:val="0"/>
        </w:rPr>
        <w:t>Use of artificial intelligence. Artificial intelligence tools (DeepSeek) were used, under human supervision, to assist with manuscript drafting, with translation from Chinese into English, and with English language editing and polishing. Generative artificial intelligence was also used to assist with selected graphical elements in the supplementary materials. The scientific data presented in the figures were derived from the study's statistical analyses and were not created or altered by artificial intelligence. The AI tools did not select the analysis variables, did not execute the statistical analyses and did not generate any of the numerical results reported. All AI-assisted content was reviewed and verified by the authors, who take full responsibility for the final manuscript.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