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2"/>
        <w:tblpPr w:leftFromText="180" w:rightFromText="180" w:vertAnchor="text" w:horzAnchor="page" w:tblpX="1774" w:tblpY="-5258"/>
        <w:tblOverlap w:val="never"/>
        <w:tblW w:w="9024" w:type="dxa"/>
        <w:tblInd w:w="0" w:type="dxa"/>
        <w:tblBorders>
          <w:top w:val="single" w:color="auto" w:sz="4" w:space="0"/>
          <w:left w:val="none" w:color="auto" w:sz="0" w:space="0"/>
          <w:bottom w:val="single" w:color="auto" w:sz="4" w:space="0"/>
          <w:right w:val="none" w:color="auto" w:sz="0" w:space="0"/>
          <w:insideH w:val="single" w:color="auto" w:sz="4" w:space="0"/>
          <w:insideV w:val="none" w:color="auto" w:sz="0" w:space="0"/>
        </w:tblBorders>
        <w:shd w:val="clear" w:color="auto" w:fill="FFFFFF"/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1841"/>
        <w:gridCol w:w="7183"/>
      </w:tblGrid>
      <w:tr w14:paraId="0F131A8A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single" w:color="auto" w:sz="4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Header/>
        </w:trPr>
        <w:tc>
          <w:tcPr>
            <w:tcW w:w="0" w:type="auto"/>
            <w:tcBorders>
              <w:tl2br w:val="nil"/>
              <w:tr2bl w:val="nil"/>
            </w:tcBorders>
            <w:shd w:val="clear" w:color="auto" w:fill="FFFFFF"/>
            <w:tcMar>
              <w:top w:w="120" w:type="dxa"/>
              <w:left w:w="0" w:type="dxa"/>
              <w:bottom w:w="120" w:type="dxa"/>
              <w:right w:w="192" w:type="dxa"/>
            </w:tcMar>
            <w:vAlign w:val="center"/>
          </w:tcPr>
          <w:p w14:paraId="7BF35FB3">
            <w:pPr>
              <w:keepNext w:val="0"/>
              <w:keepLines w:val="0"/>
              <w:widowControl/>
              <w:suppressLineNumbers w:val="0"/>
              <w:spacing w:line="300" w:lineRule="atLeast"/>
              <w:jc w:val="left"/>
              <w:rPr>
                <w:rFonts w:hint="default" w:eastAsia="Segoe UI" w:cs="Segoe UI" w:asciiTheme="minorAscii" w:hAnsiTheme="minorAscii"/>
                <w:i w:val="0"/>
                <w:iCs w:val="0"/>
                <w:caps w:val="0"/>
                <w:color w:val="0F1115"/>
                <w:spacing w:val="0"/>
                <w:sz w:val="21"/>
                <w:szCs w:val="21"/>
              </w:rPr>
            </w:pPr>
            <w:r>
              <w:rPr>
                <w:rFonts w:hint="default" w:asciiTheme="minorAscii" w:hAnsiTheme="minorAscii"/>
                <w:sz w:val="21"/>
                <w:szCs w:val="21"/>
              </w:rPr>
              <w:t>Timeline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FFFFFF"/>
            <w:tcMar>
              <w:top w:w="120" w:type="dxa"/>
              <w:left w:w="192" w:type="dxa"/>
              <w:bottom w:w="120" w:type="dxa"/>
              <w:right w:w="192" w:type="dxa"/>
            </w:tcMar>
            <w:vAlign w:val="center"/>
          </w:tcPr>
          <w:p w14:paraId="569CFF7C">
            <w:pPr>
              <w:keepNext w:val="0"/>
              <w:keepLines w:val="0"/>
              <w:widowControl/>
              <w:suppressLineNumbers w:val="0"/>
              <w:spacing w:line="300" w:lineRule="atLeast"/>
              <w:jc w:val="left"/>
              <w:rPr>
                <w:rFonts w:hint="default" w:eastAsia="Segoe UI" w:cs="Segoe UI" w:asciiTheme="minorAscii" w:hAnsiTheme="minorAscii"/>
                <w:i w:val="0"/>
                <w:iCs w:val="0"/>
                <w:caps w:val="0"/>
                <w:color w:val="0F1115"/>
                <w:spacing w:val="0"/>
                <w:sz w:val="21"/>
                <w:szCs w:val="21"/>
              </w:rPr>
            </w:pPr>
            <w:r>
              <w:rPr>
                <w:rFonts w:hint="default" w:asciiTheme="minorAscii" w:hAnsiTheme="minorAscii"/>
                <w:sz w:val="21"/>
                <w:szCs w:val="21"/>
              </w:rPr>
              <w:t>Key Events</w:t>
            </w:r>
          </w:p>
        </w:tc>
      </w:tr>
      <w:tr w14:paraId="6FF84EB9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single" w:color="auto" w:sz="4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tcBorders>
              <w:tl2br w:val="nil"/>
              <w:tr2bl w:val="nil"/>
            </w:tcBorders>
            <w:shd w:val="clear" w:color="auto" w:fill="FFFFFF"/>
            <w:tcMar>
              <w:top w:w="120" w:type="dxa"/>
              <w:left w:w="0" w:type="dxa"/>
              <w:bottom w:w="120" w:type="dxa"/>
              <w:right w:w="192" w:type="dxa"/>
            </w:tcMar>
            <w:vAlign w:val="center"/>
          </w:tcPr>
          <w:p w14:paraId="2D78F20C">
            <w:pPr>
              <w:keepNext w:val="0"/>
              <w:keepLines w:val="0"/>
              <w:widowControl/>
              <w:suppressLineNumbers w:val="0"/>
              <w:spacing w:line="300" w:lineRule="atLeast"/>
              <w:jc w:val="left"/>
              <w:rPr>
                <w:rFonts w:hint="default" w:eastAsia="Segoe UI" w:cs="Segoe UI" w:asciiTheme="minorAscii" w:hAnsiTheme="minorAscii"/>
                <w:i w:val="0"/>
                <w:iCs w:val="0"/>
                <w:caps w:val="0"/>
                <w:color w:val="0F1115"/>
                <w:spacing w:val="0"/>
                <w:sz w:val="21"/>
                <w:szCs w:val="21"/>
              </w:rPr>
            </w:pPr>
            <w:r>
              <w:rPr>
                <w:rFonts w:hint="default" w:asciiTheme="minorAscii" w:hAnsiTheme="minorAscii"/>
                <w:sz w:val="21"/>
                <w:szCs w:val="21"/>
              </w:rPr>
              <w:t>Month 0 (Post-op)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FFFFFF"/>
            <w:tcMar>
              <w:top w:w="120" w:type="dxa"/>
              <w:left w:w="192" w:type="dxa"/>
              <w:bottom w:w="120" w:type="dxa"/>
              <w:right w:w="0" w:type="dxa"/>
            </w:tcMar>
            <w:vAlign w:val="center"/>
          </w:tcPr>
          <w:p w14:paraId="6D65F363">
            <w:pPr>
              <w:keepNext w:val="0"/>
              <w:keepLines w:val="0"/>
              <w:widowControl/>
              <w:suppressLineNumbers w:val="0"/>
              <w:spacing w:line="300" w:lineRule="atLeast"/>
              <w:jc w:val="left"/>
              <w:rPr>
                <w:rFonts w:hint="default" w:eastAsia="Segoe UI" w:cs="Segoe UI" w:asciiTheme="minorAscii" w:hAnsiTheme="minorAscii"/>
                <w:i w:val="0"/>
                <w:iCs w:val="0"/>
                <w:caps w:val="0"/>
                <w:color w:val="0F1115"/>
                <w:spacing w:val="0"/>
                <w:sz w:val="21"/>
                <w:szCs w:val="21"/>
              </w:rPr>
            </w:pPr>
            <w:r>
              <w:rPr>
                <w:rFonts w:hint="default" w:asciiTheme="minorAscii" w:hAnsiTheme="minorAscii"/>
                <w:sz w:val="21"/>
                <w:szCs w:val="21"/>
              </w:rPr>
              <w:t>Routine screening identifies multiple left lung ground-glass opacities. Thoracoscopic wedge resection reveals AIS (Stage IA). No adjuvant therapy administered.</w:t>
            </w:r>
          </w:p>
        </w:tc>
      </w:tr>
      <w:tr w14:paraId="659D00E0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single" w:color="auto" w:sz="4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tcBorders>
              <w:tl2br w:val="nil"/>
              <w:tr2bl w:val="nil"/>
            </w:tcBorders>
            <w:shd w:val="clear" w:color="auto" w:fill="FFFFFF"/>
            <w:tcMar>
              <w:top w:w="120" w:type="dxa"/>
              <w:left w:w="0" w:type="dxa"/>
              <w:bottom w:w="120" w:type="dxa"/>
              <w:right w:w="192" w:type="dxa"/>
            </w:tcMar>
            <w:vAlign w:val="center"/>
          </w:tcPr>
          <w:p w14:paraId="31F11F57">
            <w:pPr>
              <w:keepNext w:val="0"/>
              <w:keepLines w:val="0"/>
              <w:widowControl/>
              <w:suppressLineNumbers w:val="0"/>
              <w:spacing w:line="300" w:lineRule="atLeast"/>
              <w:jc w:val="left"/>
              <w:rPr>
                <w:rFonts w:hint="default" w:eastAsia="Segoe UI" w:cs="Segoe UI" w:asciiTheme="minorAscii" w:hAnsiTheme="minorAscii"/>
                <w:i w:val="0"/>
                <w:iCs w:val="0"/>
                <w:caps w:val="0"/>
                <w:color w:val="0F1115"/>
                <w:spacing w:val="0"/>
                <w:sz w:val="21"/>
                <w:szCs w:val="21"/>
              </w:rPr>
            </w:pPr>
            <w:r>
              <w:rPr>
                <w:rFonts w:hint="default" w:asciiTheme="minorAscii" w:hAnsiTheme="minorAscii"/>
                <w:sz w:val="21"/>
                <w:szCs w:val="21"/>
              </w:rPr>
              <w:t>Month 6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FFFFFF"/>
            <w:tcMar>
              <w:top w:w="120" w:type="dxa"/>
              <w:left w:w="192" w:type="dxa"/>
              <w:bottom w:w="120" w:type="dxa"/>
              <w:right w:w="0" w:type="dxa"/>
            </w:tcMar>
            <w:vAlign w:val="center"/>
          </w:tcPr>
          <w:p w14:paraId="430E3078">
            <w:pPr>
              <w:keepNext w:val="0"/>
              <w:keepLines w:val="0"/>
              <w:widowControl/>
              <w:suppressLineNumbers w:val="0"/>
              <w:spacing w:line="300" w:lineRule="atLeast"/>
              <w:jc w:val="left"/>
              <w:rPr>
                <w:rFonts w:hint="default" w:eastAsia="Segoe UI" w:cs="Segoe UI" w:asciiTheme="minorAscii" w:hAnsiTheme="minorAscii"/>
                <w:i w:val="0"/>
                <w:iCs w:val="0"/>
                <w:caps w:val="0"/>
                <w:color w:val="0F1115"/>
                <w:spacing w:val="0"/>
                <w:sz w:val="21"/>
                <w:szCs w:val="21"/>
              </w:rPr>
            </w:pPr>
            <w:r>
              <w:rPr>
                <w:rFonts w:hint="default" w:asciiTheme="minorAscii" w:hAnsiTheme="minorAscii"/>
                <w:sz w:val="21"/>
                <w:szCs w:val="21"/>
              </w:rPr>
              <w:t>Ten-day history of sleep deprivation/fatigue precedes onset of progressive memory loss lasting five days. Local cranial MRI is unremarkable.</w:t>
            </w:r>
          </w:p>
        </w:tc>
      </w:tr>
      <w:tr w14:paraId="6DAC0D50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single" w:color="auto" w:sz="4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tcBorders>
              <w:tl2br w:val="nil"/>
              <w:tr2bl w:val="nil"/>
            </w:tcBorders>
            <w:shd w:val="clear" w:color="auto" w:fill="FFFFFF"/>
            <w:tcMar>
              <w:top w:w="120" w:type="dxa"/>
              <w:left w:w="0" w:type="dxa"/>
              <w:bottom w:w="120" w:type="dxa"/>
              <w:right w:w="192" w:type="dxa"/>
            </w:tcMar>
            <w:vAlign w:val="center"/>
          </w:tcPr>
          <w:p w14:paraId="56594FDD">
            <w:pPr>
              <w:keepNext w:val="0"/>
              <w:keepLines w:val="0"/>
              <w:widowControl/>
              <w:suppressLineNumbers w:val="0"/>
              <w:spacing w:line="300" w:lineRule="atLeast"/>
              <w:jc w:val="left"/>
              <w:rPr>
                <w:rFonts w:hint="default" w:eastAsia="Segoe UI" w:cs="Segoe UI" w:asciiTheme="minorAscii" w:hAnsiTheme="minorAscii"/>
                <w:i w:val="0"/>
                <w:iCs w:val="0"/>
                <w:caps w:val="0"/>
                <w:color w:val="0F1115"/>
                <w:spacing w:val="0"/>
                <w:sz w:val="21"/>
                <w:szCs w:val="21"/>
              </w:rPr>
            </w:pPr>
            <w:r>
              <w:rPr>
                <w:rFonts w:hint="default" w:asciiTheme="minorAscii" w:hAnsiTheme="minorAscii"/>
                <w:sz w:val="21"/>
                <w:szCs w:val="21"/>
              </w:rPr>
              <w:t>Admission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FFFFFF"/>
            <w:tcMar>
              <w:top w:w="120" w:type="dxa"/>
              <w:left w:w="192" w:type="dxa"/>
              <w:bottom w:w="120" w:type="dxa"/>
              <w:right w:w="0" w:type="dxa"/>
            </w:tcMar>
            <w:vAlign w:val="center"/>
          </w:tcPr>
          <w:p w14:paraId="6F1AC37F">
            <w:pPr>
              <w:keepNext w:val="0"/>
              <w:keepLines w:val="0"/>
              <w:widowControl/>
              <w:suppressLineNumbers w:val="0"/>
              <w:spacing w:line="300" w:lineRule="atLeast"/>
              <w:jc w:val="left"/>
              <w:rPr>
                <w:rFonts w:hint="default" w:eastAsia="Segoe UI" w:cs="Segoe UI" w:asciiTheme="minorAscii" w:hAnsiTheme="minorAscii"/>
                <w:i w:val="0"/>
                <w:iCs w:val="0"/>
                <w:caps w:val="0"/>
                <w:color w:val="0F1115"/>
                <w:spacing w:val="0"/>
                <w:sz w:val="21"/>
                <w:szCs w:val="21"/>
              </w:rPr>
            </w:pPr>
            <w:r>
              <w:rPr>
                <w:rFonts w:hint="default" w:asciiTheme="minorAscii" w:hAnsiTheme="minorAscii"/>
                <w:sz w:val="21"/>
                <w:szCs w:val="21"/>
              </w:rPr>
              <w:t>Neurological exam reveals no focal signs. CSF positive for anti-AMPAR A1 (1:10). Other autoimmune panels negative.</w:t>
            </w:r>
          </w:p>
        </w:tc>
      </w:tr>
      <w:tr w14:paraId="47C17617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single" w:color="auto" w:sz="4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tcBorders>
              <w:tl2br w:val="nil"/>
              <w:tr2bl w:val="nil"/>
            </w:tcBorders>
            <w:shd w:val="clear" w:color="auto" w:fill="FFFFFF"/>
            <w:tcMar>
              <w:top w:w="120" w:type="dxa"/>
              <w:left w:w="0" w:type="dxa"/>
              <w:bottom w:w="120" w:type="dxa"/>
              <w:right w:w="192" w:type="dxa"/>
            </w:tcMar>
            <w:vAlign w:val="center"/>
          </w:tcPr>
          <w:p w14:paraId="20EF5FA2">
            <w:pPr>
              <w:keepNext w:val="0"/>
              <w:keepLines w:val="0"/>
              <w:widowControl/>
              <w:suppressLineNumbers w:val="0"/>
              <w:spacing w:line="300" w:lineRule="atLeast"/>
              <w:jc w:val="left"/>
              <w:rPr>
                <w:rFonts w:hint="default" w:eastAsia="Segoe UI" w:cs="Segoe UI" w:asciiTheme="minorAscii" w:hAnsiTheme="minorAscii"/>
                <w:i w:val="0"/>
                <w:iCs w:val="0"/>
                <w:caps w:val="0"/>
                <w:color w:val="0F1115"/>
                <w:spacing w:val="0"/>
                <w:sz w:val="21"/>
                <w:szCs w:val="21"/>
              </w:rPr>
            </w:pPr>
            <w:r>
              <w:rPr>
                <w:rFonts w:hint="default" w:asciiTheme="minorAscii" w:hAnsiTheme="minorAscii"/>
                <w:sz w:val="21"/>
                <w:szCs w:val="21"/>
              </w:rPr>
              <w:t>Hospitalization Diagnosis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FFFFFF"/>
            <w:tcMar>
              <w:top w:w="120" w:type="dxa"/>
              <w:left w:w="192" w:type="dxa"/>
              <w:bottom w:w="120" w:type="dxa"/>
              <w:right w:w="0" w:type="dxa"/>
            </w:tcMar>
            <w:vAlign w:val="center"/>
          </w:tcPr>
          <w:p w14:paraId="70A36BBE">
            <w:pPr>
              <w:keepNext w:val="0"/>
              <w:keepLines w:val="0"/>
              <w:widowControl/>
              <w:suppressLineNumbers w:val="0"/>
              <w:spacing w:line="300" w:lineRule="atLeast"/>
              <w:jc w:val="left"/>
              <w:rPr>
                <w:rFonts w:hint="default" w:eastAsia="Segoe UI" w:cs="Segoe UI" w:asciiTheme="minorAscii" w:hAnsiTheme="minorAscii"/>
                <w:i w:val="0"/>
                <w:iCs w:val="0"/>
                <w:caps w:val="0"/>
                <w:color w:val="0F1115"/>
                <w:spacing w:val="0"/>
                <w:sz w:val="21"/>
                <w:szCs w:val="21"/>
              </w:rPr>
            </w:pPr>
            <w:r>
              <w:rPr>
                <w:rFonts w:hint="default" w:asciiTheme="minorAscii" w:hAnsiTheme="minorAscii"/>
                <w:sz w:val="21"/>
                <w:szCs w:val="21"/>
              </w:rPr>
              <w:t>Anti-AMPAR A1 encephalitis. Methylprednisolone pulse therapy (500 mg/d × 5 days) administered with marked memory improvement.</w:t>
            </w:r>
          </w:p>
        </w:tc>
      </w:tr>
      <w:tr w14:paraId="25AEE034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single" w:color="auto" w:sz="4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tcBorders>
              <w:tl2br w:val="nil"/>
              <w:tr2bl w:val="nil"/>
            </w:tcBorders>
            <w:shd w:val="clear" w:color="auto" w:fill="FFFFFF"/>
            <w:tcMar>
              <w:top w:w="120" w:type="dxa"/>
              <w:left w:w="0" w:type="dxa"/>
              <w:bottom w:w="120" w:type="dxa"/>
              <w:right w:w="192" w:type="dxa"/>
            </w:tcMar>
            <w:vAlign w:val="center"/>
          </w:tcPr>
          <w:p w14:paraId="157DE137">
            <w:pPr>
              <w:keepNext w:val="0"/>
              <w:keepLines w:val="0"/>
              <w:widowControl/>
              <w:suppressLineNumbers w:val="0"/>
              <w:spacing w:line="300" w:lineRule="atLeast"/>
              <w:jc w:val="left"/>
              <w:rPr>
                <w:rFonts w:hint="default" w:eastAsia="Segoe UI" w:cs="Segoe UI" w:asciiTheme="minorAscii" w:hAnsiTheme="minorAscii"/>
                <w:i w:val="0"/>
                <w:iCs w:val="0"/>
                <w:caps w:val="0"/>
                <w:color w:val="0F1115"/>
                <w:spacing w:val="0"/>
                <w:sz w:val="21"/>
                <w:szCs w:val="21"/>
              </w:rPr>
            </w:pPr>
            <w:r>
              <w:rPr>
                <w:rFonts w:hint="default" w:asciiTheme="minorAscii" w:hAnsiTheme="minorAscii"/>
                <w:sz w:val="21"/>
                <w:szCs w:val="21"/>
              </w:rPr>
              <w:t>Month 9 (Follow-up)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FFFFFF"/>
            <w:tcMar>
              <w:top w:w="120" w:type="dxa"/>
              <w:left w:w="192" w:type="dxa"/>
              <w:bottom w:w="120" w:type="dxa"/>
              <w:right w:w="0" w:type="dxa"/>
            </w:tcMar>
            <w:vAlign w:val="center"/>
          </w:tcPr>
          <w:p w14:paraId="0E1CCFE3">
            <w:pPr>
              <w:keepNext w:val="0"/>
              <w:keepLines w:val="0"/>
              <w:widowControl/>
              <w:suppressLineNumbers w:val="0"/>
              <w:spacing w:line="300" w:lineRule="atLeast"/>
              <w:jc w:val="left"/>
              <w:rPr>
                <w:rFonts w:hint="default" w:eastAsia="Segoe UI" w:cs="Segoe UI" w:asciiTheme="minorAscii" w:hAnsiTheme="minorAscii"/>
                <w:i w:val="0"/>
                <w:iCs w:val="0"/>
                <w:caps w:val="0"/>
                <w:color w:val="0F1115"/>
                <w:spacing w:val="0"/>
                <w:sz w:val="21"/>
                <w:szCs w:val="21"/>
              </w:rPr>
            </w:pPr>
            <w:r>
              <w:rPr>
                <w:rFonts w:hint="default" w:asciiTheme="minorAscii" w:hAnsiTheme="minorAscii"/>
                <w:sz w:val="21"/>
                <w:szCs w:val="21"/>
              </w:rPr>
              <w:t>Patient reports subjective memory decline relative to post-treatment baseline, poor sleep quality, and vivid dreams.</w:t>
            </w:r>
          </w:p>
        </w:tc>
      </w:tr>
    </w:tbl>
    <w:p w14:paraId="23ADFB0F"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Segoe UI">
    <w:panose1 w:val="020B0502040204020203"/>
    <w:charset w:val="00"/>
    <w:family w:val="auto"/>
    <w:pitch w:val="default"/>
    <w:sig w:usb0="E4002EFF" w:usb1="C000E47F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47354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Office_12.1.0.25225_F1E327BC-269C-435d-A152-05C5408002CA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2026-04-22T09:51:54Z</dcterms:created>
  <dc:creator>96484</dc:creator>
  <cp:lastModifiedBy>WPS_1591321574</cp:lastModifiedBy>
  <dcterms:modified xsi:type="dcterms:W3CDTF">2026-04-22T09:51:57Z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2052-12.1.0.25225</vt:lpwstr>
  </property>
  <property fmtid="{D5CDD505-2E9C-101B-9397-08002B2CF9AE}" pid="3" name="KSOTemplateDocerSaveRecord">
    <vt:lpwstr>eyJoZGlkIjoiNzU0NzM1YTFmODA0NDA0NGZiYWY1YWUzMWJjODdkZWIiLCJ1c2VySWQiOiIxMDA2NzI1OTAzIn0=</vt:lpwstr>
  </property>
  <property fmtid="{D5CDD505-2E9C-101B-9397-08002B2CF9AE}" pid="4" name="ICV">
    <vt:lpwstr>B406DC9BD65D4003AB322C5C9E2D7639_12</vt:lpwstr>
  </property>
</Properties>
</file>