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54C19" w14:textId="4A651D6C" w:rsidR="003825A1" w:rsidRPr="00433515" w:rsidRDefault="003825A1" w:rsidP="002F0A1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Hlk56075156"/>
      <w:r w:rsidRPr="003825A1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1. </w:t>
      </w:r>
      <w:r w:rsidR="00433515">
        <w:rPr>
          <w:rFonts w:ascii="Times New Roman" w:hAnsi="Times New Roman" w:cs="Times New Roman" w:hint="eastAsia"/>
          <w:bCs/>
          <w:sz w:val="24"/>
          <w:szCs w:val="24"/>
        </w:rPr>
        <w:t>Final</w:t>
      </w:r>
      <w:r w:rsidR="00016456" w:rsidRPr="00016456">
        <w:rPr>
          <w:rFonts w:ascii="Times New Roman" w:hAnsi="Times New Roman" w:cs="Times New Roman"/>
          <w:bCs/>
          <w:sz w:val="24"/>
          <w:szCs w:val="24"/>
        </w:rPr>
        <w:t xml:space="preserve"> list of 21 articles that were selected after a</w:t>
      </w:r>
      <w:r w:rsidR="00433515">
        <w:rPr>
          <w:rFonts w:ascii="Times New Roman" w:hAnsi="Times New Roman" w:cs="Times New Roman" w:hint="eastAsia"/>
          <w:bCs/>
          <w:sz w:val="24"/>
          <w:szCs w:val="24"/>
        </w:rPr>
        <w:t xml:space="preserve"> systematic literature search. </w:t>
      </w:r>
      <w:bookmarkEnd w:id="0"/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8122"/>
        <w:gridCol w:w="3114"/>
      </w:tblGrid>
      <w:tr w:rsidR="003825A1" w:rsidRPr="003825A1" w14:paraId="412639D8" w14:textId="2646451C" w:rsidTr="00E0584F">
        <w:tc>
          <w:tcPr>
            <w:tcW w:w="962" w:type="pct"/>
            <w:tcBorders>
              <w:top w:val="single" w:sz="18" w:space="0" w:color="auto"/>
              <w:bottom w:val="single" w:sz="18" w:space="0" w:color="auto"/>
            </w:tcBorders>
          </w:tcPr>
          <w:p w14:paraId="4CE9B0A4" w14:textId="7A058B67" w:rsidR="003825A1" w:rsidRPr="003825A1" w:rsidRDefault="003825A1" w:rsidP="002F0A1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hAnsi="Times New Roman" w:cs="Times New Roman"/>
                <w:sz w:val="24"/>
                <w:szCs w:val="24"/>
              </w:rPr>
              <w:t>First author</w:t>
            </w:r>
          </w:p>
        </w:tc>
        <w:tc>
          <w:tcPr>
            <w:tcW w:w="2919" w:type="pct"/>
            <w:tcBorders>
              <w:top w:val="single" w:sz="18" w:space="0" w:color="auto"/>
              <w:bottom w:val="single" w:sz="18" w:space="0" w:color="auto"/>
            </w:tcBorders>
          </w:tcPr>
          <w:p w14:paraId="3C2A630A" w14:textId="41C1F9DC" w:rsidR="003825A1" w:rsidRPr="003825A1" w:rsidRDefault="003825A1" w:rsidP="002F0A1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1119" w:type="pct"/>
            <w:tcBorders>
              <w:top w:val="single" w:sz="18" w:space="0" w:color="auto"/>
              <w:bottom w:val="single" w:sz="18" w:space="0" w:color="auto"/>
            </w:tcBorders>
          </w:tcPr>
          <w:p w14:paraId="70D61B36" w14:textId="6DC92B4C" w:rsidR="003825A1" w:rsidRPr="003825A1" w:rsidRDefault="003825A1" w:rsidP="002F0A1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3825A1" w:rsidRPr="003825A1" w14:paraId="0CE17EEC" w14:textId="60DED0DD" w:rsidTr="00E0584F">
        <w:trPr>
          <w:cantSplit/>
        </w:trPr>
        <w:tc>
          <w:tcPr>
            <w:tcW w:w="962" w:type="pct"/>
            <w:tcBorders>
              <w:top w:val="single" w:sz="18" w:space="0" w:color="auto"/>
            </w:tcBorders>
          </w:tcPr>
          <w:p w14:paraId="168925E6" w14:textId="5F79B8B6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Van der Velden AW, et al.</w:t>
            </w:r>
          </w:p>
        </w:tc>
        <w:tc>
          <w:tcPr>
            <w:tcW w:w="2919" w:type="pct"/>
            <w:tcBorders>
              <w:top w:val="single" w:sz="18" w:space="0" w:color="auto"/>
            </w:tcBorders>
          </w:tcPr>
          <w:p w14:paraId="267FB8CE" w14:textId="6EFF5015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Usefulness of quality indicators for antibiotic use: case study for the Netherlands.</w:t>
            </w:r>
          </w:p>
        </w:tc>
        <w:tc>
          <w:tcPr>
            <w:tcW w:w="1119" w:type="pct"/>
            <w:tcBorders>
              <w:top w:val="single" w:sz="18" w:space="0" w:color="auto"/>
            </w:tcBorders>
          </w:tcPr>
          <w:p w14:paraId="5EFF9DDA" w14:textId="076E2193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Int J Qual Health Care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2016;28:838-842.</w:t>
            </w:r>
          </w:p>
        </w:tc>
      </w:tr>
      <w:tr w:rsidR="003825A1" w:rsidRPr="003825A1" w14:paraId="66E9A47B" w14:textId="0F579FCC" w:rsidTr="003825A1">
        <w:trPr>
          <w:cantSplit/>
        </w:trPr>
        <w:tc>
          <w:tcPr>
            <w:tcW w:w="962" w:type="pct"/>
          </w:tcPr>
          <w:p w14:paraId="35A1D59F" w14:textId="79453496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Van den Bosch CMA, et al.</w:t>
            </w:r>
          </w:p>
        </w:tc>
        <w:tc>
          <w:tcPr>
            <w:tcW w:w="2919" w:type="pct"/>
          </w:tcPr>
          <w:p w14:paraId="1C8CF6ED" w14:textId="4B78D3C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Applicability of generic quality indicators for appr</w:t>
            </w:r>
            <w:r w:rsidR="00433515">
              <w:rPr>
                <w:rFonts w:ascii="Times New Roman" w:eastAsia="휴먼명조" w:hAnsi="Times New Roman" w:cs="Times New Roman"/>
                <w:sz w:val="24"/>
                <w:szCs w:val="24"/>
              </w:rPr>
              <w:t>opriate antibiotic use in daily</w:t>
            </w:r>
            <w:r w:rsidR="00433515">
              <w:rPr>
                <w:rFonts w:ascii="Times New Roman" w:eastAsia="휴먼명조" w:hAnsi="Times New Roman" w:cs="Times New Roman" w:hint="eastAsia"/>
                <w:sz w:val="24"/>
                <w:szCs w:val="24"/>
              </w:rPr>
              <w:t xml:space="preserve"> 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hospital practice: a cross-sectional point-prevalence multicenter study.</w:t>
            </w:r>
          </w:p>
        </w:tc>
        <w:tc>
          <w:tcPr>
            <w:tcW w:w="1119" w:type="pct"/>
          </w:tcPr>
          <w:p w14:paraId="2F9A024B" w14:textId="1ABF37F3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Clin Microbiol Infect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2016;22:888.e881-888.e889.</w:t>
            </w:r>
          </w:p>
        </w:tc>
      </w:tr>
      <w:tr w:rsidR="003825A1" w:rsidRPr="003825A1" w14:paraId="0B1CFB25" w14:textId="4256BF07" w:rsidTr="003825A1">
        <w:trPr>
          <w:cantSplit/>
        </w:trPr>
        <w:tc>
          <w:tcPr>
            <w:tcW w:w="962" w:type="pct"/>
          </w:tcPr>
          <w:p w14:paraId="4711D489" w14:textId="1CB24C7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Van den Bosch CMA, et al.</w:t>
            </w:r>
          </w:p>
        </w:tc>
        <w:tc>
          <w:tcPr>
            <w:tcW w:w="2919" w:type="pct"/>
          </w:tcPr>
          <w:p w14:paraId="121357D3" w14:textId="67A76A9F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Quality indicators to measure appropriate antibiotic use in hospitalized adults</w:t>
            </w:r>
          </w:p>
        </w:tc>
        <w:tc>
          <w:tcPr>
            <w:tcW w:w="1119" w:type="pct"/>
          </w:tcPr>
          <w:p w14:paraId="14EB49D6" w14:textId="065435FA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Clin Infect Dis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2015;60:281-291.</w:t>
            </w:r>
          </w:p>
        </w:tc>
      </w:tr>
      <w:tr w:rsidR="003825A1" w:rsidRPr="003825A1" w14:paraId="7A777FA3" w14:textId="217C4580" w:rsidTr="003825A1">
        <w:trPr>
          <w:cantSplit/>
        </w:trPr>
        <w:tc>
          <w:tcPr>
            <w:tcW w:w="962" w:type="pct"/>
          </w:tcPr>
          <w:p w14:paraId="08AA7257" w14:textId="736ACF6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Van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Daalen</w:t>
            </w:r>
            <w:proofErr w:type="spellEnd"/>
            <w:r w:rsidR="004335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FV, et al.</w:t>
            </w:r>
          </w:p>
        </w:tc>
        <w:tc>
          <w:tcPr>
            <w:tcW w:w="2919" w:type="pct"/>
          </w:tcPr>
          <w:p w14:paraId="0DF13B2A" w14:textId="66E45C00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A cluster randomized trial for the implementation of an antibiotic checklist based on validated quality indicators: the AB-checklist</w:t>
            </w:r>
          </w:p>
        </w:tc>
        <w:tc>
          <w:tcPr>
            <w:tcW w:w="1119" w:type="pct"/>
          </w:tcPr>
          <w:p w14:paraId="3783002A" w14:textId="61AA4D7B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BMC Infect Dis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2015;15:134.</w:t>
            </w:r>
          </w:p>
        </w:tc>
      </w:tr>
      <w:tr w:rsidR="003825A1" w:rsidRPr="003825A1" w14:paraId="7CEB0442" w14:textId="37AA1BBB" w:rsidTr="003825A1">
        <w:trPr>
          <w:cantSplit/>
        </w:trPr>
        <w:tc>
          <w:tcPr>
            <w:tcW w:w="962" w:type="pct"/>
          </w:tcPr>
          <w:p w14:paraId="289E5D6E" w14:textId="2673F5D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Van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Daalen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, et al.</w:t>
            </w:r>
          </w:p>
        </w:tc>
        <w:tc>
          <w:tcPr>
            <w:tcW w:w="2919" w:type="pct"/>
          </w:tcPr>
          <w:p w14:paraId="5E73009A" w14:textId="788C4E8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Effect of an antibiotic checklist on length of hospital stay and appropriate antibiotic use in adult patients treated with intravenous antibiotics: a stepped wedge cluster randomized trial</w:t>
            </w:r>
          </w:p>
        </w:tc>
        <w:tc>
          <w:tcPr>
            <w:tcW w:w="1119" w:type="pct"/>
          </w:tcPr>
          <w:p w14:paraId="13F6B1EC" w14:textId="5D6B4D96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Clin Microbiol Infect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2017;23:485.e481-485.e488.</w:t>
            </w:r>
          </w:p>
        </w:tc>
      </w:tr>
      <w:tr w:rsidR="003825A1" w:rsidRPr="003825A1" w14:paraId="5BE8B17E" w14:textId="7A146E2B" w:rsidTr="003825A1">
        <w:trPr>
          <w:cantSplit/>
        </w:trPr>
        <w:tc>
          <w:tcPr>
            <w:tcW w:w="962" w:type="pct"/>
          </w:tcPr>
          <w:p w14:paraId="6C51BBE3" w14:textId="26BE6370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Thern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J, et al.</w:t>
            </w:r>
          </w:p>
        </w:tc>
        <w:tc>
          <w:tcPr>
            <w:tcW w:w="2919" w:type="pct"/>
          </w:tcPr>
          <w:p w14:paraId="16A1E55C" w14:textId="443B01BC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Selection of hospital antimicrobial prescribing quality indicators: a consensus among German antibiotic stewardship (ABS) networkers</w:t>
            </w:r>
          </w:p>
        </w:tc>
        <w:tc>
          <w:tcPr>
            <w:tcW w:w="1119" w:type="pct"/>
          </w:tcPr>
          <w:p w14:paraId="7CD353BD" w14:textId="6EC76A06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Infection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2014;42:351-362.</w:t>
            </w:r>
          </w:p>
        </w:tc>
      </w:tr>
      <w:tr w:rsidR="003825A1" w:rsidRPr="003825A1" w14:paraId="452A332F" w14:textId="52407E0F" w:rsidTr="003825A1">
        <w:trPr>
          <w:cantSplit/>
        </w:trPr>
        <w:tc>
          <w:tcPr>
            <w:tcW w:w="962" w:type="pct"/>
          </w:tcPr>
          <w:p w14:paraId="31B5BF36" w14:textId="39AD857B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lastRenderedPageBreak/>
              <w:t>Schmitt C, et al.</w:t>
            </w:r>
          </w:p>
        </w:tc>
        <w:tc>
          <w:tcPr>
            <w:tcW w:w="2919" w:type="pct"/>
          </w:tcPr>
          <w:p w14:paraId="24755AD4" w14:textId="50E6A3DD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Applying validated quality indicators to surgical antibiotic prophylaxis in a Brazilian hospital: Learning what should be learned</w:t>
            </w:r>
          </w:p>
        </w:tc>
        <w:tc>
          <w:tcPr>
            <w:tcW w:w="1119" w:type="pct"/>
          </w:tcPr>
          <w:p w14:paraId="0F30DDCB" w14:textId="3B292981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Am J Infect Control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2012;40:960-962.</w:t>
            </w:r>
          </w:p>
        </w:tc>
      </w:tr>
      <w:tr w:rsidR="003825A1" w:rsidRPr="003825A1" w14:paraId="543FE411" w14:textId="60B96E24" w:rsidTr="003825A1">
        <w:trPr>
          <w:cantSplit/>
        </w:trPr>
        <w:tc>
          <w:tcPr>
            <w:tcW w:w="962" w:type="pct"/>
          </w:tcPr>
          <w:p w14:paraId="2AC0AD8A" w14:textId="57F328E0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Monnier AA, et al.</w:t>
            </w:r>
          </w:p>
        </w:tc>
        <w:tc>
          <w:tcPr>
            <w:tcW w:w="2919" w:type="pct"/>
          </w:tcPr>
          <w:p w14:paraId="3CCE5FD9" w14:textId="2B342733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Quality indicators for responsible antibiotic use in the inpatient setting: A systematic review followed by an international multidisciplinary consensus procedure</w:t>
            </w:r>
          </w:p>
        </w:tc>
        <w:tc>
          <w:tcPr>
            <w:tcW w:w="1119" w:type="pct"/>
          </w:tcPr>
          <w:p w14:paraId="44C33A2A" w14:textId="352A19FF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J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Chemother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2018;73:vi30-vi39.</w:t>
            </w:r>
          </w:p>
        </w:tc>
      </w:tr>
      <w:tr w:rsidR="003825A1" w:rsidRPr="003825A1" w14:paraId="1BE2ABEE" w14:textId="109B23FE" w:rsidTr="003825A1">
        <w:trPr>
          <w:cantSplit/>
        </w:trPr>
        <w:tc>
          <w:tcPr>
            <w:tcW w:w="962" w:type="pct"/>
          </w:tcPr>
          <w:p w14:paraId="29B9F56C" w14:textId="01CA8F2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Le Marechal M, et al.</w:t>
            </w:r>
          </w:p>
        </w:tc>
        <w:tc>
          <w:tcPr>
            <w:tcW w:w="2919" w:type="pct"/>
          </w:tcPr>
          <w:p w14:paraId="5E090A72" w14:textId="0AD0A805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Quality indicators assessing antibiotic use in the outpatient setting: A systematic review followed by an international multidisciplinary consensus procedure</w:t>
            </w:r>
          </w:p>
        </w:tc>
        <w:tc>
          <w:tcPr>
            <w:tcW w:w="1119" w:type="pct"/>
          </w:tcPr>
          <w:p w14:paraId="2AC08CBC" w14:textId="52E27BA5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Chemother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2018;73:vi40-vi49.</w:t>
            </w:r>
          </w:p>
        </w:tc>
      </w:tr>
      <w:tr w:rsidR="003825A1" w:rsidRPr="003825A1" w14:paraId="25098B21" w14:textId="37E3CA62" w:rsidTr="003825A1">
        <w:trPr>
          <w:cantSplit/>
        </w:trPr>
        <w:tc>
          <w:tcPr>
            <w:tcW w:w="962" w:type="pct"/>
          </w:tcPr>
          <w:p w14:paraId="7E5FD6FB" w14:textId="050F8D03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Kallen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MC, et al.</w:t>
            </w:r>
          </w:p>
        </w:tc>
        <w:tc>
          <w:tcPr>
            <w:tcW w:w="2919" w:type="pct"/>
          </w:tcPr>
          <w:p w14:paraId="3DC7620E" w14:textId="03762A1D" w:rsidR="003825A1" w:rsidRPr="003825A1" w:rsidRDefault="00433515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휴먼명조" w:hAnsi="Times New Roman" w:cs="Times New Roman" w:hint="eastAsia"/>
                <w:kern w:val="2"/>
                <w:sz w:val="24"/>
                <w:szCs w:val="24"/>
              </w:rPr>
              <w:t>A systematic review of quality indicators for appropriate antibiotic use in hospitalized adult patient</w:t>
            </w:r>
          </w:p>
        </w:tc>
        <w:tc>
          <w:tcPr>
            <w:tcW w:w="1119" w:type="pct"/>
          </w:tcPr>
          <w:p w14:paraId="38D7F362" w14:textId="293A2B6D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Infect Dis Rep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2017;9</w:t>
            </w:r>
            <w:r w:rsidR="00433515">
              <w:rPr>
                <w:rFonts w:ascii="Times New Roman" w:eastAsia="휴먼명조" w:hAnsi="Times New Roman" w:cs="Times New Roman" w:hint="eastAsia"/>
                <w:sz w:val="24"/>
                <w:szCs w:val="24"/>
              </w:rPr>
              <w:t>(1)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:6821.</w:t>
            </w:r>
          </w:p>
        </w:tc>
      </w:tr>
      <w:tr w:rsidR="003825A1" w:rsidRPr="003825A1" w14:paraId="61E26633" w14:textId="4FA0D203" w:rsidTr="003825A1">
        <w:trPr>
          <w:cantSplit/>
        </w:trPr>
        <w:tc>
          <w:tcPr>
            <w:tcW w:w="962" w:type="pct"/>
          </w:tcPr>
          <w:p w14:paraId="66983E94" w14:textId="40A16C14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Coenen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S, et al.</w:t>
            </w:r>
          </w:p>
        </w:tc>
        <w:tc>
          <w:tcPr>
            <w:tcW w:w="2919" w:type="pct"/>
          </w:tcPr>
          <w:p w14:paraId="79A59F6F" w14:textId="37099DA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European Surveillance of Antimicrobial Consumption (ESAC): quality indicators for outpatient antibiotic use in Europe</w:t>
            </w:r>
          </w:p>
        </w:tc>
        <w:tc>
          <w:tcPr>
            <w:tcW w:w="1119" w:type="pct"/>
          </w:tcPr>
          <w:p w14:paraId="67A5AE01" w14:textId="50D2837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Qual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Saf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Health Care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2007;16:440-445.</w:t>
            </w:r>
          </w:p>
        </w:tc>
      </w:tr>
      <w:tr w:rsidR="003825A1" w:rsidRPr="003825A1" w14:paraId="790A153B" w14:textId="5A11524D" w:rsidTr="003825A1">
        <w:trPr>
          <w:cantSplit/>
        </w:trPr>
        <w:tc>
          <w:tcPr>
            <w:tcW w:w="962" w:type="pct"/>
          </w:tcPr>
          <w:p w14:paraId="18BDA7E3" w14:textId="0BBC19C1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Berrevoets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MAH, et al.</w:t>
            </w:r>
          </w:p>
        </w:tc>
        <w:tc>
          <w:tcPr>
            <w:tcW w:w="2919" w:type="pct"/>
          </w:tcPr>
          <w:p w14:paraId="3EDE8110" w14:textId="4A34B676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Monitoring, documenting and reporting the quality of antibiotic use in the Netherlands: A pilot study to establish a national antimicrobial stewardship registry</w:t>
            </w:r>
          </w:p>
        </w:tc>
        <w:tc>
          <w:tcPr>
            <w:tcW w:w="1119" w:type="pct"/>
          </w:tcPr>
          <w:p w14:paraId="658F2A10" w14:textId="35338F9F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BMC Infect Dis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2017;17:565</w:t>
            </w:r>
          </w:p>
        </w:tc>
      </w:tr>
      <w:tr w:rsidR="003825A1" w:rsidRPr="003825A1" w14:paraId="71900465" w14:textId="404D9CB3" w:rsidTr="003825A1">
        <w:trPr>
          <w:cantSplit/>
        </w:trPr>
        <w:tc>
          <w:tcPr>
            <w:tcW w:w="962" w:type="pct"/>
          </w:tcPr>
          <w:p w14:paraId="544A63E5" w14:textId="76FBF755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lastRenderedPageBreak/>
              <w:t>Arcenillas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P, et al.</w:t>
            </w:r>
          </w:p>
        </w:tc>
        <w:tc>
          <w:tcPr>
            <w:tcW w:w="2919" w:type="pct"/>
          </w:tcPr>
          <w:p w14:paraId="44E71EA9" w14:textId="27CD081D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Assessment of Quality Indicators for Appropriate Antibiotic Use</w:t>
            </w:r>
          </w:p>
        </w:tc>
        <w:tc>
          <w:tcPr>
            <w:tcW w:w="1119" w:type="pct"/>
          </w:tcPr>
          <w:p w14:paraId="7C8166A6" w14:textId="24F14DF0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Agents Chemother. </w:t>
            </w:r>
            <w:r w:rsidRPr="003825A1">
              <w:rPr>
                <w:rFonts w:ascii="Times New Roman" w:eastAsia="휴먼명조" w:hAnsi="Times New Roman" w:cs="Times New Roman"/>
                <w:iCs/>
                <w:kern w:val="2"/>
                <w:sz w:val="24"/>
                <w:szCs w:val="24"/>
              </w:rPr>
              <w:t>2018 Nov 26;62(12):e00875-18.</w:t>
            </w:r>
          </w:p>
        </w:tc>
      </w:tr>
      <w:tr w:rsidR="003825A1" w:rsidRPr="003825A1" w14:paraId="53CA939F" w14:textId="0B4BF687" w:rsidTr="003825A1">
        <w:trPr>
          <w:cantSplit/>
        </w:trPr>
        <w:tc>
          <w:tcPr>
            <w:tcW w:w="962" w:type="pct"/>
          </w:tcPr>
          <w:p w14:paraId="19750CA2" w14:textId="0CF39085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Adriaenssens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N, et al.</w:t>
            </w:r>
          </w:p>
        </w:tc>
        <w:tc>
          <w:tcPr>
            <w:tcW w:w="2919" w:type="pct"/>
          </w:tcPr>
          <w:p w14:paraId="3A7273A0" w14:textId="119F500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European Surveillance of Antimicrobial Consumption (ESAC): disease-specific quality indicators for outpatient antibiotic prescribing</w:t>
            </w:r>
          </w:p>
        </w:tc>
        <w:tc>
          <w:tcPr>
            <w:tcW w:w="1119" w:type="pct"/>
          </w:tcPr>
          <w:p w14:paraId="7C3D550F" w14:textId="1619874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BMJ Qual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Saf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2011 Sep;20(9):764-772.</w:t>
            </w:r>
          </w:p>
        </w:tc>
      </w:tr>
      <w:tr w:rsidR="003825A1" w:rsidRPr="003825A1" w14:paraId="2360A70A" w14:textId="77777777" w:rsidTr="003825A1">
        <w:trPr>
          <w:cantSplit/>
        </w:trPr>
        <w:tc>
          <w:tcPr>
            <w:tcW w:w="962" w:type="pct"/>
          </w:tcPr>
          <w:p w14:paraId="7F3A861F" w14:textId="75886765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Kallen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M, et al.</w:t>
            </w:r>
          </w:p>
        </w:tc>
        <w:tc>
          <w:tcPr>
            <w:tcW w:w="2919" w:type="pct"/>
          </w:tcPr>
          <w:p w14:paraId="03384801" w14:textId="0651CA2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Development of actionable quality indicators and an action implementation toolbox for appropriate antibiotic use at intensive care units: A modified-RAND Delphi study</w:t>
            </w:r>
          </w:p>
        </w:tc>
        <w:tc>
          <w:tcPr>
            <w:tcW w:w="1119" w:type="pct"/>
          </w:tcPr>
          <w:p w14:paraId="212F01B1" w14:textId="6C677154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PLoS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One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2018;13:e0207991.</w:t>
            </w:r>
          </w:p>
        </w:tc>
      </w:tr>
      <w:tr w:rsidR="003825A1" w:rsidRPr="003825A1" w14:paraId="0C0FF877" w14:textId="77777777" w:rsidTr="003825A1">
        <w:trPr>
          <w:cantSplit/>
        </w:trPr>
        <w:tc>
          <w:tcPr>
            <w:tcW w:w="962" w:type="pct"/>
          </w:tcPr>
          <w:p w14:paraId="5614357C" w14:textId="50B97348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Howard P, et al.</w:t>
            </w:r>
          </w:p>
        </w:tc>
        <w:tc>
          <w:tcPr>
            <w:tcW w:w="2919" w:type="pct"/>
          </w:tcPr>
          <w:p w14:paraId="1218441B" w14:textId="7777777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ESGAP inventory of target indicators assessing antibiotic</w:t>
            </w:r>
          </w:p>
          <w:p w14:paraId="6054AC36" w14:textId="3EF4CF1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prescriptions: a cross-sectional survey</w:t>
            </w:r>
          </w:p>
        </w:tc>
        <w:tc>
          <w:tcPr>
            <w:tcW w:w="1119" w:type="pct"/>
          </w:tcPr>
          <w:p w14:paraId="2B5F8F7A" w14:textId="7FBCFA87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J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Chemother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2017;72:2910-2914.</w:t>
            </w:r>
          </w:p>
        </w:tc>
      </w:tr>
      <w:tr w:rsidR="003825A1" w:rsidRPr="003825A1" w14:paraId="18F6DDD9" w14:textId="77777777" w:rsidTr="003825A1">
        <w:trPr>
          <w:cantSplit/>
        </w:trPr>
        <w:tc>
          <w:tcPr>
            <w:tcW w:w="962" w:type="pct"/>
          </w:tcPr>
          <w:p w14:paraId="5BBBA919" w14:textId="3B4C80D9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van den Bosch et al, et al.</w:t>
            </w:r>
          </w:p>
        </w:tc>
        <w:tc>
          <w:tcPr>
            <w:tcW w:w="2919" w:type="pct"/>
          </w:tcPr>
          <w:p w14:paraId="495302F1" w14:textId="0641492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Appropriate antibiotic use reduces length of hospital stay</w:t>
            </w:r>
          </w:p>
        </w:tc>
        <w:tc>
          <w:tcPr>
            <w:tcW w:w="1119" w:type="pct"/>
          </w:tcPr>
          <w:p w14:paraId="10A4AFBF" w14:textId="0FE3FD83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J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Chemother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2017;72:923-932.</w:t>
            </w:r>
          </w:p>
        </w:tc>
      </w:tr>
      <w:tr w:rsidR="003825A1" w:rsidRPr="003825A1" w14:paraId="0E5F44F8" w14:textId="77777777" w:rsidTr="003825A1">
        <w:trPr>
          <w:cantSplit/>
        </w:trPr>
        <w:tc>
          <w:tcPr>
            <w:tcW w:w="962" w:type="pct"/>
          </w:tcPr>
          <w:p w14:paraId="7547DEB7" w14:textId="00F7E02C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Zarb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P, et al</w:t>
            </w:r>
          </w:p>
        </w:tc>
        <w:tc>
          <w:tcPr>
            <w:tcW w:w="2919" w:type="pct"/>
          </w:tcPr>
          <w:p w14:paraId="6137F77B" w14:textId="21599F4E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Identification of targets for quality improvement in antimicrobial prescribing: the web-based ESAC Point Prevalence Survey 2009</w:t>
            </w:r>
          </w:p>
        </w:tc>
        <w:tc>
          <w:tcPr>
            <w:tcW w:w="1119" w:type="pct"/>
          </w:tcPr>
          <w:p w14:paraId="3B1E2431" w14:textId="388156CB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J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Chemother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2011;66:443-449.</w:t>
            </w:r>
          </w:p>
        </w:tc>
      </w:tr>
      <w:tr w:rsidR="003825A1" w:rsidRPr="003825A1" w14:paraId="5BF99344" w14:textId="77777777" w:rsidTr="003825A1">
        <w:trPr>
          <w:cantSplit/>
        </w:trPr>
        <w:tc>
          <w:tcPr>
            <w:tcW w:w="962" w:type="pct"/>
          </w:tcPr>
          <w:p w14:paraId="77E59769" w14:textId="405FBB92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van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Daalen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F, et al</w:t>
            </w:r>
          </w:p>
        </w:tc>
        <w:tc>
          <w:tcPr>
            <w:tcW w:w="2919" w:type="pct"/>
          </w:tcPr>
          <w:p w14:paraId="3DEE95A0" w14:textId="7E8A793A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Implementation of an antibiotic checklist increased appropriate antibiotic use in the hospital on Aruba</w:t>
            </w:r>
          </w:p>
        </w:tc>
        <w:tc>
          <w:tcPr>
            <w:tcW w:w="1119" w:type="pct"/>
          </w:tcPr>
          <w:p w14:paraId="04EEE5FB" w14:textId="54EB792B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Int J Infect Dis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2017;59:14-21.</w:t>
            </w:r>
          </w:p>
        </w:tc>
      </w:tr>
      <w:tr w:rsidR="003825A1" w:rsidRPr="003825A1" w14:paraId="52487958" w14:textId="77777777" w:rsidTr="00E0584F">
        <w:trPr>
          <w:cantSplit/>
        </w:trPr>
        <w:tc>
          <w:tcPr>
            <w:tcW w:w="962" w:type="pct"/>
          </w:tcPr>
          <w:p w14:paraId="0D7FEA58" w14:textId="33ABA3BC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lastRenderedPageBreak/>
              <w:t>Berrevoets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M, et al</w:t>
            </w:r>
          </w:p>
        </w:tc>
        <w:tc>
          <w:tcPr>
            <w:tcW w:w="2919" w:type="pct"/>
          </w:tcPr>
          <w:p w14:paraId="7F4DDA80" w14:textId="5F55EDA3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Monitoring, documenting and reporting the quality of antibiotic use in the Netherlands: a pilot study to establish a national antimicrobial stewardship registry</w:t>
            </w:r>
          </w:p>
        </w:tc>
        <w:tc>
          <w:tcPr>
            <w:tcW w:w="1119" w:type="pct"/>
          </w:tcPr>
          <w:p w14:paraId="68C46AF7" w14:textId="2A2AB9C1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BMC Infect Dis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2017;17:565.</w:t>
            </w:r>
          </w:p>
        </w:tc>
      </w:tr>
      <w:tr w:rsidR="003825A1" w:rsidRPr="003825A1" w14:paraId="3F3F79D4" w14:textId="77777777" w:rsidTr="00E0584F">
        <w:trPr>
          <w:cantSplit/>
        </w:trPr>
        <w:tc>
          <w:tcPr>
            <w:tcW w:w="962" w:type="pct"/>
            <w:tcBorders>
              <w:bottom w:val="single" w:sz="18" w:space="0" w:color="auto"/>
            </w:tcBorders>
          </w:tcPr>
          <w:p w14:paraId="41640939" w14:textId="5AB5447A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Gyssens</w:t>
            </w:r>
            <w:proofErr w:type="spellEnd"/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 xml:space="preserve"> I, et al</w:t>
            </w:r>
          </w:p>
        </w:tc>
        <w:tc>
          <w:tcPr>
            <w:tcW w:w="2919" w:type="pct"/>
            <w:tcBorders>
              <w:bottom w:val="single" w:sz="18" w:space="0" w:color="auto"/>
            </w:tcBorders>
          </w:tcPr>
          <w:p w14:paraId="35C2AAE5" w14:textId="7710ECB6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kern w:val="2"/>
                <w:sz w:val="24"/>
                <w:szCs w:val="24"/>
              </w:rPr>
              <w:t>Quality measures of antimicrobial drug use</w:t>
            </w:r>
          </w:p>
        </w:tc>
        <w:tc>
          <w:tcPr>
            <w:tcW w:w="1119" w:type="pct"/>
            <w:tcBorders>
              <w:bottom w:val="single" w:sz="18" w:space="0" w:color="auto"/>
            </w:tcBorders>
          </w:tcPr>
          <w:p w14:paraId="0822EF35" w14:textId="4424EF0A" w:rsidR="003825A1" w:rsidRPr="003825A1" w:rsidRDefault="003825A1" w:rsidP="002F0A17">
            <w:pPr>
              <w:pStyle w:val="a6"/>
              <w:adjustRightIn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Int J </w:t>
            </w:r>
            <w:proofErr w:type="spellStart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>Antimicrob</w:t>
            </w:r>
            <w:proofErr w:type="spellEnd"/>
            <w:r w:rsidRPr="003825A1">
              <w:rPr>
                <w:rFonts w:ascii="Times New Roman" w:eastAsia="휴먼명조" w:hAnsi="Times New Roman" w:cs="Times New Roman"/>
                <w:iCs/>
                <w:sz w:val="24"/>
                <w:szCs w:val="24"/>
              </w:rPr>
              <w:t xml:space="preserve"> Agents</w:t>
            </w:r>
            <w:r w:rsidRPr="003825A1">
              <w:rPr>
                <w:rFonts w:ascii="Times New Roman" w:eastAsia="휴먼명조" w:hAnsi="Times New Roman" w:cs="Times New Roman"/>
                <w:sz w:val="24"/>
                <w:szCs w:val="24"/>
              </w:rPr>
              <w:t>. 2001;17:9-19.</w:t>
            </w:r>
          </w:p>
        </w:tc>
      </w:tr>
    </w:tbl>
    <w:p w14:paraId="015CFBBE" w14:textId="77777777" w:rsidR="003825A1" w:rsidRPr="003825A1" w:rsidRDefault="003825A1" w:rsidP="002F0A1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0D2D44" w14:textId="77777777" w:rsidR="00263B6F" w:rsidRPr="00442EF9" w:rsidRDefault="00263B6F" w:rsidP="0001645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63B6F" w:rsidRPr="00442EF9" w:rsidSect="003825A1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FE8A7" w14:textId="77777777" w:rsidR="00C7164B" w:rsidRDefault="00C7164B" w:rsidP="00BE5E4A">
      <w:pPr>
        <w:spacing w:after="0" w:line="240" w:lineRule="auto"/>
      </w:pPr>
      <w:r>
        <w:separator/>
      </w:r>
    </w:p>
  </w:endnote>
  <w:endnote w:type="continuationSeparator" w:id="0">
    <w:p w14:paraId="73787CC9" w14:textId="77777777" w:rsidR="00C7164B" w:rsidRDefault="00C7164B" w:rsidP="00BE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CF886E" w14:textId="77777777" w:rsidR="00C7164B" w:rsidRDefault="00C7164B" w:rsidP="00BE5E4A">
      <w:pPr>
        <w:spacing w:after="0" w:line="240" w:lineRule="auto"/>
      </w:pPr>
      <w:r>
        <w:separator/>
      </w:r>
    </w:p>
  </w:footnote>
  <w:footnote w:type="continuationSeparator" w:id="0">
    <w:p w14:paraId="4CADC679" w14:textId="77777777" w:rsidR="00C7164B" w:rsidRDefault="00C7164B" w:rsidP="00BE5E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2621"/>
    <w:rsid w:val="00016456"/>
    <w:rsid w:val="000844A8"/>
    <w:rsid w:val="00107A9A"/>
    <w:rsid w:val="001F45C3"/>
    <w:rsid w:val="00263B6F"/>
    <w:rsid w:val="002A4052"/>
    <w:rsid w:val="002F0A17"/>
    <w:rsid w:val="00352050"/>
    <w:rsid w:val="003825A1"/>
    <w:rsid w:val="003847F5"/>
    <w:rsid w:val="00392978"/>
    <w:rsid w:val="003A671F"/>
    <w:rsid w:val="0042668D"/>
    <w:rsid w:val="00433515"/>
    <w:rsid w:val="00442EF9"/>
    <w:rsid w:val="00491D66"/>
    <w:rsid w:val="00495A49"/>
    <w:rsid w:val="005052A1"/>
    <w:rsid w:val="0055331C"/>
    <w:rsid w:val="005D51C9"/>
    <w:rsid w:val="006766C0"/>
    <w:rsid w:val="006846F6"/>
    <w:rsid w:val="00687A1C"/>
    <w:rsid w:val="006C5941"/>
    <w:rsid w:val="00723B29"/>
    <w:rsid w:val="007D0D17"/>
    <w:rsid w:val="0086034A"/>
    <w:rsid w:val="0088004C"/>
    <w:rsid w:val="008C3232"/>
    <w:rsid w:val="008D06BE"/>
    <w:rsid w:val="00901F61"/>
    <w:rsid w:val="009B53FA"/>
    <w:rsid w:val="00BE5E4A"/>
    <w:rsid w:val="00C06D84"/>
    <w:rsid w:val="00C7164B"/>
    <w:rsid w:val="00C75653"/>
    <w:rsid w:val="00C845D7"/>
    <w:rsid w:val="00C9598B"/>
    <w:rsid w:val="00CC7268"/>
    <w:rsid w:val="00D00D75"/>
    <w:rsid w:val="00E0584F"/>
    <w:rsid w:val="00E110ED"/>
    <w:rsid w:val="00E21481"/>
    <w:rsid w:val="00E848FA"/>
    <w:rsid w:val="00EF1F41"/>
    <w:rsid w:val="00F3152E"/>
    <w:rsid w:val="00F649B7"/>
    <w:rsid w:val="00FD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6855A"/>
  <w15:docId w15:val="{CB8F5AB7-3D1F-45BA-B7A4-3F90284EC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E5E4A"/>
  </w:style>
  <w:style w:type="paragraph" w:styleId="a4">
    <w:name w:val="footer"/>
    <w:basedOn w:val="a"/>
    <w:link w:val="Char0"/>
    <w:uiPriority w:val="99"/>
    <w:unhideWhenUsed/>
    <w:rsid w:val="00BE5E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E5E4A"/>
  </w:style>
  <w:style w:type="table" w:styleId="a5">
    <w:name w:val="Table Grid"/>
    <w:basedOn w:val="a1"/>
    <w:uiPriority w:val="59"/>
    <w:rsid w:val="00BE5E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바탕글"/>
    <w:basedOn w:val="a"/>
    <w:rsid w:val="003825A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3825A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3825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92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7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 Se Yoon</cp:lastModifiedBy>
  <cp:revision>3</cp:revision>
  <dcterms:created xsi:type="dcterms:W3CDTF">2020-11-12T06:39:00Z</dcterms:created>
  <dcterms:modified xsi:type="dcterms:W3CDTF">2020-11-13T13:00:00Z</dcterms:modified>
</cp:coreProperties>
</file>