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7DF8B" w14:textId="5587C895" w:rsidR="003F3F8B" w:rsidRPr="008A69CC" w:rsidRDefault="00127B03" w:rsidP="008A69CC">
      <w:pPr>
        <w:spacing w:line="480" w:lineRule="auto"/>
        <w:rPr>
          <w:rFonts w:ascii="Times New Roman" w:eastAsia="Calibri" w:hAnsi="Times New Roman" w:cs="Times New Roman"/>
          <w:b/>
          <w:bCs/>
          <w:color w:val="000000"/>
          <w:kern w:val="0"/>
          <w:lang w:val="en-US"/>
          <w14:ligatures w14:val="none"/>
        </w:rPr>
      </w:pPr>
      <w:r w:rsidRPr="00415CA1">
        <w:rPr>
          <w:rFonts w:ascii="Times New Roman" w:hAnsi="Times New Roman" w:cs="Times New Roman"/>
          <w:b/>
          <w:bCs/>
          <w:lang w:val="en-US"/>
        </w:rPr>
        <w:t xml:space="preserve">Table 4. </w:t>
      </w:r>
      <w:r w:rsidR="00415CA1" w:rsidRPr="00415CA1">
        <w:rPr>
          <w:rFonts w:ascii="Times New Roman" w:eastAsia="Calibri" w:hAnsi="Times New Roman" w:cs="Times New Roman"/>
          <w:b/>
          <w:bCs/>
          <w:color w:val="000000"/>
          <w:kern w:val="0"/>
          <w:lang w:val="en-US"/>
          <w14:ligatures w14:val="none"/>
        </w:rPr>
        <w:t>Multivariate analysis of LILRB1 expression on T cells in MS patients</w:t>
      </w:r>
      <w:r w:rsidR="00371BC4">
        <w:rPr>
          <w:rFonts w:ascii="Times New Roman" w:eastAsia="Calibri" w:hAnsi="Times New Roman" w:cs="Times New Roman"/>
          <w:b/>
          <w:bCs/>
          <w:color w:val="000000"/>
          <w:kern w:val="0"/>
          <w:lang w:val="en-US"/>
          <w14:ligatures w14:val="none"/>
        </w:rPr>
        <w:t>.</w:t>
      </w:r>
      <w:bookmarkStart w:id="0" w:name="_GoBack"/>
      <w:bookmarkEnd w:id="0"/>
    </w:p>
    <w:p w14:paraId="698AAE9F" w14:textId="0859F596" w:rsidR="003F3F8B" w:rsidRDefault="003F3F8B" w:rsidP="00415CA1">
      <w:pPr>
        <w:spacing w:line="480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val="en-US"/>
          <w14:ligatures w14:val="none"/>
        </w:rPr>
      </w:pPr>
    </w:p>
    <w:tbl>
      <w:tblPr>
        <w:tblStyle w:val="Tablaconcuadrcula1clara"/>
        <w:tblW w:w="13994" w:type="dxa"/>
        <w:tblLook w:val="04A0" w:firstRow="1" w:lastRow="0" w:firstColumn="1" w:lastColumn="0" w:noHBand="0" w:noVBand="1"/>
      </w:tblPr>
      <w:tblGrid>
        <w:gridCol w:w="1646"/>
        <w:gridCol w:w="771"/>
        <w:gridCol w:w="1352"/>
        <w:gridCol w:w="1007"/>
        <w:gridCol w:w="685"/>
        <w:gridCol w:w="1266"/>
        <w:gridCol w:w="1007"/>
        <w:gridCol w:w="771"/>
        <w:gridCol w:w="1352"/>
        <w:gridCol w:w="1007"/>
        <w:gridCol w:w="771"/>
        <w:gridCol w:w="1352"/>
        <w:gridCol w:w="1007"/>
      </w:tblGrid>
      <w:tr w:rsidR="008A69CC" w:rsidRPr="008A69CC" w14:paraId="2281B986" w14:textId="77777777" w:rsidTr="008A69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auto"/>
            </w:tcBorders>
            <w:hideMark/>
          </w:tcPr>
          <w:p w14:paraId="2519EE2A" w14:textId="55AB3E72" w:rsidR="008A69CC" w:rsidRPr="008A69CC" w:rsidRDefault="008A69CC" w:rsidP="003F3F8B">
            <w:pPr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6ED285E4" w14:textId="05A3B408" w:rsidR="008A69CC" w:rsidRPr="00C41468" w:rsidRDefault="008A69CC" w:rsidP="003F3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C41468">
              <w:rPr>
                <w:rFonts w:ascii="Times New Roman" w:hAnsi="Times New Roman" w:cs="Times New Roman"/>
                <w:lang w:val="en-US" w:eastAsia="ca-ES"/>
              </w:rPr>
              <w:t>CD8+ LILRB1</w:t>
            </w: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1D67645B" w14:textId="107E73DE" w:rsidR="008A69CC" w:rsidRPr="00C41468" w:rsidRDefault="008A69CC" w:rsidP="003F3F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C41468">
              <w:rPr>
                <w:rFonts w:ascii="Times New Roman" w:hAnsi="Times New Roman" w:cs="Times New Roman"/>
                <w:lang w:val="en-US" w:eastAsia="ca-ES"/>
              </w:rPr>
              <w:t>CD4+ LILRB1</w:t>
            </w:r>
          </w:p>
        </w:tc>
      </w:tr>
      <w:tr w:rsidR="008A69CC" w:rsidRPr="008A69CC" w14:paraId="4F83EF42" w14:textId="77777777" w:rsidTr="008A6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6" w:space="0" w:color="FFFFFF" w:themeColor="background1"/>
              <w:right w:val="single" w:sz="6" w:space="0" w:color="auto"/>
            </w:tcBorders>
            <w:hideMark/>
          </w:tcPr>
          <w:p w14:paraId="65B70193" w14:textId="77777777" w:rsidR="008A69CC" w:rsidRPr="008A69CC" w:rsidRDefault="008A69CC" w:rsidP="003F3F8B">
            <w:pPr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gridSpan w:val="3"/>
            <w:tcBorders>
              <w:left w:val="single" w:sz="6" w:space="0" w:color="auto"/>
              <w:bottom w:val="single" w:sz="4" w:space="0" w:color="999999" w:themeColor="text1" w:themeTint="66"/>
              <w:right w:val="single" w:sz="6" w:space="0" w:color="auto"/>
            </w:tcBorders>
            <w:vAlign w:val="center"/>
            <w:hideMark/>
          </w:tcPr>
          <w:p w14:paraId="1315E959" w14:textId="4AD69741" w:rsidR="008A69CC" w:rsidRPr="008A69CC" w:rsidRDefault="008A69CC" w:rsidP="003F3F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b/>
                <w:i/>
                <w:lang w:val="en-US" w:eastAsia="ca-ES"/>
              </w:rPr>
              <w:t>MS patients</w:t>
            </w:r>
          </w:p>
        </w:tc>
        <w:tc>
          <w:tcPr>
            <w:tcW w:w="0" w:type="auto"/>
            <w:gridSpan w:val="3"/>
            <w:tcBorders>
              <w:left w:val="single" w:sz="6" w:space="0" w:color="auto"/>
              <w:bottom w:val="single" w:sz="4" w:space="0" w:color="999999" w:themeColor="text1" w:themeTint="66"/>
              <w:right w:val="single" w:sz="6" w:space="0" w:color="auto"/>
            </w:tcBorders>
            <w:vAlign w:val="center"/>
            <w:hideMark/>
          </w:tcPr>
          <w:p w14:paraId="0BF28A45" w14:textId="75031634" w:rsidR="008A69CC" w:rsidRPr="008A69CC" w:rsidRDefault="008A69CC" w:rsidP="003F3F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b/>
                <w:i/>
                <w:lang w:val="en-US" w:eastAsia="ca-ES"/>
              </w:rPr>
              <w:t>Controls</w:t>
            </w:r>
          </w:p>
        </w:tc>
        <w:tc>
          <w:tcPr>
            <w:tcW w:w="0" w:type="auto"/>
            <w:gridSpan w:val="3"/>
            <w:tcBorders>
              <w:left w:val="single" w:sz="6" w:space="0" w:color="auto"/>
              <w:bottom w:val="single" w:sz="4" w:space="0" w:color="999999" w:themeColor="text1" w:themeTint="66"/>
              <w:right w:val="single" w:sz="6" w:space="0" w:color="auto"/>
            </w:tcBorders>
            <w:vAlign w:val="center"/>
            <w:hideMark/>
          </w:tcPr>
          <w:p w14:paraId="6927D167" w14:textId="3B00A594" w:rsidR="008A69CC" w:rsidRPr="008A69CC" w:rsidRDefault="008A69CC" w:rsidP="003F3F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b/>
                <w:i/>
                <w:lang w:val="en-US" w:eastAsia="ca-ES"/>
              </w:rPr>
              <w:t>MS patients</w:t>
            </w:r>
          </w:p>
        </w:tc>
        <w:tc>
          <w:tcPr>
            <w:tcW w:w="0" w:type="auto"/>
            <w:gridSpan w:val="3"/>
            <w:tcBorders>
              <w:left w:val="single" w:sz="6" w:space="0" w:color="auto"/>
              <w:bottom w:val="single" w:sz="4" w:space="0" w:color="999999" w:themeColor="text1" w:themeTint="66"/>
              <w:right w:val="single" w:sz="6" w:space="0" w:color="auto"/>
            </w:tcBorders>
            <w:vAlign w:val="center"/>
            <w:hideMark/>
          </w:tcPr>
          <w:p w14:paraId="1993A093" w14:textId="59DC3F9A" w:rsidR="008A69CC" w:rsidRPr="008A69CC" w:rsidRDefault="008A69CC" w:rsidP="003F3F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b/>
                <w:i/>
                <w:lang w:val="en-US" w:eastAsia="ca-ES"/>
              </w:rPr>
              <w:t>Controls</w:t>
            </w:r>
          </w:p>
        </w:tc>
      </w:tr>
      <w:tr w:rsidR="008A69CC" w:rsidRPr="008A69CC" w14:paraId="55420874" w14:textId="77777777" w:rsidTr="008A6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6" w:space="0" w:color="FFFFFF" w:themeColor="background1"/>
              <w:right w:val="single" w:sz="6" w:space="0" w:color="auto"/>
            </w:tcBorders>
            <w:hideMark/>
          </w:tcPr>
          <w:p w14:paraId="137E983D" w14:textId="50729CF3" w:rsidR="008A69CC" w:rsidRPr="008A69CC" w:rsidRDefault="008A69CC" w:rsidP="003F3F8B">
            <w:pPr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12" w:space="0" w:color="7F7F7F" w:themeColor="text1" w:themeTint="80"/>
            </w:tcBorders>
            <w:hideMark/>
          </w:tcPr>
          <w:p w14:paraId="7AA306CB" w14:textId="65C3B706" w:rsidR="008A69CC" w:rsidRPr="008A69CC" w:rsidRDefault="008A69CC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β</w:t>
            </w:r>
          </w:p>
        </w:tc>
        <w:tc>
          <w:tcPr>
            <w:tcW w:w="0" w:type="auto"/>
            <w:tcBorders>
              <w:bottom w:val="single" w:sz="12" w:space="0" w:color="7F7F7F" w:themeColor="text1" w:themeTint="80"/>
            </w:tcBorders>
            <w:hideMark/>
          </w:tcPr>
          <w:p w14:paraId="5B488125" w14:textId="1C7B1E0B" w:rsidR="008A69CC" w:rsidRPr="008A69CC" w:rsidRDefault="008A69CC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95% CI</w:t>
            </w:r>
          </w:p>
        </w:tc>
        <w:tc>
          <w:tcPr>
            <w:tcW w:w="0" w:type="auto"/>
            <w:tcBorders>
              <w:bottom w:val="single" w:sz="12" w:space="0" w:color="7F7F7F" w:themeColor="text1" w:themeTint="80"/>
              <w:right w:val="single" w:sz="6" w:space="0" w:color="auto"/>
            </w:tcBorders>
            <w:hideMark/>
          </w:tcPr>
          <w:p w14:paraId="078F5BC3" w14:textId="3A3C5F64" w:rsidR="008A69CC" w:rsidRPr="008A69CC" w:rsidRDefault="008A69CC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p-value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12" w:space="0" w:color="7F7F7F" w:themeColor="text1" w:themeTint="80"/>
            </w:tcBorders>
            <w:hideMark/>
          </w:tcPr>
          <w:p w14:paraId="21BFE9DC" w14:textId="205155C5" w:rsidR="008A69CC" w:rsidRPr="008A69CC" w:rsidRDefault="008A69CC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β</w:t>
            </w:r>
          </w:p>
        </w:tc>
        <w:tc>
          <w:tcPr>
            <w:tcW w:w="0" w:type="auto"/>
            <w:tcBorders>
              <w:bottom w:val="single" w:sz="12" w:space="0" w:color="7F7F7F" w:themeColor="text1" w:themeTint="80"/>
            </w:tcBorders>
            <w:hideMark/>
          </w:tcPr>
          <w:p w14:paraId="5A7B623B" w14:textId="791887DA" w:rsidR="008A69CC" w:rsidRPr="008A69CC" w:rsidRDefault="008A69CC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95% CI</w:t>
            </w:r>
          </w:p>
        </w:tc>
        <w:tc>
          <w:tcPr>
            <w:tcW w:w="0" w:type="auto"/>
            <w:tcBorders>
              <w:bottom w:val="single" w:sz="12" w:space="0" w:color="7F7F7F" w:themeColor="text1" w:themeTint="80"/>
              <w:right w:val="single" w:sz="6" w:space="0" w:color="auto"/>
            </w:tcBorders>
            <w:hideMark/>
          </w:tcPr>
          <w:p w14:paraId="4A744BF2" w14:textId="3D20A7C9" w:rsidR="008A69CC" w:rsidRPr="008A69CC" w:rsidRDefault="008A69CC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p-value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12" w:space="0" w:color="7F7F7F" w:themeColor="text1" w:themeTint="80"/>
            </w:tcBorders>
            <w:hideMark/>
          </w:tcPr>
          <w:p w14:paraId="6A926CEF" w14:textId="6B543251" w:rsidR="008A69CC" w:rsidRPr="008A69CC" w:rsidRDefault="008A69CC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β</w:t>
            </w:r>
          </w:p>
        </w:tc>
        <w:tc>
          <w:tcPr>
            <w:tcW w:w="0" w:type="auto"/>
            <w:tcBorders>
              <w:bottom w:val="single" w:sz="12" w:space="0" w:color="7F7F7F" w:themeColor="text1" w:themeTint="80"/>
            </w:tcBorders>
            <w:hideMark/>
          </w:tcPr>
          <w:p w14:paraId="0E6A0DDB" w14:textId="0A44713B" w:rsidR="008A69CC" w:rsidRPr="008A69CC" w:rsidRDefault="008A69CC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95% CI</w:t>
            </w:r>
          </w:p>
        </w:tc>
        <w:tc>
          <w:tcPr>
            <w:tcW w:w="0" w:type="auto"/>
            <w:tcBorders>
              <w:bottom w:val="single" w:sz="12" w:space="0" w:color="7F7F7F" w:themeColor="text1" w:themeTint="80"/>
              <w:right w:val="single" w:sz="6" w:space="0" w:color="auto"/>
            </w:tcBorders>
            <w:hideMark/>
          </w:tcPr>
          <w:p w14:paraId="15A235CC" w14:textId="7EB88D1E" w:rsidR="008A69CC" w:rsidRPr="008A69CC" w:rsidRDefault="008A69CC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p-value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12" w:space="0" w:color="7F7F7F" w:themeColor="text1" w:themeTint="80"/>
            </w:tcBorders>
            <w:hideMark/>
          </w:tcPr>
          <w:p w14:paraId="0AF67F2C" w14:textId="181B3FC5" w:rsidR="008A69CC" w:rsidRPr="008A69CC" w:rsidRDefault="008A69CC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β</w:t>
            </w:r>
          </w:p>
        </w:tc>
        <w:tc>
          <w:tcPr>
            <w:tcW w:w="0" w:type="auto"/>
            <w:tcBorders>
              <w:bottom w:val="single" w:sz="12" w:space="0" w:color="7F7F7F" w:themeColor="text1" w:themeTint="80"/>
            </w:tcBorders>
            <w:hideMark/>
          </w:tcPr>
          <w:p w14:paraId="2D7966F8" w14:textId="7E0CD0A9" w:rsidR="008A69CC" w:rsidRPr="008A69CC" w:rsidRDefault="008A69CC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95% CI</w:t>
            </w:r>
          </w:p>
        </w:tc>
        <w:tc>
          <w:tcPr>
            <w:tcW w:w="0" w:type="auto"/>
            <w:tcBorders>
              <w:bottom w:val="single" w:sz="12" w:space="0" w:color="7F7F7F" w:themeColor="text1" w:themeTint="80"/>
              <w:right w:val="single" w:sz="6" w:space="0" w:color="auto"/>
            </w:tcBorders>
            <w:hideMark/>
          </w:tcPr>
          <w:p w14:paraId="25700379" w14:textId="4CADF1D5" w:rsidR="008A69CC" w:rsidRPr="008A69CC" w:rsidRDefault="008A69CC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p-value</w:t>
            </w:r>
          </w:p>
        </w:tc>
      </w:tr>
      <w:tr w:rsidR="003F3F8B" w:rsidRPr="008A69CC" w14:paraId="3146793A" w14:textId="77777777" w:rsidTr="008A69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6" w:space="0" w:color="auto"/>
            </w:tcBorders>
            <w:hideMark/>
          </w:tcPr>
          <w:p w14:paraId="614B3FA0" w14:textId="1DEAB6C6" w:rsidR="003F3F8B" w:rsidRPr="008A69CC" w:rsidRDefault="003F3F8B" w:rsidP="003F3F8B">
            <w:pPr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CMV</w:t>
            </w:r>
          </w:p>
        </w:tc>
        <w:tc>
          <w:tcPr>
            <w:tcW w:w="0" w:type="auto"/>
            <w:tcBorders>
              <w:top w:val="single" w:sz="12" w:space="0" w:color="7F7F7F" w:themeColor="text1" w:themeTint="80"/>
              <w:left w:val="single" w:sz="6" w:space="0" w:color="auto"/>
              <w:bottom w:val="nil"/>
              <w:right w:val="nil"/>
            </w:tcBorders>
            <w:hideMark/>
          </w:tcPr>
          <w:p w14:paraId="1ED4D623" w14:textId="7AAFBBF7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9.8</w:t>
            </w:r>
          </w:p>
        </w:tc>
        <w:tc>
          <w:tcPr>
            <w:tcW w:w="0" w:type="auto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  <w:hideMark/>
          </w:tcPr>
          <w:p w14:paraId="6627BD9A" w14:textId="7E49B2FB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5.8, 14</w:t>
            </w:r>
          </w:p>
        </w:tc>
        <w:tc>
          <w:tcPr>
            <w:tcW w:w="0" w:type="auto"/>
            <w:tcBorders>
              <w:top w:val="single" w:sz="12" w:space="0" w:color="7F7F7F" w:themeColor="text1" w:themeTint="80"/>
              <w:left w:val="nil"/>
              <w:bottom w:val="nil"/>
              <w:right w:val="single" w:sz="6" w:space="0" w:color="auto"/>
            </w:tcBorders>
            <w:hideMark/>
          </w:tcPr>
          <w:p w14:paraId="1DA1A253" w14:textId="6C64389F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b/>
                <w:lang w:val="en-US" w:eastAsia="ca-ES"/>
              </w:rPr>
              <w:t>&lt;0.001</w:t>
            </w:r>
          </w:p>
        </w:tc>
        <w:tc>
          <w:tcPr>
            <w:tcW w:w="0" w:type="auto"/>
            <w:tcBorders>
              <w:top w:val="single" w:sz="12" w:space="0" w:color="7F7F7F" w:themeColor="text1" w:themeTint="80"/>
              <w:left w:val="single" w:sz="6" w:space="0" w:color="auto"/>
              <w:bottom w:val="nil"/>
              <w:right w:val="nil"/>
            </w:tcBorders>
            <w:hideMark/>
          </w:tcPr>
          <w:p w14:paraId="5CDD1AC6" w14:textId="4EF7F3F6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13</w:t>
            </w:r>
          </w:p>
        </w:tc>
        <w:tc>
          <w:tcPr>
            <w:tcW w:w="0" w:type="auto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  <w:hideMark/>
          </w:tcPr>
          <w:p w14:paraId="295908DB" w14:textId="37E4BA20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3.4, 22</w:t>
            </w:r>
          </w:p>
        </w:tc>
        <w:tc>
          <w:tcPr>
            <w:tcW w:w="0" w:type="auto"/>
            <w:tcBorders>
              <w:top w:val="single" w:sz="12" w:space="0" w:color="7F7F7F" w:themeColor="text1" w:themeTint="80"/>
              <w:left w:val="nil"/>
              <w:bottom w:val="nil"/>
              <w:right w:val="single" w:sz="6" w:space="0" w:color="auto"/>
            </w:tcBorders>
            <w:hideMark/>
          </w:tcPr>
          <w:p w14:paraId="57B574C0" w14:textId="5CC54207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b/>
                <w:lang w:val="en-US" w:eastAsia="ca-ES"/>
              </w:rPr>
              <w:t>0.008</w:t>
            </w:r>
          </w:p>
        </w:tc>
        <w:tc>
          <w:tcPr>
            <w:tcW w:w="0" w:type="auto"/>
            <w:tcBorders>
              <w:top w:val="single" w:sz="12" w:space="0" w:color="7F7F7F" w:themeColor="text1" w:themeTint="80"/>
              <w:left w:val="single" w:sz="6" w:space="0" w:color="auto"/>
              <w:bottom w:val="nil"/>
              <w:right w:val="nil"/>
            </w:tcBorders>
            <w:hideMark/>
          </w:tcPr>
          <w:p w14:paraId="674CD69E" w14:textId="383146E4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1.6</w:t>
            </w:r>
          </w:p>
        </w:tc>
        <w:tc>
          <w:tcPr>
            <w:tcW w:w="0" w:type="auto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  <w:hideMark/>
          </w:tcPr>
          <w:p w14:paraId="09D268AF" w14:textId="2F9E16E1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1.0, 2.2</w:t>
            </w:r>
          </w:p>
        </w:tc>
        <w:tc>
          <w:tcPr>
            <w:tcW w:w="0" w:type="auto"/>
            <w:tcBorders>
              <w:top w:val="single" w:sz="12" w:space="0" w:color="7F7F7F" w:themeColor="text1" w:themeTint="80"/>
              <w:left w:val="nil"/>
              <w:bottom w:val="nil"/>
              <w:right w:val="single" w:sz="6" w:space="0" w:color="auto"/>
            </w:tcBorders>
            <w:hideMark/>
          </w:tcPr>
          <w:p w14:paraId="6806A9A9" w14:textId="5EE08BFB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b/>
                <w:lang w:val="en-US" w:eastAsia="ca-ES"/>
              </w:rPr>
              <w:t>&lt;0.001</w:t>
            </w:r>
          </w:p>
        </w:tc>
        <w:tc>
          <w:tcPr>
            <w:tcW w:w="0" w:type="auto"/>
            <w:tcBorders>
              <w:top w:val="single" w:sz="12" w:space="0" w:color="7F7F7F" w:themeColor="text1" w:themeTint="80"/>
              <w:left w:val="single" w:sz="6" w:space="0" w:color="auto"/>
              <w:bottom w:val="nil"/>
              <w:right w:val="nil"/>
            </w:tcBorders>
            <w:hideMark/>
          </w:tcPr>
          <w:p w14:paraId="62A7990D" w14:textId="745DB152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1.7</w:t>
            </w:r>
          </w:p>
        </w:tc>
        <w:tc>
          <w:tcPr>
            <w:tcW w:w="0" w:type="auto"/>
            <w:tcBorders>
              <w:top w:val="single" w:sz="12" w:space="0" w:color="7F7F7F" w:themeColor="text1" w:themeTint="80"/>
              <w:left w:val="nil"/>
              <w:bottom w:val="nil"/>
              <w:right w:val="nil"/>
            </w:tcBorders>
            <w:hideMark/>
          </w:tcPr>
          <w:p w14:paraId="52A76DB3" w14:textId="4DC5B0D0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0.47, 2.9</w:t>
            </w:r>
          </w:p>
        </w:tc>
        <w:tc>
          <w:tcPr>
            <w:tcW w:w="0" w:type="auto"/>
            <w:tcBorders>
              <w:top w:val="single" w:sz="12" w:space="0" w:color="7F7F7F" w:themeColor="text1" w:themeTint="80"/>
              <w:left w:val="nil"/>
              <w:bottom w:val="nil"/>
              <w:right w:val="single" w:sz="6" w:space="0" w:color="auto"/>
            </w:tcBorders>
            <w:hideMark/>
          </w:tcPr>
          <w:p w14:paraId="7C284E08" w14:textId="341D0583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b/>
                <w:lang w:val="en-US" w:eastAsia="ca-ES"/>
              </w:rPr>
              <w:t>0.009</w:t>
            </w:r>
          </w:p>
        </w:tc>
      </w:tr>
      <w:tr w:rsidR="003F3F8B" w:rsidRPr="008A69CC" w14:paraId="53029337" w14:textId="77777777" w:rsidTr="003F3F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6" w:space="0" w:color="auto"/>
            </w:tcBorders>
            <w:hideMark/>
          </w:tcPr>
          <w:p w14:paraId="77A56455" w14:textId="40542E45" w:rsidR="003F3F8B" w:rsidRPr="008A69CC" w:rsidRDefault="003F3F8B" w:rsidP="003F3F8B">
            <w:pPr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Age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1F070EE9" w14:textId="6C29F91F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CD3C833" w14:textId="3AFB1097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0.19, 0.62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3B43847" w14:textId="516A6AA0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b/>
                <w:lang w:val="en-US" w:eastAsia="ca-ES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03DFB711" w14:textId="025D4EC7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87EAE4A" w14:textId="37333D43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0.08, 0.69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EF11FAD" w14:textId="04D422A8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b/>
                <w:lang w:val="en-US" w:eastAsia="ca-ES"/>
              </w:rPr>
              <w:t>0.014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33592509" w14:textId="5CC2BF49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EEA767" w14:textId="196EFF89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-0.03, 0.04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47991227" w14:textId="0FCCCEA4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0.8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65A4632" w14:textId="4E3E114D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043D8CF" w14:textId="01B4B0BB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-0.06, 0.02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5E16594" w14:textId="10881A32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0.4</w:t>
            </w:r>
          </w:p>
        </w:tc>
      </w:tr>
      <w:tr w:rsidR="003F3F8B" w:rsidRPr="008A69CC" w14:paraId="1F8237B7" w14:textId="77777777" w:rsidTr="003F3F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6" w:space="0" w:color="auto"/>
            </w:tcBorders>
            <w:hideMark/>
          </w:tcPr>
          <w:p w14:paraId="24D68484" w14:textId="787FD8D1" w:rsidR="003F3F8B" w:rsidRPr="008A69CC" w:rsidRDefault="003F3F8B" w:rsidP="003F3F8B">
            <w:pPr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ARR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54A68622" w14:textId="155BE2F1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3749973" w14:textId="77B3B056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-0.16, 1.3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7B2F951C" w14:textId="3E960CA3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14:paraId="6B78462F" w14:textId="1D6F998A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0297263" w14:textId="5D62122E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14:paraId="5115F670" w14:textId="166060C1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529C028D" w14:textId="02083745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1AB79C" w14:textId="0F300101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-0.12, 0.10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A02B417" w14:textId="720E9833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hideMark/>
          </w:tcPr>
          <w:p w14:paraId="24C396B9" w14:textId="34F1CE92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E79EBCE" w14:textId="3B8E7C33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6582B4F" w14:textId="643F7D1A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</w:p>
        </w:tc>
      </w:tr>
      <w:tr w:rsidR="003F3F8B" w:rsidRPr="008A69CC" w14:paraId="0570EEAE" w14:textId="77777777" w:rsidTr="003F3F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6" w:space="0" w:color="auto"/>
            </w:tcBorders>
            <w:hideMark/>
          </w:tcPr>
          <w:p w14:paraId="61A01BEE" w14:textId="2C34FB4F" w:rsidR="003F3F8B" w:rsidRPr="008A69CC" w:rsidRDefault="003F3F8B" w:rsidP="003F3F8B">
            <w:pPr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MS duration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65C58FE" w14:textId="3E6B2F21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FCEF8D1" w14:textId="47F11016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-0.33, 0.17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22C3D06" w14:textId="3B333754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0.5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662DD383" w14:textId="77777777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183B9C" w14:textId="77777777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47B37C2E" w14:textId="77777777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4BAFC681" w14:textId="0A59BB4F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15F1BE1" w14:textId="7B2D8E54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-0.04, 0.03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8BD587D" w14:textId="08BA32F5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  <w:r w:rsidRPr="008A69CC">
              <w:rPr>
                <w:rFonts w:ascii="Times New Roman" w:hAnsi="Times New Roman" w:cs="Times New Roman"/>
                <w:lang w:val="en-US" w:eastAsia="ca-ES"/>
              </w:rPr>
              <w:t>0.8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02F86D69" w14:textId="77777777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89F8E3" w14:textId="77777777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1DE898" w14:textId="77777777" w:rsidR="003F3F8B" w:rsidRPr="008A69CC" w:rsidRDefault="003F3F8B" w:rsidP="003F3F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 w:eastAsia="ca-ES"/>
              </w:rPr>
            </w:pPr>
          </w:p>
        </w:tc>
      </w:tr>
    </w:tbl>
    <w:p w14:paraId="4C54D271" w14:textId="1FB14C15" w:rsidR="003F3F8B" w:rsidRPr="00855B54" w:rsidRDefault="003F3F8B" w:rsidP="003F3F8B">
      <w:pPr>
        <w:rPr>
          <w:rFonts w:ascii="Times New Roman" w:hAnsi="Times New Roman" w:cs="Times New Roman"/>
          <w:lang w:val="en-US" w:eastAsia="ca-ES"/>
        </w:rPr>
      </w:pPr>
      <w:r w:rsidRPr="008A69CC">
        <w:rPr>
          <w:rFonts w:ascii="Times New Roman" w:hAnsi="Times New Roman" w:cs="Times New Roman"/>
          <w:lang w:val="en-US" w:eastAsia="ca-ES"/>
        </w:rPr>
        <w:t>Abbreviation: MS = Multiple Sclerosis</w:t>
      </w:r>
      <w:r w:rsidR="00855B54">
        <w:rPr>
          <w:rFonts w:ascii="Times New Roman" w:hAnsi="Times New Roman" w:cs="Times New Roman"/>
          <w:lang w:val="en-US" w:eastAsia="ca-ES"/>
        </w:rPr>
        <w:t>;</w:t>
      </w:r>
      <w:r w:rsidRPr="008A69CC">
        <w:rPr>
          <w:rFonts w:ascii="Times New Roman" w:hAnsi="Times New Roman" w:cs="Times New Roman"/>
          <w:lang w:val="en-US" w:eastAsia="ca-ES"/>
        </w:rPr>
        <w:t xml:space="preserve"> CI = Confidence Interval</w:t>
      </w:r>
      <w:r w:rsidR="00855B54">
        <w:rPr>
          <w:rFonts w:ascii="Times New Roman" w:hAnsi="Times New Roman" w:cs="Times New Roman"/>
          <w:lang w:val="en-US" w:eastAsia="ca-ES"/>
        </w:rPr>
        <w:t xml:space="preserve">; </w:t>
      </w:r>
      <w:r w:rsidR="00855B54" w:rsidRPr="00855B54">
        <w:rPr>
          <w:rFonts w:ascii="Times New Roman" w:hAnsi="Times New Roman" w:cs="Times New Roman"/>
          <w:lang w:val="en-US" w:eastAsia="ca-ES"/>
        </w:rPr>
        <w:t>CMV = Cytomegalovirus; ARR = Annualized Relapse Rate; β = unstandardized regression coefficient.</w:t>
      </w:r>
    </w:p>
    <w:p w14:paraId="6AE8D266" w14:textId="6FC08D27" w:rsidR="003F3F8B" w:rsidRPr="00855B54" w:rsidRDefault="003F3F8B" w:rsidP="003F3F8B">
      <w:pPr>
        <w:spacing w:line="480" w:lineRule="auto"/>
        <w:ind w:firstLine="708"/>
        <w:rPr>
          <w:rFonts w:ascii="Times New Roman" w:eastAsia="Calibri" w:hAnsi="Times New Roman" w:cs="Times New Roman"/>
          <w:bCs/>
          <w:color w:val="000000"/>
          <w:kern w:val="0"/>
          <w:szCs w:val="20"/>
          <w:lang w:val="en-US"/>
          <w14:ligatures w14:val="none"/>
        </w:rPr>
      </w:pPr>
    </w:p>
    <w:p w14:paraId="48F414F7" w14:textId="5B272FFC" w:rsidR="00855B54" w:rsidRPr="00855B54" w:rsidRDefault="00855B54" w:rsidP="00855B54">
      <w:pPr>
        <w:spacing w:line="480" w:lineRule="auto"/>
        <w:rPr>
          <w:rFonts w:ascii="Times New Roman" w:eastAsia="Calibri" w:hAnsi="Times New Roman" w:cs="Times New Roman"/>
          <w:bCs/>
          <w:color w:val="000000"/>
          <w:kern w:val="0"/>
          <w:szCs w:val="20"/>
          <w:lang w:val="en-US"/>
          <w14:ligatures w14:val="none"/>
        </w:rPr>
      </w:pPr>
      <w:r w:rsidRPr="00855B54">
        <w:rPr>
          <w:rFonts w:ascii="Times New Roman" w:eastAsia="Calibri" w:hAnsi="Times New Roman" w:cs="Times New Roman"/>
          <w:bCs/>
          <w:color w:val="000000"/>
          <w:kern w:val="0"/>
          <w:szCs w:val="20"/>
          <w:lang w:val="en-US"/>
          <w14:ligatures w14:val="none"/>
        </w:rPr>
        <w:t>Linear regression models were adjusted for CMV serostatus and age in all groups; ARR and MS duration were additionally included in MS patient models only, as these variables are not applicable to controls (blank cells). CMV serostatus was coded as a binary variable (seropositive vs. seronegative, reference group). Statistically significant associations (p&lt;0.05) are shown in bold.</w:t>
      </w:r>
    </w:p>
    <w:p w14:paraId="68A8006E" w14:textId="77777777" w:rsidR="003F3F8B" w:rsidRPr="00371BC4" w:rsidRDefault="003F3F8B" w:rsidP="003F3F8B">
      <w:pPr>
        <w:spacing w:line="480" w:lineRule="auto"/>
        <w:ind w:firstLine="708"/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:lang w:val="en-US"/>
          <w14:ligatures w14:val="none"/>
        </w:rPr>
      </w:pPr>
    </w:p>
    <w:sectPr w:rsidR="003F3F8B" w:rsidRPr="00371BC4" w:rsidSect="003F3F8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B03"/>
    <w:rsid w:val="00127B03"/>
    <w:rsid w:val="00371BC4"/>
    <w:rsid w:val="003F3F8B"/>
    <w:rsid w:val="00415CA1"/>
    <w:rsid w:val="00767585"/>
    <w:rsid w:val="007D6F87"/>
    <w:rsid w:val="00855B54"/>
    <w:rsid w:val="008A69CC"/>
    <w:rsid w:val="009358F3"/>
    <w:rsid w:val="009E413A"/>
    <w:rsid w:val="00AD6968"/>
    <w:rsid w:val="00C4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D4117"/>
  <w15:chartTrackingRefBased/>
  <w15:docId w15:val="{35FBA94C-0E4B-4A86-8AE2-2D70E9849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27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7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7B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7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7B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27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7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7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7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7B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7B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7B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7B0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7B0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27B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7B0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7B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7B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27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27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27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27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27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27B0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27B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27B0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27B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27B0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27B03"/>
    <w:rPr>
      <w:b/>
      <w:bCs/>
      <w:smallCaps/>
      <w:color w:val="2F5496" w:themeColor="accent1" w:themeShade="BF"/>
      <w:spacing w:val="5"/>
    </w:rPr>
  </w:style>
  <w:style w:type="character" w:customStyle="1" w:styleId="gtfrommd">
    <w:name w:val="gt_from_md"/>
    <w:basedOn w:val="Fuentedeprrafopredeter"/>
    <w:rsid w:val="003F3F8B"/>
  </w:style>
  <w:style w:type="character" w:styleId="Textoennegrita">
    <w:name w:val="Strong"/>
    <w:basedOn w:val="Fuentedeprrafopredeter"/>
    <w:uiPriority w:val="22"/>
    <w:qFormat/>
    <w:rsid w:val="003F3F8B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3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3F8B"/>
    <w:rPr>
      <w:rFonts w:ascii="Segoe UI" w:hAnsi="Segoe UI" w:cs="Segoe UI"/>
      <w:sz w:val="18"/>
      <w:szCs w:val="18"/>
    </w:rPr>
  </w:style>
  <w:style w:type="table" w:styleId="Tablaconcuadrcula1clara">
    <w:name w:val="Grid Table 1 Light"/>
    <w:basedOn w:val="Tablanormal"/>
    <w:uiPriority w:val="46"/>
    <w:rsid w:val="003F3F8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5938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</w:divsChild>
    </w:div>
    <w:div w:id="3638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4244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</w:divsChild>
    </w:div>
    <w:div w:id="15831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  <w:div w:id="19338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D3D3D3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Enrique Martínez Rodríguez</dc:creator>
  <cp:keywords/>
  <dc:description/>
  <cp:lastModifiedBy>Jose Enrique Martinez Rodriguez</cp:lastModifiedBy>
  <cp:revision>3</cp:revision>
  <dcterms:created xsi:type="dcterms:W3CDTF">2026-09-13T10:35:00Z</dcterms:created>
  <dcterms:modified xsi:type="dcterms:W3CDTF">2026-09-13T10:35:00Z</dcterms:modified>
</cp:coreProperties>
</file>