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B35C5F" w14:textId="7DCFA94E" w:rsidR="004C7D0E" w:rsidRDefault="004C7D0E" w:rsidP="008803C7">
      <w:pPr>
        <w:spacing w:line="480" w:lineRule="auto"/>
        <w:jc w:val="both"/>
        <w:rPr>
          <w:b/>
          <w:bCs/>
        </w:rPr>
      </w:pPr>
      <w:r>
        <w:rPr>
          <w:b/>
          <w:bCs/>
        </w:rPr>
        <w:t>Supplemental Data</w:t>
      </w:r>
    </w:p>
    <w:p w14:paraId="22171A9B" w14:textId="77777777" w:rsidR="0098667E" w:rsidRPr="00A51EFF" w:rsidRDefault="0098667E" w:rsidP="0098667E">
      <w:pPr>
        <w:spacing w:line="480" w:lineRule="auto"/>
        <w:rPr>
          <w:b/>
          <w:bCs/>
          <w:color w:val="000000"/>
        </w:rPr>
      </w:pPr>
      <w:r w:rsidRPr="00A51EFF">
        <w:rPr>
          <w:b/>
          <w:bCs/>
          <w:color w:val="000000"/>
        </w:rPr>
        <w:t>Improved tumor discrimination and shortened administration-to-imaging times in fluorescence guided surgery through paired-agent protocols</w:t>
      </w:r>
    </w:p>
    <w:p w14:paraId="149DF543" w14:textId="77777777" w:rsidR="00C20E95" w:rsidRDefault="00C20E95" w:rsidP="008803C7">
      <w:pPr>
        <w:spacing w:line="480" w:lineRule="auto"/>
        <w:jc w:val="both"/>
      </w:pPr>
      <w:r w:rsidRPr="00C20E95">
        <w:t xml:space="preserve">This file includes: </w:t>
      </w:r>
    </w:p>
    <w:p w14:paraId="0AD6BA19" w14:textId="77777777" w:rsidR="00C20E95" w:rsidRDefault="00C20E95" w:rsidP="008803C7">
      <w:pPr>
        <w:spacing w:line="480" w:lineRule="auto"/>
        <w:jc w:val="both"/>
      </w:pPr>
      <w:r w:rsidRPr="00C20E95">
        <w:t xml:space="preserve">Supplementary </w:t>
      </w:r>
      <w:r>
        <w:t xml:space="preserve">Figure </w:t>
      </w:r>
      <w:r w:rsidRPr="00C20E95">
        <w:t xml:space="preserve">1 </w:t>
      </w:r>
    </w:p>
    <w:p w14:paraId="6AAE11BE" w14:textId="77777777" w:rsidR="00C20E95" w:rsidRDefault="00C20E95" w:rsidP="008803C7">
      <w:pPr>
        <w:spacing w:line="480" w:lineRule="auto"/>
        <w:jc w:val="both"/>
      </w:pPr>
      <w:r w:rsidRPr="00C20E95">
        <w:t xml:space="preserve">Supplementary </w:t>
      </w:r>
      <w:r>
        <w:t>Figure 2</w:t>
      </w:r>
      <w:r w:rsidRPr="00C20E95">
        <w:t xml:space="preserve"> </w:t>
      </w:r>
    </w:p>
    <w:p w14:paraId="32EB9CDC" w14:textId="4BBC692D" w:rsidR="00C20E95" w:rsidRDefault="00C20E95" w:rsidP="008803C7">
      <w:pPr>
        <w:spacing w:line="480" w:lineRule="auto"/>
        <w:jc w:val="both"/>
      </w:pPr>
      <w:r w:rsidRPr="00C20E95">
        <w:t xml:space="preserve">Supplementary </w:t>
      </w:r>
      <w:r>
        <w:t>Figure 3</w:t>
      </w:r>
    </w:p>
    <w:p w14:paraId="43E4AD33" w14:textId="7992F162" w:rsidR="00A626AB" w:rsidRDefault="00A626AB" w:rsidP="008803C7">
      <w:pPr>
        <w:spacing w:line="480" w:lineRule="auto"/>
        <w:jc w:val="both"/>
      </w:pPr>
      <w:r w:rsidRPr="00C20E95">
        <w:t xml:space="preserve">Supplementary </w:t>
      </w:r>
      <w:r>
        <w:t>Figure 4</w:t>
      </w:r>
    </w:p>
    <w:p w14:paraId="5EC67547" w14:textId="1AF71A54" w:rsidR="00B7521C" w:rsidRDefault="00B7521C" w:rsidP="008803C7">
      <w:pPr>
        <w:spacing w:after="120" w:line="480" w:lineRule="auto"/>
        <w:jc w:val="both"/>
      </w:pPr>
      <w:r>
        <w:t>Supplementary Figure 5</w:t>
      </w:r>
    </w:p>
    <w:p w14:paraId="161BCF19" w14:textId="14B9BFD1" w:rsidR="00A626AB" w:rsidRDefault="00B7521C" w:rsidP="008803C7">
      <w:pPr>
        <w:spacing w:after="120" w:line="480" w:lineRule="auto"/>
        <w:jc w:val="both"/>
      </w:pPr>
      <w:r>
        <w:t>Supplementary Table 1</w:t>
      </w:r>
    </w:p>
    <w:p w14:paraId="13ED80E9" w14:textId="77777777" w:rsidR="00C20E95" w:rsidRDefault="00C20E95" w:rsidP="008803C7">
      <w:pPr>
        <w:spacing w:line="480" w:lineRule="auto"/>
        <w:jc w:val="both"/>
      </w:pPr>
      <w:r w:rsidRPr="00C20E95">
        <w:t>Supplementary References</w:t>
      </w:r>
    </w:p>
    <w:p w14:paraId="19772E15" w14:textId="77777777" w:rsidR="00EF769F" w:rsidRDefault="00EF769F" w:rsidP="008803C7">
      <w:pPr>
        <w:spacing w:line="480" w:lineRule="auto"/>
        <w:jc w:val="both"/>
      </w:pPr>
    </w:p>
    <w:p w14:paraId="0C2FA164" w14:textId="54530B45" w:rsidR="00EF769F" w:rsidRDefault="004C7D0E" w:rsidP="008803C7">
      <w:pPr>
        <w:spacing w:line="480" w:lineRule="auto"/>
        <w:jc w:val="both"/>
        <w:rPr>
          <w:b/>
          <w:i/>
        </w:rPr>
      </w:pPr>
      <w:r>
        <w:rPr>
          <w:b/>
          <w:i/>
        </w:rPr>
        <w:t>S1. Determination of paired-agent dose based on autofluorescence signal</w:t>
      </w:r>
    </w:p>
    <w:p w14:paraId="10E42A84" w14:textId="1C3FB244" w:rsidR="004C7D0E" w:rsidRDefault="004C7D0E" w:rsidP="008803C7">
      <w:pPr>
        <w:spacing w:line="480" w:lineRule="auto"/>
        <w:jc w:val="both"/>
        <w:rPr>
          <w:b/>
        </w:rPr>
      </w:pPr>
    </w:p>
    <w:p w14:paraId="6C0B2203" w14:textId="58F42200" w:rsidR="00996366" w:rsidRPr="00964CA8" w:rsidRDefault="00996366" w:rsidP="008803C7">
      <w:pPr>
        <w:spacing w:line="480" w:lineRule="auto"/>
        <w:jc w:val="both"/>
      </w:pPr>
      <w:r>
        <w:t>In order to determine the effect of autofluorescence on the observed fluorescence emission intensity, mice (</w:t>
      </w:r>
      <w:r>
        <w:rPr>
          <w:i/>
        </w:rPr>
        <w:t>n</w:t>
      </w:r>
      <w:r>
        <w:t xml:space="preserve"> = 3, per cell line) bearing tongue tumors were sacrificed without injection of fluorescent agents. The tongues were bisected along the raphe and imaged on the Odyssey CLx scanner, as described for paired-agent injected mice in the </w:t>
      </w:r>
      <w:r w:rsidRPr="00191EB4">
        <w:rPr>
          <w:i/>
        </w:rPr>
        <w:t>Materials and Methods</w:t>
      </w:r>
      <w:r>
        <w:t>. The average fluorescence intensity of the tumor and surrounding normal tongue were calculated and compared to mice with a human-equivalent microdose (30 nanomoles)</w:t>
      </w:r>
      <w:r w:rsidR="00964CA8">
        <w:t xml:space="preserve"> of each agent (</w:t>
      </w:r>
      <w:r w:rsidR="00964CA8">
        <w:rPr>
          <w:i/>
        </w:rPr>
        <w:t>n</w:t>
      </w:r>
      <w:r w:rsidR="00964CA8">
        <w:t xml:space="preserve"> = 3). </w:t>
      </w:r>
      <w:r w:rsidR="00366BC0" w:rsidRPr="00995797">
        <w:t>Using the method of Reagan-Shaw (2007)</w:t>
      </w:r>
      <w:r w:rsidR="006B66F8">
        <w:t xml:space="preserve"> </w:t>
      </w:r>
      <w:r w:rsidR="00DE49DB">
        <w:fldChar w:fldCharType="begin"/>
      </w:r>
      <w:r w:rsidR="006B66F8">
        <w:instrText xml:space="preserve"> ADDIN ZOTERO_ITEM CSL_CITATION {"citationID":"FPdsH2yq","properties":{"formattedCitation":"(1)","plainCitation":"(1)","noteIndex":0},"citationItems":[{"id":100,"uris":["http://zotero.org/users/local/V3m02W1y/items/3EHSTF7F"],"uri":["http://zotero.org/users/local/V3m02W1y/items/3EHSTF7F"],"itemData":{"id":100,"type":"article-journal","abstract":"As new drugs are developed, it is essential to appropriately translate the drug dosage from one animal species to another. A misunderstanding appears to exist regarding the appropriate method for allometric dose translations, especially when starting new animal or clinical studies. The need for education regarding appropriate translation is evident from the media response regarding some recent studies where authors have shown that resveratrol, a compound found in grapes and red wine, improves the health and life span of mice. Immediately after the online publication of these papers, the scientific community and popular press voiced concerns regarding the relevance of the dose of resveratrol used by the authors. The animal dose should not be extrapolated to a human equivalent dose (HED) by a simple conversion based on body weight, as was reported. For the more appropriate conversion of drug doses from animal studies to human studies, we suggest using the body surface area (BSA) normalization method. BSA correlates well across several mammalian species with several parameters of biology, including oxygen utilization, caloric expenditure, basal metabolism, blood volume, circulating plasma proteins, and renal function. We advocate the use of BSA as a factor when converting a dose for translation from animals to humans, especially for phase I and phase II clinical trials.","container-title":"FASEB journal: official publication of the Federation of American Societies for Experimental Biology","DOI":"10.1096/fj.07-9574LSF","ISSN":"1530-6860","issue":"3","journalAbbreviation":"FASEB J.","language":"eng","note":"PMID: 17942826","page":"659-661","source":"PubMed","title":"Dose translation from animal to human studies revisited","volume":"22","author":[{"family":"Reagan-Shaw","given":"Shannon"},{"family":"Nihal","given":"Minakshi"},{"family":"Ahmad","given":"Nihal"}],"issued":{"date-parts":[["2008",3]]}}}],"schema":"https://github.com/citation-style-language/schema/raw/master/csl-citation.json"} </w:instrText>
      </w:r>
      <w:r w:rsidR="00DE49DB">
        <w:fldChar w:fldCharType="separate"/>
      </w:r>
      <w:r w:rsidR="003C4B82">
        <w:t>(1)</w:t>
      </w:r>
      <w:r w:rsidR="00DE49DB">
        <w:fldChar w:fldCharType="end"/>
      </w:r>
      <w:r w:rsidR="00366BC0">
        <w:t>,</w:t>
      </w:r>
      <w:r w:rsidR="00366BC0" w:rsidRPr="00995797">
        <w:t xml:space="preserve"> the mouse equivalent dose was determined to be 48.8 </w:t>
      </w:r>
      <w:r w:rsidR="00366BC0" w:rsidRPr="00995797">
        <w:rPr>
          <w:rFonts w:ascii="Symbol" w:hAnsi="Symbol"/>
        </w:rPr>
        <w:t></w:t>
      </w:r>
      <w:r w:rsidR="00366BC0" w:rsidRPr="00995797">
        <w:t xml:space="preserve">g/kg and an average mass of 22 g was used for a final dose of 1.07 </w:t>
      </w:r>
      <w:r w:rsidR="00366BC0" w:rsidRPr="00514A69">
        <w:rPr>
          <w:rFonts w:ascii="Symbol" w:hAnsi="Symbol"/>
        </w:rPr>
        <w:t></w:t>
      </w:r>
      <w:r w:rsidR="00366BC0" w:rsidRPr="00995797">
        <w:t>g per mouse.</w:t>
      </w:r>
      <w:r w:rsidR="00366BC0">
        <w:t xml:space="preserve"> </w:t>
      </w:r>
      <w:proofErr w:type="gramStart"/>
      <w:r w:rsidR="00366BC0">
        <w:t>So</w:t>
      </w:r>
      <w:proofErr w:type="gramEnd"/>
      <w:r w:rsidR="00366BC0">
        <w:t xml:space="preserve"> 10 </w:t>
      </w:r>
      <w:r w:rsidR="00366BC0" w:rsidRPr="003066FF">
        <w:t>x</w:t>
      </w:r>
      <w:r w:rsidR="00366BC0">
        <w:t xml:space="preserve"> dose is 10.7 </w:t>
      </w:r>
      <w:r w:rsidR="00366BC0" w:rsidRPr="00514A69">
        <w:rPr>
          <w:rFonts w:ascii="Symbol" w:hAnsi="Symbol"/>
        </w:rPr>
        <w:t></w:t>
      </w:r>
      <w:r w:rsidR="00366BC0" w:rsidRPr="00995797">
        <w:t>g per mouse</w:t>
      </w:r>
      <w:r w:rsidR="00366BC0">
        <w:t xml:space="preserve">. </w:t>
      </w:r>
      <w:r w:rsidR="00964CA8">
        <w:t>At a micro</w:t>
      </w:r>
      <w:r w:rsidR="00F86FC7">
        <w:t>-</w:t>
      </w:r>
      <w:r w:rsidR="00964CA8">
        <w:t xml:space="preserve">dose, the ABY-029 signal was &gt;15 times the autofluorescence signal in the </w:t>
      </w:r>
      <w:r w:rsidR="00964CA8">
        <w:lastRenderedPageBreak/>
        <w:t>800-channel; however, the IRDye 700DX signal was &lt;</w:t>
      </w:r>
      <w:r w:rsidR="00DF7BC6">
        <w:t>10</w:t>
      </w:r>
      <w:r w:rsidR="00964CA8">
        <w:t xml:space="preserve"> times the 700-channel autofluorescence. Therefore,</w:t>
      </w:r>
      <w:r w:rsidR="00DF7BC6">
        <w:t xml:space="preserve"> 10 times human-equivalent microdose (300 nanomoles) of IRDye 700DX was tested and at 3-hours post-administration it was found that the fluorescence signal was ~8-10 times that of the autofluorescence. Therefore, it was determined that ABY-029 and IRDye 700DX will be administered in a 1:10 molar ratio (30:300 nanomoles). This discrepancy in the dose of the PAI agents is accounted for in the normalization factor (Equation 2).</w:t>
      </w:r>
    </w:p>
    <w:p w14:paraId="64714195" w14:textId="599CD680" w:rsidR="00996366" w:rsidRDefault="00DF7BC6" w:rsidP="008803C7">
      <w:pPr>
        <w:spacing w:line="480" w:lineRule="auto"/>
        <w:ind w:firstLine="720"/>
        <w:jc w:val="both"/>
      </w:pPr>
      <w:r>
        <w:t>In addition to determining the dose of paired-agent administration</w:t>
      </w:r>
      <w:r w:rsidR="004C7D0E">
        <w:t xml:space="preserve">, the autofluorescence values of each tissue </w:t>
      </w:r>
      <w:r>
        <w:t>affects the observed binding potential values. Typically, autofluorescence is subtracted off of every post-injection image - on a pixel-by-pixel basis if images are taken without moving the animal, or on average if the animal is moved between pre- and post-administration images. Here,</w:t>
      </w:r>
      <w:r w:rsidR="004C7D0E">
        <w:t xml:space="preserve"> it was found that pre-injection the BPs </w:t>
      </w:r>
      <w:r w:rsidR="004C7D0E" w:rsidRPr="007C5D5E">
        <w:t>were</w:t>
      </w:r>
      <w:r w:rsidR="007C5D5E" w:rsidRPr="007C5D5E">
        <w:t xml:space="preserve"> -0.79</w:t>
      </w:r>
      <w:r w:rsidR="00B95FA4">
        <w:t xml:space="preserve"> </w:t>
      </w:r>
      <w:r w:rsidR="00B95FA4" w:rsidRPr="00CB6CEC">
        <w:rPr>
          <w:color w:val="000000" w:themeColor="text1"/>
        </w:rPr>
        <w:t>±</w:t>
      </w:r>
      <w:r w:rsidR="00B95FA4">
        <w:rPr>
          <w:color w:val="000000" w:themeColor="text1"/>
        </w:rPr>
        <w:t xml:space="preserve"> 0.0</w:t>
      </w:r>
      <w:r w:rsidR="001E6B40">
        <w:rPr>
          <w:color w:val="000000" w:themeColor="text1"/>
        </w:rPr>
        <w:t>4</w:t>
      </w:r>
      <w:r w:rsidR="004C7D0E" w:rsidRPr="007C5D5E">
        <w:t xml:space="preserve">, </w:t>
      </w:r>
      <w:r w:rsidR="007C5D5E" w:rsidRPr="007C5D5E">
        <w:t>-0.88</w:t>
      </w:r>
      <w:r w:rsidR="001E6B40">
        <w:t xml:space="preserve"> </w:t>
      </w:r>
      <w:r w:rsidR="001E6B40" w:rsidRPr="00CB6CEC">
        <w:rPr>
          <w:color w:val="000000" w:themeColor="text1"/>
        </w:rPr>
        <w:t>±</w:t>
      </w:r>
      <w:r w:rsidR="001E6B40">
        <w:rPr>
          <w:color w:val="000000" w:themeColor="text1"/>
        </w:rPr>
        <w:t xml:space="preserve"> 0.02</w:t>
      </w:r>
      <w:r w:rsidR="004C7D0E" w:rsidRPr="007C5D5E">
        <w:t xml:space="preserve">, </w:t>
      </w:r>
      <w:r w:rsidR="007C5D5E" w:rsidRPr="007C5D5E">
        <w:t>-0.83</w:t>
      </w:r>
      <w:r w:rsidR="001E6B40">
        <w:t xml:space="preserve"> </w:t>
      </w:r>
      <w:r w:rsidR="001E6B40" w:rsidRPr="00CB6CEC">
        <w:rPr>
          <w:color w:val="000000" w:themeColor="text1"/>
        </w:rPr>
        <w:t>±</w:t>
      </w:r>
      <w:r w:rsidR="001E6B40">
        <w:rPr>
          <w:color w:val="000000" w:themeColor="text1"/>
        </w:rPr>
        <w:t xml:space="preserve"> 0.01</w:t>
      </w:r>
      <w:r w:rsidR="004C7D0E" w:rsidRPr="007C5D5E">
        <w:t>, and</w:t>
      </w:r>
      <w:r w:rsidR="007C5D5E" w:rsidRPr="007C5D5E">
        <w:t xml:space="preserve"> -0.83</w:t>
      </w:r>
      <w:r w:rsidR="004C7D0E">
        <w:t xml:space="preserve"> </w:t>
      </w:r>
      <w:r w:rsidR="001E6B40" w:rsidRPr="00CB6CEC">
        <w:rPr>
          <w:color w:val="000000" w:themeColor="text1"/>
        </w:rPr>
        <w:t>±</w:t>
      </w:r>
      <w:r w:rsidR="001E6B40">
        <w:rPr>
          <w:color w:val="000000" w:themeColor="text1"/>
        </w:rPr>
        <w:t xml:space="preserve"> 0.01 </w:t>
      </w:r>
      <w:r w:rsidR="004C7D0E">
        <w:t>for normal tongue, FaDu, Detroit 562, and A431</w:t>
      </w:r>
      <w:r w:rsidR="008650E2">
        <w:t>, respectively</w:t>
      </w:r>
      <w:r w:rsidR="004C7D0E">
        <w:t xml:space="preserve">. The BP values for tumor are </w:t>
      </w:r>
      <w:r w:rsidR="007C5D5E">
        <w:t>lower than that for normal tongue</w:t>
      </w:r>
      <w:r w:rsidR="004C7D0E">
        <w:t xml:space="preserve"> because the autofluores</w:t>
      </w:r>
      <w:r w:rsidR="001E6B40">
        <w:t>cence in the 700 channel is</w:t>
      </w:r>
      <w:r w:rsidR="004C7D0E">
        <w:t xml:space="preserve"> stronger than that in the 800 </w:t>
      </w:r>
      <w:proofErr w:type="gramStart"/>
      <w:r w:rsidR="006039B2">
        <w:t>channel</w:t>
      </w:r>
      <w:proofErr w:type="gramEnd"/>
      <w:r w:rsidR="004C7D0E">
        <w:t xml:space="preserve">. This indicates that the BP values we report here are actually underestimating the real BP when autofluorescence is considered, and the difference between normal and tumor tissue would actually be greater if the autofluorescence was considered. </w:t>
      </w:r>
    </w:p>
    <w:p w14:paraId="35293AAB" w14:textId="0CA88600" w:rsidR="00DF7BC6" w:rsidRDefault="009B0508" w:rsidP="008803C7">
      <w:pPr>
        <w:spacing w:line="480" w:lineRule="auto"/>
        <w:jc w:val="center"/>
      </w:pPr>
      <w:r>
        <w:rPr>
          <w:noProof/>
        </w:rPr>
        <w:lastRenderedPageBreak/>
        <w:drawing>
          <wp:inline distT="0" distB="0" distL="0" distR="0" wp14:anchorId="38296F31" wp14:editId="48163676">
            <wp:extent cx="5662246" cy="3187064"/>
            <wp:effectExtent l="0" t="0" r="254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eng_BME_v12 (dragged).pdf"/>
                    <pic:cNvPicPr/>
                  </pic:nvPicPr>
                  <pic:blipFill rotWithShape="1">
                    <a:blip r:embed="rId6" cstate="print">
                      <a:extLst>
                        <a:ext uri="{28A0092B-C50C-407E-A947-70E740481C1C}">
                          <a14:useLocalDpi xmlns:a14="http://schemas.microsoft.com/office/drawing/2010/main" val="0"/>
                        </a:ext>
                      </a:extLst>
                    </a:blip>
                    <a:srcRect l="11833" r="1959" b="35303"/>
                    <a:stretch/>
                  </pic:blipFill>
                  <pic:spPr bwMode="auto">
                    <a:xfrm>
                      <a:off x="0" y="0"/>
                      <a:ext cx="5665626" cy="3188966"/>
                    </a:xfrm>
                    <a:prstGeom prst="rect">
                      <a:avLst/>
                    </a:prstGeom>
                    <a:ln>
                      <a:noFill/>
                    </a:ln>
                    <a:extLst>
                      <a:ext uri="{53640926-AAD7-44D8-BBD7-CCE9431645EC}">
                        <a14:shadowObscured xmlns:a14="http://schemas.microsoft.com/office/drawing/2010/main"/>
                      </a:ext>
                    </a:extLst>
                  </pic:spPr>
                </pic:pic>
              </a:graphicData>
            </a:graphic>
          </wp:inline>
        </w:drawing>
      </w:r>
    </w:p>
    <w:p w14:paraId="1211D116" w14:textId="295B8629" w:rsidR="00A626AB" w:rsidRDefault="00996366" w:rsidP="008803C7">
      <w:pPr>
        <w:spacing w:line="480" w:lineRule="auto"/>
        <w:jc w:val="both"/>
      </w:pPr>
      <w:r>
        <w:rPr>
          <w:b/>
        </w:rPr>
        <w:t>Figure S1.</w:t>
      </w:r>
      <w:r>
        <w:t xml:space="preserve"> Determining doses of paired-agent imaging using auto</w:t>
      </w:r>
      <w:r w:rsidR="00FD6667">
        <w:t>-</w:t>
      </w:r>
      <w:r>
        <w:t xml:space="preserve">fluorescence. </w:t>
      </w:r>
      <w:r w:rsidR="00235F84" w:rsidRPr="00FD6667">
        <w:rPr>
          <w:b/>
        </w:rPr>
        <w:t>A</w:t>
      </w:r>
      <w:r w:rsidR="00FD6667" w:rsidRPr="00FD6667">
        <w:rPr>
          <w:b/>
        </w:rPr>
        <w:t>,</w:t>
      </w:r>
      <w:r w:rsidR="00235F84">
        <w:t xml:space="preserve"> </w:t>
      </w:r>
      <w:proofErr w:type="gramStart"/>
      <w:r>
        <w:t>For</w:t>
      </w:r>
      <w:proofErr w:type="gramEnd"/>
      <w:r>
        <w:t xml:space="preserve"> each tumor type</w:t>
      </w:r>
      <w:r w:rsidR="00235F84">
        <w:t xml:space="preserve"> a representative example of the autofluorescence in a tongue tumor from FaDu, Detroit 562 and A431 cell lines are shown for the 700 and 800 nm channels of the Odyssey CL</w:t>
      </w:r>
      <w:r w:rsidR="00F86FC7">
        <w:t>x</w:t>
      </w:r>
      <w:r w:rsidR="00235F84">
        <w:t xml:space="preserve"> scanner and compared to standard H&amp;E and epidermal growth factor rece</w:t>
      </w:r>
      <w:r w:rsidR="00F86FC7">
        <w:t>ptor</w:t>
      </w:r>
      <w:r w:rsidR="00235F84">
        <w:t xml:space="preserve"> (EGFR) immunohistochemistry (IHC). </w:t>
      </w:r>
      <w:r w:rsidR="00FD6667" w:rsidRPr="00FD6667">
        <w:rPr>
          <w:b/>
        </w:rPr>
        <w:t>B,</w:t>
      </w:r>
      <w:r w:rsidR="00FD6667">
        <w:t xml:space="preserve"> </w:t>
      </w:r>
      <w:proofErr w:type="gramStart"/>
      <w:r w:rsidR="00235F84" w:rsidRPr="00E320A7">
        <w:t>The</w:t>
      </w:r>
      <w:proofErr w:type="gramEnd"/>
      <w:r w:rsidR="00235F84" w:rsidRPr="00E320A7">
        <w:t xml:space="preserve"> binding potential (BP) calculated for each naïve tongue is shown in the corresponding box plot</w:t>
      </w:r>
      <w:r w:rsidR="00235F84">
        <w:t xml:space="preserve">. </w:t>
      </w:r>
    </w:p>
    <w:p w14:paraId="153AF2F8" w14:textId="77777777" w:rsidR="00A626AB" w:rsidRDefault="00A626AB" w:rsidP="008803C7">
      <w:pPr>
        <w:spacing w:line="480" w:lineRule="auto"/>
        <w:jc w:val="both"/>
      </w:pPr>
    </w:p>
    <w:p w14:paraId="21421ABD" w14:textId="43A9E711" w:rsidR="00A626AB" w:rsidRDefault="00FD6667" w:rsidP="008803C7">
      <w:pPr>
        <w:spacing w:line="480" w:lineRule="auto"/>
        <w:jc w:val="center"/>
      </w:pPr>
      <w:r>
        <w:rPr>
          <w:noProof/>
        </w:rPr>
        <w:lastRenderedPageBreak/>
        <w:drawing>
          <wp:inline distT="0" distB="0" distL="0" distR="0" wp14:anchorId="6812513D" wp14:editId="27670483">
            <wp:extent cx="5941913" cy="3905428"/>
            <wp:effectExtent l="0" t="0" r="1905"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heng_BME_v12 (dragged).pdf"/>
                    <pic:cNvPicPr/>
                  </pic:nvPicPr>
                  <pic:blipFill rotWithShape="1">
                    <a:blip r:embed="rId7" cstate="print">
                      <a:extLst>
                        <a:ext uri="{28A0092B-C50C-407E-A947-70E740481C1C}">
                          <a14:useLocalDpi xmlns:a14="http://schemas.microsoft.com/office/drawing/2010/main" val="0"/>
                        </a:ext>
                      </a:extLst>
                    </a:blip>
                    <a:srcRect l="11292" t="25594" r="17408" b="11923"/>
                    <a:stretch/>
                  </pic:blipFill>
                  <pic:spPr bwMode="auto">
                    <a:xfrm>
                      <a:off x="0" y="0"/>
                      <a:ext cx="5946535" cy="3908466"/>
                    </a:xfrm>
                    <a:prstGeom prst="rect">
                      <a:avLst/>
                    </a:prstGeom>
                    <a:ln>
                      <a:noFill/>
                    </a:ln>
                    <a:extLst>
                      <a:ext uri="{53640926-AAD7-44D8-BBD7-CCE9431645EC}">
                        <a14:shadowObscured xmlns:a14="http://schemas.microsoft.com/office/drawing/2010/main"/>
                      </a:ext>
                    </a:extLst>
                  </pic:spPr>
                </pic:pic>
              </a:graphicData>
            </a:graphic>
          </wp:inline>
        </w:drawing>
      </w:r>
    </w:p>
    <w:p w14:paraId="0E7F46D0" w14:textId="663EAF76" w:rsidR="00366BC0" w:rsidRDefault="00A626AB" w:rsidP="008803C7">
      <w:pPr>
        <w:spacing w:line="480" w:lineRule="auto"/>
        <w:jc w:val="both"/>
      </w:pPr>
      <w:r>
        <w:rPr>
          <w:b/>
        </w:rPr>
        <w:t>Figure S2.</w:t>
      </w:r>
      <w:r w:rsidR="00235F84">
        <w:t xml:space="preserve"> </w:t>
      </w:r>
      <w:r w:rsidR="00FD6667" w:rsidRPr="00FD6667">
        <w:rPr>
          <w:b/>
        </w:rPr>
        <w:t>A,</w:t>
      </w:r>
      <w:r w:rsidR="00FD6667">
        <w:t xml:space="preserve"> </w:t>
      </w:r>
      <w:r w:rsidR="00235F84">
        <w:t>Fluorescence measurements in tumor and normal tissue are shown in the 700 and 800 channels for auto</w:t>
      </w:r>
      <w:r w:rsidR="00F86FC7">
        <w:t>-</w:t>
      </w:r>
      <w:r w:rsidR="00235F84">
        <w:t>fluores</w:t>
      </w:r>
      <w:r w:rsidR="00F86FC7">
        <w:t>c</w:t>
      </w:r>
      <w:r w:rsidR="00235F84">
        <w:t>ence, 1X dose of ABY-029 and IRDye 700DX (mouse equivalent to the human microdose, 30 nanomoles), and a 1X dose of ABY-</w:t>
      </w:r>
      <w:r w:rsidR="00FD6667">
        <w:t>0</w:t>
      </w:r>
      <w:r w:rsidR="00235F84">
        <w:t xml:space="preserve">29 and 10X dose of IRDye 700DX. </w:t>
      </w:r>
      <w:r w:rsidR="00FD6667" w:rsidRPr="00FD6667">
        <w:rPr>
          <w:b/>
        </w:rPr>
        <w:t>B,</w:t>
      </w:r>
      <w:r w:rsidR="00235F84">
        <w:t xml:space="preserve"> </w:t>
      </w:r>
      <w:proofErr w:type="gramStart"/>
      <w:r w:rsidR="00235F84">
        <w:t>The</w:t>
      </w:r>
      <w:proofErr w:type="gramEnd"/>
      <w:r w:rsidR="00235F84">
        <w:t xml:space="preserve"> naïve and 10X dose values of IRDye 700DX are shown for each tumor type.</w:t>
      </w:r>
    </w:p>
    <w:p w14:paraId="0FEDC7B9" w14:textId="77777777" w:rsidR="00366BC0" w:rsidRPr="00996366" w:rsidRDefault="00366BC0" w:rsidP="008803C7">
      <w:pPr>
        <w:spacing w:line="480" w:lineRule="auto"/>
        <w:jc w:val="both"/>
      </w:pPr>
    </w:p>
    <w:p w14:paraId="4217AD6D" w14:textId="026329B7" w:rsidR="00996C25" w:rsidRDefault="00996C25" w:rsidP="008803C7">
      <w:pPr>
        <w:spacing w:line="480" w:lineRule="auto"/>
        <w:jc w:val="both"/>
        <w:rPr>
          <w:b/>
          <w:i/>
        </w:rPr>
      </w:pPr>
      <w:r>
        <w:rPr>
          <w:b/>
          <w:i/>
        </w:rPr>
        <w:t>S2</w:t>
      </w:r>
      <w:r>
        <w:rPr>
          <w:b/>
        </w:rPr>
        <w:t xml:space="preserve">. </w:t>
      </w:r>
      <w:r>
        <w:rPr>
          <w:b/>
          <w:i/>
        </w:rPr>
        <w:t xml:space="preserve">Comparison of </w:t>
      </w:r>
      <w:r w:rsidR="00996366">
        <w:rPr>
          <w:b/>
          <w:i/>
        </w:rPr>
        <w:t>tumor-to-background ratio and contrast-to-variance ratio to measure image contrast</w:t>
      </w:r>
    </w:p>
    <w:p w14:paraId="314403D5" w14:textId="77777777" w:rsidR="002455AD" w:rsidRDefault="002455AD" w:rsidP="008803C7">
      <w:pPr>
        <w:spacing w:line="480" w:lineRule="auto"/>
        <w:jc w:val="both"/>
        <w:rPr>
          <w:b/>
        </w:rPr>
      </w:pPr>
    </w:p>
    <w:p w14:paraId="352B9938" w14:textId="54D12955" w:rsidR="000518E4" w:rsidRDefault="00200124" w:rsidP="008803C7">
      <w:pPr>
        <w:spacing w:line="480" w:lineRule="auto"/>
        <w:ind w:firstLine="720"/>
        <w:jc w:val="both"/>
      </w:pPr>
      <w:r>
        <w:t xml:space="preserve">The normalization factor (NF) is an import part of calculating the binding potential (BP) as is </w:t>
      </w:r>
      <w:r w:rsidR="000518E4">
        <w:t>corrects</w:t>
      </w:r>
      <w:r>
        <w:t xml:space="preserve"> the fluorescence emission intensities of the targeted and non-targeted agent to remove effects of fluorescence emission efficiency and instrument excitation and collection efficiencies</w:t>
      </w:r>
      <w:r w:rsidR="000518E4">
        <w:t xml:space="preserve"> (Equation 2)</w:t>
      </w:r>
      <w:r>
        <w:t xml:space="preserve">. </w:t>
      </w:r>
      <w:r w:rsidR="000518E4">
        <w:t xml:space="preserve">Typically, the NF is calculated from tissue that lacks the receptor of interest (i.e. </w:t>
      </w:r>
      <w:r w:rsidR="000518E4">
        <w:lastRenderedPageBreak/>
        <w:t xml:space="preserve">muscle) on the first image post-administration of the paired-agents after autofluorescence subtraction. However, in this case and during surgery it is nearly impossible to collect meaningful pre-injection image. </w:t>
      </w:r>
      <w:r w:rsidR="00DD55C8">
        <w:t>To test the effect of the NF on the BP, the NF was varied from 0.2-0.4 and the resulting tumor-to-background ratio (TBR = average fluorescence in tumor divided by the average fluorescence in the normal tissue)</w:t>
      </w:r>
      <w:r w:rsidR="000518E4">
        <w:t xml:space="preserve"> </w:t>
      </w:r>
      <w:r w:rsidR="00DD55C8">
        <w:t>and the contrast-to-variance ratio (CVR, Equation 3) was determined for each NF. As can be seen in Figure S2, varying the NF had an effect similar to window-leveling an image. The CVR remained stable at 1.7, while the TBR varied from 3.3 -19.0 over the range of NFs. As the NF increases in value, the fluorescence signal in the normal tissue decreases toward zero, causing an artificially high TBR. Although TBR is commonly used when analyzing contrast in FGS, it is an unstable measure as demonstrated here where the PAI determined BP could be artificially made to have high TBR values by simply altering the NF. CVR is a more robust measure that allows accurate comparisons between different imaging methods</w:t>
      </w:r>
      <w:r w:rsidR="006B66F8">
        <w:t xml:space="preserve"> </w:t>
      </w:r>
      <w:r w:rsidR="00F02F57">
        <w:fldChar w:fldCharType="begin"/>
      </w:r>
      <w:r w:rsidR="006B66F8">
        <w:instrText xml:space="preserve"> ADDIN ZOTERO_ITEM CSL_CITATION {"citationID":"8rtsEqqq","properties":{"formattedCitation":"(2)","plainCitation":"(2)","noteIndex":0},"citationItems":[{"id":139,"uris":["http://zotero.org/users/local/V3m02W1y/items/PDTX99QL"],"uri":["http://zotero.org/users/local/V3m02W1y/items/PDTX99QL"],"itemData":{"id":139,"type":"paper-conference","abstract":"Fluorescent molecular-guided surgery (FGS) is at a tipping point in terms of clinical approval and adoption in a number cancer applications, with ongoing phase 0 and phase 1 clinical trials being carried out in a wide range of cancers using a wide range of agents. The pharmacokinetics of each of these agents and the physiology of these cancers can differ vastly on a patient-to-patient basis, bringing to question: how can one fairly compare different methodologies (defined as the combination of imaging agent, system, and protocol) and how can existing methodologies be further optimized? To this point, little methodology comparison has been carried out, and the majority of FGS optimization has concerned system development—on the level of maximizing signal-to-noise, dynamic detection range, and sensitivity—independently from traditional agent development—in terms of fluorophore brightness, toxicity, solubility, and binding affinity and specificity. Here we propose an inclusion of tumor and healthy tissue physiology (blood flow, vascular permeability, specific and nonspecific binding sites, extracellular matrix, interstitial pressure, etc.) variability into the optimization process and re-establish well-described task-based metrics for methodology optimization and comparing quality of one methodology to another. Two salient conclusions were identified: (1) contrast-tobackground variability is a simple metric that correlates with difficult-to-carry-out task-based metrics for comparing methodologies, and (2) paired-agent imaging protocols offer unique advantages over singleimaging- agent studies for mitigating confounding tumor and background physiology variability.","container-title":"Molecular-Guided Surgery: Molecules, Devices, and Applications VI","DOI":"10.1117/12.2546700","event":"Molecular-Guided Surgery: Molecules, Devices, and Applications VI","page":"112220O","publisher":"International Society for Optics and Photonics","source":"www.spiedigitallibrary.org","title":"Task-based evaluation of fluorescent-guided cancer surgery as a means of identifying optimal imaging agent properties in the context of variability in tumor- and healthy-tissue physiology","URL":"https://www.spiedigitallibrary.org/conference-proceedings-of-spie/11222/112220O/Task-based-evaluation-of-fluorescent-guided-cancer-surgery-as-a/10.1117/12.2546700.short","volume":"11222","author":[{"family":"Tichauer","given":"Kenneth M."},{"family":"Wang","given":"Cheng"},{"family":"Xu","given":"Xiaochun"},{"family":"Samkoe","given":"Kimberley S."}],"accessed":{"date-parts":[["2020",4,21]]},"issued":{"date-parts":[["2020",2,19]]}}}],"schema":"https://github.com/citation-style-language/schema/raw/master/csl-citation.json"} </w:instrText>
      </w:r>
      <w:r w:rsidR="00F02F57">
        <w:fldChar w:fldCharType="separate"/>
      </w:r>
      <w:r w:rsidR="003C4B82">
        <w:t>(2)</w:t>
      </w:r>
      <w:r w:rsidR="00F02F57">
        <w:fldChar w:fldCharType="end"/>
      </w:r>
      <w:r w:rsidR="00E320A7">
        <w:t xml:space="preserve">. </w:t>
      </w:r>
      <w:r w:rsidR="00366BC0">
        <w:t>Note that the NF here is less than one because the IRDye 700DX is 10 times more concentrated than the ABY-029 for administration and therefore is brighter. The effect on TBR while changing the NF would be opposite if the targeted agent was brighter than the non-targeted agent.</w:t>
      </w:r>
    </w:p>
    <w:p w14:paraId="262AC5CF" w14:textId="4CA0DC9B" w:rsidR="002455AD" w:rsidRDefault="00DD55C8" w:rsidP="008803C7">
      <w:pPr>
        <w:spacing w:line="480" w:lineRule="auto"/>
        <w:ind w:firstLine="720"/>
        <w:jc w:val="both"/>
      </w:pPr>
      <w:r>
        <w:t xml:space="preserve">For this study, the NF was determined in the surrounding normal tissue such that the resultant BP was equal to 0.5 (Equation 1). A </w:t>
      </w:r>
      <w:r w:rsidR="002455AD">
        <w:t xml:space="preserve">BP of 0.5 was used instead of 0 in order to minimize pixels with a negative BP value in the normal tongue. </w:t>
      </w:r>
      <w:r w:rsidR="00366BC0">
        <w:t>For use during surgery, it is hypothesized that the surgeon could select a region of known normal tissue in order to determine the NF ratio for that patient. This would optimize visualization by creating a “zero background” signal in the normal surrounding tissues.</w:t>
      </w:r>
    </w:p>
    <w:p w14:paraId="51F36B2B" w14:textId="4E6F823E" w:rsidR="002455AD" w:rsidRPr="00090372" w:rsidRDefault="00FD6667" w:rsidP="008803C7">
      <w:pPr>
        <w:spacing w:line="480" w:lineRule="auto"/>
        <w:jc w:val="center"/>
        <w:rPr>
          <w:b/>
        </w:rPr>
      </w:pPr>
      <w:r>
        <w:rPr>
          <w:b/>
          <w:noProof/>
        </w:rPr>
        <w:lastRenderedPageBreak/>
        <w:drawing>
          <wp:inline distT="0" distB="0" distL="0" distR="0" wp14:anchorId="26E460C3" wp14:editId="07A7F5C8">
            <wp:extent cx="3975488" cy="2558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eng_BME_v12 (dragged).pdf"/>
                    <pic:cNvPicPr/>
                  </pic:nvPicPr>
                  <pic:blipFill rotWithShape="1">
                    <a:blip r:embed="rId8" cstate="print">
                      <a:extLst>
                        <a:ext uri="{28A0092B-C50C-407E-A947-70E740481C1C}">
                          <a14:useLocalDpi xmlns:a14="http://schemas.microsoft.com/office/drawing/2010/main" val="0"/>
                        </a:ext>
                      </a:extLst>
                    </a:blip>
                    <a:srcRect l="18490" t="23530" r="14605" b="19066"/>
                    <a:stretch/>
                  </pic:blipFill>
                  <pic:spPr bwMode="auto">
                    <a:xfrm>
                      <a:off x="0" y="0"/>
                      <a:ext cx="3976568" cy="2558871"/>
                    </a:xfrm>
                    <a:prstGeom prst="rect">
                      <a:avLst/>
                    </a:prstGeom>
                    <a:ln>
                      <a:noFill/>
                    </a:ln>
                    <a:extLst>
                      <a:ext uri="{53640926-AAD7-44D8-BBD7-CCE9431645EC}">
                        <a14:shadowObscured xmlns:a14="http://schemas.microsoft.com/office/drawing/2010/main"/>
                      </a:ext>
                    </a:extLst>
                  </pic:spPr>
                </pic:pic>
              </a:graphicData>
            </a:graphic>
          </wp:inline>
        </w:drawing>
      </w:r>
    </w:p>
    <w:p w14:paraId="4DE6D22C" w14:textId="3657D5F2" w:rsidR="002455AD" w:rsidRPr="00191EB4" w:rsidRDefault="002455AD" w:rsidP="008803C7">
      <w:pPr>
        <w:spacing w:line="480" w:lineRule="auto"/>
        <w:jc w:val="both"/>
      </w:pPr>
      <w:r w:rsidRPr="00191EB4">
        <w:rPr>
          <w:b/>
        </w:rPr>
        <w:t>Figure S</w:t>
      </w:r>
      <w:r w:rsidR="00AE3268">
        <w:rPr>
          <w:b/>
        </w:rPr>
        <w:t>3</w:t>
      </w:r>
      <w:r>
        <w:t>.</w:t>
      </w:r>
      <w:r w:rsidR="00366BC0">
        <w:t xml:space="preserve"> The effect of the normalization factor (NF) on image contrast. As the normalization ratio increases, the overall signal decreases. This results in a constant contrast-to-variance ratio (CVR) that is stable when NF is varied. However, tumor-to-background ratio (TBR) increases as the signal in the normal tissue (the denominator) decreases. These results indicate that TBR is an unstable measure for binding potential and con not be used to compare to single agent fluorescence.</w:t>
      </w:r>
    </w:p>
    <w:p w14:paraId="7E8ED0D9" w14:textId="77777777" w:rsidR="00366BC0" w:rsidRPr="00191EB4" w:rsidRDefault="00366BC0" w:rsidP="008803C7">
      <w:pPr>
        <w:spacing w:line="480" w:lineRule="auto"/>
        <w:jc w:val="both"/>
        <w:rPr>
          <w:b/>
        </w:rPr>
      </w:pPr>
    </w:p>
    <w:p w14:paraId="5085556B" w14:textId="77777777" w:rsidR="002455AD" w:rsidRDefault="002455AD" w:rsidP="008803C7">
      <w:pPr>
        <w:spacing w:line="480" w:lineRule="auto"/>
        <w:jc w:val="both"/>
        <w:rPr>
          <w:b/>
          <w:i/>
        </w:rPr>
      </w:pPr>
    </w:p>
    <w:p w14:paraId="7D84EFC7" w14:textId="1982F889" w:rsidR="00996366" w:rsidRDefault="00996366" w:rsidP="008803C7">
      <w:pPr>
        <w:spacing w:line="480" w:lineRule="auto"/>
        <w:jc w:val="both"/>
        <w:rPr>
          <w:b/>
          <w:i/>
        </w:rPr>
      </w:pPr>
      <w:r>
        <w:rPr>
          <w:b/>
          <w:i/>
        </w:rPr>
        <w:t>S3. Spatial alignment of fresh tissue sections with pathological sections</w:t>
      </w:r>
    </w:p>
    <w:p w14:paraId="614B5EBF" w14:textId="77777777" w:rsidR="00996366" w:rsidRPr="00191EB4" w:rsidRDefault="00996366" w:rsidP="008803C7">
      <w:pPr>
        <w:spacing w:line="480" w:lineRule="auto"/>
        <w:jc w:val="both"/>
        <w:rPr>
          <w:b/>
          <w:i/>
        </w:rPr>
      </w:pPr>
    </w:p>
    <w:p w14:paraId="16E5909B" w14:textId="768522D4" w:rsidR="003066FF" w:rsidRPr="00AF4AEF" w:rsidRDefault="005023A8" w:rsidP="008803C7">
      <w:pPr>
        <w:spacing w:line="480" w:lineRule="auto"/>
        <w:jc w:val="both"/>
        <w:rPr>
          <w:iCs/>
        </w:rPr>
      </w:pPr>
      <w:r>
        <w:tab/>
        <w:t xml:space="preserve">Assessment of the spatial alignment performed between the IHC and the fluorescence images was performed by creating image overlays with the </w:t>
      </w:r>
      <w:r w:rsidR="003066FF" w:rsidRPr="003066FF">
        <w:rPr>
          <w:i/>
          <w:iCs/>
        </w:rPr>
        <w:t>mshowpair</w:t>
      </w:r>
      <w:r w:rsidR="003066FF">
        <w:rPr>
          <w:i/>
          <w:iCs/>
        </w:rPr>
        <w:t xml:space="preserve"> </w:t>
      </w:r>
      <w:r w:rsidR="003066FF">
        <w:rPr>
          <w:iCs/>
        </w:rPr>
        <w:t>function</w:t>
      </w:r>
      <w:r>
        <w:rPr>
          <w:iCs/>
        </w:rPr>
        <w:t xml:space="preserve"> in Matlab (Figure S3)</w:t>
      </w:r>
      <w:r w:rsidR="006B66F8">
        <w:rPr>
          <w:iCs/>
        </w:rPr>
        <w:t xml:space="preserve"> </w:t>
      </w:r>
      <w:r w:rsidR="00F02F57">
        <w:rPr>
          <w:iCs/>
        </w:rPr>
        <w:fldChar w:fldCharType="begin"/>
      </w:r>
      <w:r w:rsidR="006B66F8">
        <w:rPr>
          <w:iCs/>
        </w:rPr>
        <w:instrText xml:space="preserve"> ADDIN ZOTERO_ITEM CSL_CITATION {"citationID":"UJZmnbzL","properties":{"formattedCitation":"(3)","plainCitation":"(3)","noteIndex":0},"citationItems":[{"id":222,"uris":["http://zotero.org/users/local/V3m02W1y/items/HUVDV5ZC"],"uri":["http://zotero.org/users/local/V3m02W1y/items/HUVDV5ZC"],"itemData":{"id":222,"type":"article-journal","source":"Google Scholar","title":"Medical Image Registration: A Matlab Based Approach","title-short":"Medical Image Registration","author":[{"family":"Muthukumaran","given":"D."},{"family":"Sivakumar","given":"M."}],"issued":{"date-parts":[["2017"]]}}}],"schema":"https://github.com/citation-style-language/schema/raw/master/csl-citation.json"} </w:instrText>
      </w:r>
      <w:r w:rsidR="00F02F57">
        <w:rPr>
          <w:iCs/>
        </w:rPr>
        <w:fldChar w:fldCharType="separate"/>
      </w:r>
      <w:r w:rsidR="003C4B82">
        <w:t>(3)</w:t>
      </w:r>
      <w:r w:rsidR="00F02F57">
        <w:rPr>
          <w:iCs/>
        </w:rPr>
        <w:fldChar w:fldCharType="end"/>
      </w:r>
      <w:r w:rsidR="003066FF">
        <w:rPr>
          <w:iCs/>
        </w:rPr>
        <w:t>.</w:t>
      </w:r>
      <w:r w:rsidR="003066FF" w:rsidRPr="003066FF">
        <w:rPr>
          <w:iCs/>
          <w:vertAlign w:val="superscript"/>
        </w:rPr>
        <w:t xml:space="preserve"> </w:t>
      </w:r>
      <w:r w:rsidR="00AF4AEF">
        <w:rPr>
          <w:iCs/>
          <w:vertAlign w:val="superscript"/>
        </w:rPr>
        <w:t xml:space="preserve"> </w:t>
      </w:r>
      <w:r w:rsidR="00474BD4">
        <w:t>“Checkerboard” c</w:t>
      </w:r>
      <w:r w:rsidR="00474BD4" w:rsidRPr="00474BD4">
        <w:t xml:space="preserve">reates an image with alternating rectangular regions from </w:t>
      </w:r>
      <w:r w:rsidR="00474BD4">
        <w:rPr>
          <w:iCs/>
        </w:rPr>
        <w:t xml:space="preserve">fluorescence </w:t>
      </w:r>
      <w:r w:rsidR="00AF4AEF">
        <w:rPr>
          <w:iCs/>
        </w:rPr>
        <w:t xml:space="preserve">  </w:t>
      </w:r>
      <w:r w:rsidR="00474BD4" w:rsidRPr="003066FF">
        <w:rPr>
          <w:iCs/>
        </w:rPr>
        <w:t>images</w:t>
      </w:r>
      <w:r w:rsidR="00474BD4">
        <w:rPr>
          <w:iCs/>
        </w:rPr>
        <w:t xml:space="preserve"> and IHC images</w:t>
      </w:r>
      <w:r w:rsidR="00E320A7">
        <w:t>.</w:t>
      </w:r>
    </w:p>
    <w:p w14:paraId="7FE946C6" w14:textId="77777777" w:rsidR="003066FF" w:rsidRDefault="003066FF" w:rsidP="008803C7">
      <w:pPr>
        <w:spacing w:line="480" w:lineRule="auto"/>
        <w:jc w:val="both"/>
      </w:pPr>
    </w:p>
    <w:p w14:paraId="334D0A2C" w14:textId="77777777" w:rsidR="003066FF" w:rsidRDefault="003066FF" w:rsidP="008803C7">
      <w:pPr>
        <w:spacing w:line="480" w:lineRule="auto"/>
        <w:jc w:val="both"/>
      </w:pPr>
    </w:p>
    <w:p w14:paraId="0FCFC158" w14:textId="46CA772D" w:rsidR="003066FF" w:rsidRDefault="00FD6667" w:rsidP="008803C7">
      <w:pPr>
        <w:spacing w:line="480" w:lineRule="auto"/>
        <w:jc w:val="center"/>
      </w:pPr>
      <w:r>
        <w:rPr>
          <w:noProof/>
        </w:rPr>
        <w:lastRenderedPageBreak/>
        <w:drawing>
          <wp:inline distT="0" distB="0" distL="0" distR="0" wp14:anchorId="604AC998" wp14:editId="0CC46F0E">
            <wp:extent cx="5544302" cy="2179178"/>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eng_BME_v12 (dragged).pdf"/>
                    <pic:cNvPicPr/>
                  </pic:nvPicPr>
                  <pic:blipFill rotWithShape="1">
                    <a:blip r:embed="rId9" cstate="print">
                      <a:extLst>
                        <a:ext uri="{28A0092B-C50C-407E-A947-70E740481C1C}">
                          <a14:useLocalDpi xmlns:a14="http://schemas.microsoft.com/office/drawing/2010/main" val="0"/>
                        </a:ext>
                      </a:extLst>
                    </a:blip>
                    <a:srcRect l="10591" t="3578" r="24770" b="62547"/>
                    <a:stretch/>
                  </pic:blipFill>
                  <pic:spPr bwMode="auto">
                    <a:xfrm>
                      <a:off x="0" y="0"/>
                      <a:ext cx="5562660" cy="2186394"/>
                    </a:xfrm>
                    <a:prstGeom prst="rect">
                      <a:avLst/>
                    </a:prstGeom>
                    <a:ln>
                      <a:noFill/>
                    </a:ln>
                    <a:extLst>
                      <a:ext uri="{53640926-AAD7-44D8-BBD7-CCE9431645EC}">
                        <a14:shadowObscured xmlns:a14="http://schemas.microsoft.com/office/drawing/2010/main"/>
                      </a:ext>
                    </a:extLst>
                  </pic:spPr>
                </pic:pic>
              </a:graphicData>
            </a:graphic>
          </wp:inline>
        </w:drawing>
      </w:r>
    </w:p>
    <w:p w14:paraId="223A097F" w14:textId="30CC2EB9" w:rsidR="005023A8" w:rsidRPr="005023A8" w:rsidRDefault="005023A8" w:rsidP="008803C7">
      <w:pPr>
        <w:spacing w:line="480" w:lineRule="auto"/>
        <w:jc w:val="both"/>
      </w:pPr>
      <w:r w:rsidRPr="00191EB4">
        <w:rPr>
          <w:b/>
        </w:rPr>
        <w:t>Figure S</w:t>
      </w:r>
      <w:r w:rsidR="00AE3268">
        <w:rPr>
          <w:b/>
        </w:rPr>
        <w:t>4</w:t>
      </w:r>
      <w:r>
        <w:t xml:space="preserve">. Image overlays created using </w:t>
      </w:r>
      <w:r>
        <w:rPr>
          <w:i/>
        </w:rPr>
        <w:t>imshowpair</w:t>
      </w:r>
      <w:r>
        <w:t xml:space="preserve"> in Matlab allow visual assessment of spatial alignment between IHC</w:t>
      </w:r>
      <w:r w:rsidR="006B6C29">
        <w:t xml:space="preserve"> and BP images. In the Checkerboard overlay, IHC is in RGB (brown pixels) while the BP map is a grey scale image. </w:t>
      </w:r>
    </w:p>
    <w:p w14:paraId="1DD973B9" w14:textId="77777777" w:rsidR="005023A8" w:rsidRDefault="005023A8" w:rsidP="008803C7">
      <w:pPr>
        <w:spacing w:line="480" w:lineRule="auto"/>
        <w:jc w:val="both"/>
      </w:pPr>
    </w:p>
    <w:p w14:paraId="4E1786BF" w14:textId="278B160B" w:rsidR="005023A8" w:rsidRDefault="005023A8" w:rsidP="008803C7">
      <w:pPr>
        <w:spacing w:line="480" w:lineRule="auto"/>
        <w:jc w:val="both"/>
      </w:pPr>
      <w:r>
        <w:t xml:space="preserve"> </w:t>
      </w:r>
    </w:p>
    <w:p w14:paraId="7A3D5AB0" w14:textId="735BD0C3" w:rsidR="00C910BD" w:rsidRDefault="00C910BD" w:rsidP="008803C7">
      <w:pPr>
        <w:spacing w:line="480" w:lineRule="auto"/>
        <w:jc w:val="both"/>
        <w:rPr>
          <w:b/>
          <w:i/>
        </w:rPr>
      </w:pPr>
      <w:r>
        <w:rPr>
          <w:b/>
          <w:i/>
        </w:rPr>
        <w:t>S4. Determination of EGFR per cell using flow cytometry</w:t>
      </w:r>
    </w:p>
    <w:p w14:paraId="025CC735" w14:textId="3C52F26D" w:rsidR="00C910BD" w:rsidRDefault="00C910BD" w:rsidP="008803C7">
      <w:pPr>
        <w:spacing w:line="480" w:lineRule="auto"/>
        <w:jc w:val="both"/>
        <w:rPr>
          <w:b/>
          <w:i/>
        </w:rPr>
      </w:pPr>
    </w:p>
    <w:p w14:paraId="2D33AFE1" w14:textId="474150A8" w:rsidR="00C910BD" w:rsidRDefault="00C910BD" w:rsidP="008803C7">
      <w:pPr>
        <w:spacing w:line="480" w:lineRule="auto"/>
        <w:jc w:val="both"/>
      </w:pPr>
      <w:r>
        <w:tab/>
        <w:t>The methodology for the quantification of the number of EGFR per cell using flow cytomtery has been described previously in detail</w:t>
      </w:r>
      <w:r w:rsidR="00F02F57">
        <w:fldChar w:fldCharType="begin"/>
      </w:r>
      <w:r w:rsidR="006B66F8">
        <w:instrText xml:space="preserve"> ADDIN ZOTERO_ITEM CSL_CITATION {"citationID":"vve7w5Lx","properties":{"formattedCitation":"(4)","plainCitation":"(4)","noteIndex":0},"citationItems":[{"id":85,"uris":["http://zotero.org/users/local/V3m02W1y/items/37AVRBLI"],"uri":["http://zotero.org/users/local/V3m02W1y/items/37AVRBLI"],"itemData":{"id":85,"type":"article-journal","container-title":"Molecular Imaging and Biology","issue":"5","page":"584–592","source":"Google Scholar","title":"In vivo quantification of tumor receptor binding potential with dual-reporter molecular imaging","volume":"14","author":[{"family":"Tichauer","given":"Kenneth M."},{"family":"Samkoe","given":"Kimberley S."},{"family":"Sexton","given":"Kristian J."},{"family":"Hextrum","given":"Shannon K."},{"family":"Yang","given":"Harold H."},{"family":"Klubben","given":"W. Spencer"},{"family":"Gunn","given":"Jason R."},{"family":"Hasan","given":"Tayyaba"},{"family":"Pogue","given":"Brian W."}],"issued":{"date-parts":[["2012"]]}}}],"schema":"https://github.com/citation-style-language/schema/raw/master/csl-citation.json"} </w:instrText>
      </w:r>
      <w:r w:rsidR="00F02F57">
        <w:fldChar w:fldCharType="separate"/>
      </w:r>
      <w:r w:rsidR="003C4B82">
        <w:t>(4)</w:t>
      </w:r>
      <w:r w:rsidR="00F02F57">
        <w:fldChar w:fldCharType="end"/>
      </w:r>
      <w:r w:rsidR="00F02F57">
        <w:t xml:space="preserve">. </w:t>
      </w:r>
      <w:r>
        <w:t xml:space="preserve">Briefly, </w:t>
      </w:r>
      <w:r w:rsidR="00891621">
        <w:t>cells were purchased from and cultured as per instructions from ATCC. T</w:t>
      </w:r>
      <w:r>
        <w:t>rypsinized</w:t>
      </w:r>
      <w:r w:rsidR="00891621">
        <w:t xml:space="preserve"> and washed</w:t>
      </w:r>
      <w:r>
        <w:t xml:space="preserve"> cells (5</w:t>
      </w:r>
      <w:r>
        <w:sym w:font="Symbol" w:char="F0B4"/>
      </w:r>
      <w:r>
        <w:t>10</w:t>
      </w:r>
      <w:r>
        <w:rPr>
          <w:vertAlign w:val="superscript"/>
        </w:rPr>
        <w:t>5</w:t>
      </w:r>
      <w:r>
        <w:t xml:space="preserve">) were labeled with either 4 mg/ml of EGF Biotin (Molecular Probes, Invitrogen, Camarillo, CA, USA) or PBS in triplicate for each trial. </w:t>
      </w:r>
      <w:r w:rsidR="00891621">
        <w:t>A</w:t>
      </w:r>
      <w:r>
        <w:t xml:space="preserve">ll cells were secondarily labelled with 1:25 dilution of Cy-5 Streptavidin (Invitrogen, Camarillo, CA, USA. Flow cytometric data was acquired with a FACSCalibur analysis system equipped with a FACStation, and Cell Quest Acquisition software (Becton Dickinson, San Jose, CA, USA). The results compared to </w:t>
      </w:r>
      <w:r w:rsidR="001C76BF">
        <w:t xml:space="preserve">Cy5 </w:t>
      </w:r>
      <w:r>
        <w:t xml:space="preserve">Quantum Cy5 MESF beads by creating a standard fluorescence concentration curve using QuickCal v2.3 software as provided by the manufacturer (Bangs Laboratory, Fishers, IN, USA). The geometic mean of each sample was used to determine </w:t>
      </w:r>
      <w:r>
        <w:lastRenderedPageBreak/>
        <w:t>the concentration of fluorophore from the concentration curve</w:t>
      </w:r>
      <w:r w:rsidR="001C76BF">
        <w:t xml:space="preserve"> and the average value of EGF stained cells and control cells are reported in Table S1. The</w:t>
      </w:r>
      <w:r>
        <w:t xml:space="preserve"> average control signal was subtracted from the average EGF stained cells to </w:t>
      </w:r>
      <w:r w:rsidR="001C76BF">
        <w:t>remove the contribution of autofluorescence and non-specific staining</w:t>
      </w:r>
      <w:r>
        <w:t xml:space="preserve">. </w:t>
      </w:r>
      <w:r w:rsidR="001C76BF">
        <w:t>Finally, the receptors per cell was calculated assuming one molecule of biotin per EGF and three Cy5 fluorophores per streptavidin molecule, as specified by Invitrogen. The entire procedure was repeated three times for each cell line, with the exception of A431, which was repeated four times due to large variation. The values for the EGF stained and control cells for each cell line are summarized in Table S1 and the average value plotted in Figure S5.</w:t>
      </w:r>
    </w:p>
    <w:p w14:paraId="3680A6BA" w14:textId="1F36CCD7" w:rsidR="001C76BF" w:rsidRDefault="001C76BF" w:rsidP="008803C7">
      <w:pPr>
        <w:spacing w:line="480" w:lineRule="auto"/>
        <w:jc w:val="both"/>
      </w:pPr>
      <w:r>
        <w:tab/>
        <w:t>The cell lines selected for the study were A431, Detroit 562, and FaDu based on a combination of the EGFR expression (high, moderate, low-moderate) and the ability to successfully grow in orthotopic tongue tumors in mice.</w:t>
      </w:r>
    </w:p>
    <w:p w14:paraId="145D0D21" w14:textId="77777777" w:rsidR="002E6619" w:rsidRDefault="002E6619" w:rsidP="008803C7">
      <w:pPr>
        <w:spacing w:line="480" w:lineRule="auto"/>
        <w:jc w:val="both"/>
      </w:pPr>
    </w:p>
    <w:p w14:paraId="18261197" w14:textId="1505EBE1" w:rsidR="002E6619" w:rsidRPr="002E6619" w:rsidRDefault="002E6619" w:rsidP="008803C7">
      <w:pPr>
        <w:spacing w:line="480" w:lineRule="auto"/>
        <w:jc w:val="both"/>
      </w:pPr>
      <w:r>
        <w:rPr>
          <w:b/>
        </w:rPr>
        <w:t>Table S1.</w:t>
      </w:r>
      <w:r>
        <w:t xml:space="preserve"> Summary of individual trial and average values of EGFR per cell determined by quantitative flow cytometry</w:t>
      </w:r>
    </w:p>
    <w:tbl>
      <w:tblPr>
        <w:tblW w:w="98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2121"/>
        <w:gridCol w:w="1240"/>
        <w:gridCol w:w="1168"/>
        <w:gridCol w:w="1168"/>
        <w:gridCol w:w="1168"/>
        <w:gridCol w:w="1168"/>
        <w:gridCol w:w="1168"/>
      </w:tblGrid>
      <w:tr w:rsidR="002E6619" w:rsidRPr="00085F17" w14:paraId="5B5FA5AF" w14:textId="77777777" w:rsidTr="007116B0">
        <w:trPr>
          <w:trHeight w:val="311"/>
          <w:jc w:val="center"/>
        </w:trPr>
        <w:tc>
          <w:tcPr>
            <w:tcW w:w="630" w:type="dxa"/>
            <w:tcBorders>
              <w:top w:val="nil"/>
              <w:left w:val="nil"/>
              <w:bottom w:val="nil"/>
              <w:right w:val="nil"/>
            </w:tcBorders>
            <w:shd w:val="clear" w:color="auto" w:fill="auto"/>
            <w:noWrap/>
            <w:vAlign w:val="center"/>
          </w:tcPr>
          <w:p w14:paraId="68CE8B50" w14:textId="77777777" w:rsidR="002E6619" w:rsidRPr="00085F17" w:rsidRDefault="002E6619" w:rsidP="008803C7">
            <w:pPr>
              <w:spacing w:line="480" w:lineRule="auto"/>
              <w:jc w:val="center"/>
              <w:rPr>
                <w:sz w:val="20"/>
                <w:szCs w:val="20"/>
                <w:lang w:eastAsia="en-US"/>
              </w:rPr>
            </w:pPr>
          </w:p>
        </w:tc>
        <w:tc>
          <w:tcPr>
            <w:tcW w:w="2121" w:type="dxa"/>
            <w:tcBorders>
              <w:top w:val="nil"/>
              <w:left w:val="nil"/>
              <w:bottom w:val="nil"/>
            </w:tcBorders>
            <w:shd w:val="clear" w:color="auto" w:fill="auto"/>
            <w:noWrap/>
            <w:vAlign w:val="center"/>
          </w:tcPr>
          <w:p w14:paraId="56C360EB" w14:textId="77777777" w:rsidR="002E6619" w:rsidRPr="00085F17" w:rsidRDefault="002E6619" w:rsidP="008803C7">
            <w:pPr>
              <w:spacing w:line="480" w:lineRule="auto"/>
              <w:jc w:val="center"/>
              <w:rPr>
                <w:sz w:val="20"/>
                <w:szCs w:val="20"/>
                <w:lang w:eastAsia="en-US"/>
              </w:rPr>
            </w:pPr>
          </w:p>
        </w:tc>
        <w:tc>
          <w:tcPr>
            <w:tcW w:w="7080" w:type="dxa"/>
            <w:gridSpan w:val="6"/>
            <w:shd w:val="clear" w:color="auto" w:fill="auto"/>
            <w:noWrap/>
            <w:vAlign w:val="center"/>
          </w:tcPr>
          <w:p w14:paraId="01BD6F33" w14:textId="411FB802" w:rsidR="002E6619" w:rsidRPr="00085F17" w:rsidRDefault="002E6619" w:rsidP="008803C7">
            <w:pPr>
              <w:spacing w:line="480" w:lineRule="auto"/>
              <w:jc w:val="center"/>
              <w:rPr>
                <w:b/>
                <w:color w:val="000000"/>
                <w:szCs w:val="20"/>
                <w:lang w:eastAsia="en-US"/>
              </w:rPr>
            </w:pPr>
            <w:r>
              <w:rPr>
                <w:b/>
                <w:color w:val="000000"/>
                <w:szCs w:val="20"/>
                <w:lang w:eastAsia="en-US"/>
              </w:rPr>
              <w:t>Squamous Cell Carcinoma Cell Lines</w:t>
            </w:r>
          </w:p>
        </w:tc>
      </w:tr>
      <w:tr w:rsidR="00085F17" w:rsidRPr="00085F17" w14:paraId="73EEFF13" w14:textId="77777777" w:rsidTr="007116B0">
        <w:trPr>
          <w:trHeight w:val="311"/>
          <w:jc w:val="center"/>
        </w:trPr>
        <w:tc>
          <w:tcPr>
            <w:tcW w:w="630" w:type="dxa"/>
            <w:tcBorders>
              <w:top w:val="nil"/>
              <w:left w:val="nil"/>
              <w:right w:val="nil"/>
            </w:tcBorders>
            <w:shd w:val="clear" w:color="auto" w:fill="auto"/>
            <w:noWrap/>
            <w:vAlign w:val="center"/>
            <w:hideMark/>
          </w:tcPr>
          <w:p w14:paraId="672794B4" w14:textId="77777777" w:rsidR="00085F17" w:rsidRPr="00085F17" w:rsidRDefault="00085F17" w:rsidP="008803C7">
            <w:pPr>
              <w:spacing w:line="480" w:lineRule="auto"/>
              <w:jc w:val="center"/>
              <w:rPr>
                <w:sz w:val="20"/>
                <w:szCs w:val="20"/>
                <w:lang w:eastAsia="en-US"/>
              </w:rPr>
            </w:pPr>
          </w:p>
        </w:tc>
        <w:tc>
          <w:tcPr>
            <w:tcW w:w="2121" w:type="dxa"/>
            <w:tcBorders>
              <w:top w:val="nil"/>
              <w:left w:val="nil"/>
            </w:tcBorders>
            <w:shd w:val="clear" w:color="auto" w:fill="auto"/>
            <w:noWrap/>
            <w:vAlign w:val="center"/>
            <w:hideMark/>
          </w:tcPr>
          <w:p w14:paraId="7480A217" w14:textId="77777777" w:rsidR="00085F17" w:rsidRPr="00085F17" w:rsidRDefault="00085F17" w:rsidP="008803C7">
            <w:pPr>
              <w:spacing w:line="480" w:lineRule="auto"/>
              <w:jc w:val="center"/>
              <w:rPr>
                <w:sz w:val="20"/>
                <w:szCs w:val="20"/>
                <w:lang w:eastAsia="en-US"/>
              </w:rPr>
            </w:pPr>
          </w:p>
        </w:tc>
        <w:tc>
          <w:tcPr>
            <w:tcW w:w="1240" w:type="dxa"/>
            <w:shd w:val="clear" w:color="auto" w:fill="auto"/>
            <w:noWrap/>
            <w:vAlign w:val="center"/>
            <w:hideMark/>
          </w:tcPr>
          <w:p w14:paraId="05D7515B"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A431</w:t>
            </w:r>
          </w:p>
        </w:tc>
        <w:tc>
          <w:tcPr>
            <w:tcW w:w="1168" w:type="dxa"/>
            <w:shd w:val="clear" w:color="auto" w:fill="auto"/>
            <w:noWrap/>
            <w:vAlign w:val="center"/>
            <w:hideMark/>
          </w:tcPr>
          <w:p w14:paraId="3058D36C"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SCC-15</w:t>
            </w:r>
          </w:p>
        </w:tc>
        <w:tc>
          <w:tcPr>
            <w:tcW w:w="1168" w:type="dxa"/>
            <w:shd w:val="clear" w:color="auto" w:fill="auto"/>
            <w:noWrap/>
            <w:vAlign w:val="center"/>
            <w:hideMark/>
          </w:tcPr>
          <w:p w14:paraId="5AB39506"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SCC-25</w:t>
            </w:r>
          </w:p>
        </w:tc>
        <w:tc>
          <w:tcPr>
            <w:tcW w:w="1168" w:type="dxa"/>
            <w:shd w:val="clear" w:color="auto" w:fill="auto"/>
            <w:noWrap/>
            <w:vAlign w:val="center"/>
            <w:hideMark/>
          </w:tcPr>
          <w:p w14:paraId="3668E943"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Detroit 562</w:t>
            </w:r>
          </w:p>
        </w:tc>
        <w:tc>
          <w:tcPr>
            <w:tcW w:w="1168" w:type="dxa"/>
            <w:shd w:val="clear" w:color="auto" w:fill="auto"/>
            <w:noWrap/>
            <w:vAlign w:val="center"/>
            <w:hideMark/>
          </w:tcPr>
          <w:p w14:paraId="71C98042"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FaDu</w:t>
            </w:r>
          </w:p>
        </w:tc>
        <w:tc>
          <w:tcPr>
            <w:tcW w:w="1168" w:type="dxa"/>
            <w:shd w:val="clear" w:color="auto" w:fill="auto"/>
            <w:noWrap/>
            <w:vAlign w:val="center"/>
            <w:hideMark/>
          </w:tcPr>
          <w:p w14:paraId="5A4A6AC5"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SCC-9</w:t>
            </w:r>
          </w:p>
        </w:tc>
      </w:tr>
      <w:tr w:rsidR="007116B0" w:rsidRPr="00085F17" w14:paraId="061210DA" w14:textId="77777777" w:rsidTr="007116B0">
        <w:trPr>
          <w:trHeight w:val="311"/>
          <w:jc w:val="center"/>
        </w:trPr>
        <w:tc>
          <w:tcPr>
            <w:tcW w:w="630" w:type="dxa"/>
            <w:vMerge w:val="restart"/>
            <w:shd w:val="clear" w:color="auto" w:fill="auto"/>
            <w:noWrap/>
            <w:textDirection w:val="btLr"/>
            <w:vAlign w:val="center"/>
            <w:hideMark/>
          </w:tcPr>
          <w:p w14:paraId="32BC713E"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Trial 1</w:t>
            </w:r>
          </w:p>
        </w:tc>
        <w:tc>
          <w:tcPr>
            <w:tcW w:w="2121" w:type="dxa"/>
            <w:shd w:val="clear" w:color="auto" w:fill="D9E2F3" w:themeFill="accent1" w:themeFillTint="33"/>
            <w:noWrap/>
            <w:vAlign w:val="center"/>
            <w:hideMark/>
          </w:tcPr>
          <w:p w14:paraId="02511C63"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EGF Stained</w:t>
            </w:r>
          </w:p>
        </w:tc>
        <w:tc>
          <w:tcPr>
            <w:tcW w:w="1240" w:type="dxa"/>
            <w:shd w:val="clear" w:color="auto" w:fill="D9E2F3" w:themeFill="accent1" w:themeFillTint="33"/>
            <w:noWrap/>
            <w:vAlign w:val="center"/>
            <w:hideMark/>
          </w:tcPr>
          <w:p w14:paraId="7CBAB2AA" w14:textId="24DAE631"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44405</w:t>
            </w:r>
            <w:r>
              <w:rPr>
                <w:color w:val="000000"/>
                <w:sz w:val="20"/>
                <w:szCs w:val="20"/>
                <w:lang w:eastAsia="en-US"/>
              </w:rPr>
              <w:t>40</w:t>
            </w:r>
          </w:p>
        </w:tc>
        <w:tc>
          <w:tcPr>
            <w:tcW w:w="1168" w:type="dxa"/>
            <w:shd w:val="clear" w:color="auto" w:fill="D9E2F3" w:themeFill="accent1" w:themeFillTint="33"/>
            <w:noWrap/>
            <w:vAlign w:val="center"/>
            <w:hideMark/>
          </w:tcPr>
          <w:p w14:paraId="21652683" w14:textId="6E61EFEC"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1787549</w:t>
            </w:r>
          </w:p>
        </w:tc>
        <w:tc>
          <w:tcPr>
            <w:tcW w:w="1168" w:type="dxa"/>
            <w:shd w:val="clear" w:color="auto" w:fill="D9E2F3" w:themeFill="accent1" w:themeFillTint="33"/>
            <w:noWrap/>
            <w:vAlign w:val="center"/>
            <w:hideMark/>
          </w:tcPr>
          <w:p w14:paraId="408338A5" w14:textId="1B8C076F"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1113122</w:t>
            </w:r>
          </w:p>
        </w:tc>
        <w:tc>
          <w:tcPr>
            <w:tcW w:w="1168" w:type="dxa"/>
            <w:shd w:val="clear" w:color="auto" w:fill="D9E2F3" w:themeFill="accent1" w:themeFillTint="33"/>
            <w:noWrap/>
            <w:vAlign w:val="center"/>
            <w:hideMark/>
          </w:tcPr>
          <w:p w14:paraId="0520EF9B" w14:textId="3F6B0A33"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593638</w:t>
            </w:r>
          </w:p>
        </w:tc>
        <w:tc>
          <w:tcPr>
            <w:tcW w:w="1168" w:type="dxa"/>
            <w:shd w:val="clear" w:color="auto" w:fill="D9E2F3" w:themeFill="accent1" w:themeFillTint="33"/>
            <w:noWrap/>
            <w:vAlign w:val="center"/>
            <w:hideMark/>
          </w:tcPr>
          <w:p w14:paraId="5B94C2BB" w14:textId="22DAC893"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30752</w:t>
            </w:r>
            <w:r w:rsidR="002E6619">
              <w:rPr>
                <w:color w:val="000000"/>
                <w:sz w:val="20"/>
                <w:szCs w:val="20"/>
                <w:lang w:eastAsia="en-US"/>
              </w:rPr>
              <w:t>5</w:t>
            </w:r>
          </w:p>
        </w:tc>
        <w:tc>
          <w:tcPr>
            <w:tcW w:w="1168" w:type="dxa"/>
            <w:shd w:val="clear" w:color="auto" w:fill="D9E2F3" w:themeFill="accent1" w:themeFillTint="33"/>
            <w:noWrap/>
            <w:vAlign w:val="center"/>
            <w:hideMark/>
          </w:tcPr>
          <w:p w14:paraId="74FF6D53" w14:textId="4854ED2A"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210564</w:t>
            </w:r>
          </w:p>
        </w:tc>
      </w:tr>
      <w:tr w:rsidR="00085F17" w:rsidRPr="00085F17" w14:paraId="190633C3" w14:textId="77777777" w:rsidTr="007116B0">
        <w:trPr>
          <w:trHeight w:val="311"/>
          <w:jc w:val="center"/>
        </w:trPr>
        <w:tc>
          <w:tcPr>
            <w:tcW w:w="630" w:type="dxa"/>
            <w:vMerge/>
            <w:vAlign w:val="center"/>
            <w:hideMark/>
          </w:tcPr>
          <w:p w14:paraId="7E1D2CDF" w14:textId="77777777" w:rsidR="00085F17" w:rsidRPr="00085F17" w:rsidRDefault="00085F17" w:rsidP="008803C7">
            <w:pPr>
              <w:spacing w:line="480" w:lineRule="auto"/>
              <w:jc w:val="center"/>
              <w:rPr>
                <w:b/>
                <w:color w:val="000000"/>
                <w:szCs w:val="20"/>
                <w:lang w:eastAsia="en-US"/>
              </w:rPr>
            </w:pPr>
          </w:p>
        </w:tc>
        <w:tc>
          <w:tcPr>
            <w:tcW w:w="2121" w:type="dxa"/>
            <w:shd w:val="clear" w:color="auto" w:fill="FBE4D5" w:themeFill="accent2" w:themeFillTint="33"/>
            <w:noWrap/>
            <w:vAlign w:val="center"/>
            <w:hideMark/>
          </w:tcPr>
          <w:p w14:paraId="404F5143"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Control</w:t>
            </w:r>
          </w:p>
        </w:tc>
        <w:tc>
          <w:tcPr>
            <w:tcW w:w="1240" w:type="dxa"/>
            <w:shd w:val="clear" w:color="auto" w:fill="FBE4D5" w:themeFill="accent2" w:themeFillTint="33"/>
            <w:noWrap/>
            <w:vAlign w:val="center"/>
            <w:hideMark/>
          </w:tcPr>
          <w:p w14:paraId="3DED40B2"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46448</w:t>
            </w:r>
          </w:p>
        </w:tc>
        <w:tc>
          <w:tcPr>
            <w:tcW w:w="1168" w:type="dxa"/>
            <w:shd w:val="clear" w:color="auto" w:fill="FBE4D5" w:themeFill="accent2" w:themeFillTint="33"/>
            <w:noWrap/>
            <w:vAlign w:val="center"/>
            <w:hideMark/>
          </w:tcPr>
          <w:p w14:paraId="51D7BFD5" w14:textId="5FCF6453"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9951</w:t>
            </w:r>
            <w:r w:rsidR="002E6619">
              <w:rPr>
                <w:color w:val="000000"/>
                <w:sz w:val="20"/>
                <w:szCs w:val="20"/>
                <w:lang w:eastAsia="en-US"/>
              </w:rPr>
              <w:t>1</w:t>
            </w:r>
          </w:p>
        </w:tc>
        <w:tc>
          <w:tcPr>
            <w:tcW w:w="1168" w:type="dxa"/>
            <w:shd w:val="clear" w:color="auto" w:fill="FBE4D5" w:themeFill="accent2" w:themeFillTint="33"/>
            <w:noWrap/>
            <w:vAlign w:val="center"/>
            <w:hideMark/>
          </w:tcPr>
          <w:p w14:paraId="5CE7400B" w14:textId="55584CF1"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13594</w:t>
            </w:r>
            <w:r w:rsidR="002E6619">
              <w:rPr>
                <w:color w:val="000000"/>
                <w:sz w:val="20"/>
                <w:szCs w:val="20"/>
                <w:lang w:eastAsia="en-US"/>
              </w:rPr>
              <w:t>2</w:t>
            </w:r>
          </w:p>
        </w:tc>
        <w:tc>
          <w:tcPr>
            <w:tcW w:w="1168" w:type="dxa"/>
            <w:shd w:val="clear" w:color="auto" w:fill="FBE4D5" w:themeFill="accent2" w:themeFillTint="33"/>
            <w:noWrap/>
            <w:vAlign w:val="center"/>
            <w:hideMark/>
          </w:tcPr>
          <w:p w14:paraId="2E90D4E4"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8875</w:t>
            </w:r>
          </w:p>
        </w:tc>
        <w:tc>
          <w:tcPr>
            <w:tcW w:w="1168" w:type="dxa"/>
            <w:shd w:val="clear" w:color="auto" w:fill="FBE4D5" w:themeFill="accent2" w:themeFillTint="33"/>
            <w:noWrap/>
            <w:vAlign w:val="center"/>
            <w:hideMark/>
          </w:tcPr>
          <w:p w14:paraId="05440214" w14:textId="07EB2042"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76920</w:t>
            </w:r>
          </w:p>
        </w:tc>
        <w:tc>
          <w:tcPr>
            <w:tcW w:w="1168" w:type="dxa"/>
            <w:shd w:val="clear" w:color="auto" w:fill="FBE4D5" w:themeFill="accent2" w:themeFillTint="33"/>
            <w:noWrap/>
            <w:vAlign w:val="center"/>
            <w:hideMark/>
          </w:tcPr>
          <w:p w14:paraId="1D10652D" w14:textId="1B813C90"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115359</w:t>
            </w:r>
          </w:p>
        </w:tc>
      </w:tr>
      <w:tr w:rsidR="00085F17" w:rsidRPr="00085F17" w14:paraId="628B475D" w14:textId="77777777" w:rsidTr="007116B0">
        <w:trPr>
          <w:trHeight w:val="311"/>
          <w:jc w:val="center"/>
        </w:trPr>
        <w:tc>
          <w:tcPr>
            <w:tcW w:w="630" w:type="dxa"/>
            <w:vMerge/>
            <w:vAlign w:val="center"/>
            <w:hideMark/>
          </w:tcPr>
          <w:p w14:paraId="1DFC6D19" w14:textId="77777777" w:rsidR="00085F17" w:rsidRPr="00085F17" w:rsidRDefault="00085F17" w:rsidP="008803C7">
            <w:pPr>
              <w:spacing w:line="480" w:lineRule="auto"/>
              <w:jc w:val="center"/>
              <w:rPr>
                <w:b/>
                <w:color w:val="000000"/>
                <w:szCs w:val="20"/>
                <w:lang w:eastAsia="en-US"/>
              </w:rPr>
            </w:pPr>
          </w:p>
        </w:tc>
        <w:tc>
          <w:tcPr>
            <w:tcW w:w="2121" w:type="dxa"/>
            <w:shd w:val="clear" w:color="auto" w:fill="FFF2CC" w:themeFill="accent4" w:themeFillTint="33"/>
            <w:noWrap/>
            <w:vAlign w:val="center"/>
            <w:hideMark/>
          </w:tcPr>
          <w:p w14:paraId="77F226D4" w14:textId="0B172F03" w:rsidR="00085F17" w:rsidRPr="00085F17" w:rsidRDefault="007116B0" w:rsidP="008803C7">
            <w:pPr>
              <w:spacing w:line="480" w:lineRule="auto"/>
              <w:rPr>
                <w:color w:val="000000"/>
                <w:sz w:val="20"/>
                <w:szCs w:val="20"/>
                <w:lang w:eastAsia="en-US"/>
              </w:rPr>
            </w:pPr>
            <w:r>
              <w:rPr>
                <w:color w:val="000000"/>
                <w:sz w:val="20"/>
                <w:szCs w:val="20"/>
                <w:lang w:eastAsia="en-US"/>
              </w:rPr>
              <w:t>EGF Stained - Control</w:t>
            </w:r>
          </w:p>
        </w:tc>
        <w:tc>
          <w:tcPr>
            <w:tcW w:w="1240" w:type="dxa"/>
            <w:shd w:val="clear" w:color="auto" w:fill="FFF2CC" w:themeFill="accent4" w:themeFillTint="33"/>
            <w:noWrap/>
            <w:vAlign w:val="center"/>
            <w:hideMark/>
          </w:tcPr>
          <w:p w14:paraId="1FC88F8C" w14:textId="153FF5D5"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439409</w:t>
            </w:r>
            <w:r>
              <w:rPr>
                <w:color w:val="000000"/>
                <w:sz w:val="20"/>
                <w:szCs w:val="20"/>
                <w:lang w:eastAsia="en-US"/>
              </w:rPr>
              <w:t>2</w:t>
            </w:r>
          </w:p>
        </w:tc>
        <w:tc>
          <w:tcPr>
            <w:tcW w:w="1168" w:type="dxa"/>
            <w:shd w:val="clear" w:color="auto" w:fill="FFF2CC" w:themeFill="accent4" w:themeFillTint="33"/>
            <w:noWrap/>
            <w:vAlign w:val="center"/>
            <w:hideMark/>
          </w:tcPr>
          <w:p w14:paraId="6C37C380" w14:textId="00E3556D"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168803</w:t>
            </w:r>
            <w:r w:rsidR="002E6619">
              <w:rPr>
                <w:color w:val="000000"/>
                <w:sz w:val="20"/>
                <w:szCs w:val="20"/>
                <w:lang w:eastAsia="en-US"/>
              </w:rPr>
              <w:t>9</w:t>
            </w:r>
          </w:p>
        </w:tc>
        <w:tc>
          <w:tcPr>
            <w:tcW w:w="1168" w:type="dxa"/>
            <w:shd w:val="clear" w:color="auto" w:fill="FFF2CC" w:themeFill="accent4" w:themeFillTint="33"/>
            <w:noWrap/>
            <w:vAlign w:val="center"/>
            <w:hideMark/>
          </w:tcPr>
          <w:p w14:paraId="3253F6F1" w14:textId="7C98BAEF"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97718</w:t>
            </w:r>
            <w:r w:rsidR="002E6619">
              <w:rPr>
                <w:color w:val="000000"/>
                <w:sz w:val="20"/>
                <w:szCs w:val="20"/>
                <w:lang w:eastAsia="en-US"/>
              </w:rPr>
              <w:t>1</w:t>
            </w:r>
          </w:p>
        </w:tc>
        <w:tc>
          <w:tcPr>
            <w:tcW w:w="1168" w:type="dxa"/>
            <w:shd w:val="clear" w:color="auto" w:fill="FFF2CC" w:themeFill="accent4" w:themeFillTint="33"/>
            <w:noWrap/>
            <w:vAlign w:val="center"/>
            <w:hideMark/>
          </w:tcPr>
          <w:p w14:paraId="5A3555B0" w14:textId="134C5719"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584763</w:t>
            </w:r>
          </w:p>
        </w:tc>
        <w:tc>
          <w:tcPr>
            <w:tcW w:w="1168" w:type="dxa"/>
            <w:shd w:val="clear" w:color="auto" w:fill="FFF2CC" w:themeFill="accent4" w:themeFillTint="33"/>
            <w:noWrap/>
            <w:vAlign w:val="center"/>
            <w:hideMark/>
          </w:tcPr>
          <w:p w14:paraId="4B252E7B" w14:textId="4EF281D6"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230604</w:t>
            </w:r>
          </w:p>
        </w:tc>
        <w:tc>
          <w:tcPr>
            <w:tcW w:w="1168" w:type="dxa"/>
            <w:shd w:val="clear" w:color="auto" w:fill="FFF2CC" w:themeFill="accent4" w:themeFillTint="33"/>
            <w:noWrap/>
            <w:vAlign w:val="center"/>
            <w:hideMark/>
          </w:tcPr>
          <w:p w14:paraId="6C7513F3"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95205</w:t>
            </w:r>
          </w:p>
        </w:tc>
      </w:tr>
      <w:tr w:rsidR="00085F17" w:rsidRPr="00085F17" w14:paraId="1B29316D" w14:textId="77777777" w:rsidTr="007116B0">
        <w:trPr>
          <w:trHeight w:val="311"/>
          <w:jc w:val="center"/>
        </w:trPr>
        <w:tc>
          <w:tcPr>
            <w:tcW w:w="630" w:type="dxa"/>
            <w:vMerge/>
            <w:vAlign w:val="center"/>
            <w:hideMark/>
          </w:tcPr>
          <w:p w14:paraId="143D9ED1" w14:textId="77777777" w:rsidR="00085F17" w:rsidRPr="00085F17" w:rsidRDefault="00085F17" w:rsidP="008803C7">
            <w:pPr>
              <w:spacing w:line="480" w:lineRule="auto"/>
              <w:jc w:val="center"/>
              <w:rPr>
                <w:b/>
                <w:color w:val="000000"/>
                <w:szCs w:val="20"/>
                <w:lang w:eastAsia="en-US"/>
              </w:rPr>
            </w:pPr>
          </w:p>
        </w:tc>
        <w:tc>
          <w:tcPr>
            <w:tcW w:w="2121" w:type="dxa"/>
            <w:shd w:val="clear" w:color="auto" w:fill="auto"/>
            <w:noWrap/>
            <w:vAlign w:val="center"/>
            <w:hideMark/>
          </w:tcPr>
          <w:p w14:paraId="1B027E36" w14:textId="77777777" w:rsidR="00085F17" w:rsidRPr="00085F17" w:rsidRDefault="00085F17" w:rsidP="008803C7">
            <w:pPr>
              <w:spacing w:line="480" w:lineRule="auto"/>
              <w:rPr>
                <w:b/>
                <w:color w:val="000000"/>
                <w:sz w:val="20"/>
                <w:szCs w:val="20"/>
                <w:lang w:eastAsia="en-US"/>
              </w:rPr>
            </w:pPr>
            <w:r w:rsidRPr="00085F17">
              <w:rPr>
                <w:b/>
                <w:color w:val="000000"/>
                <w:sz w:val="20"/>
                <w:szCs w:val="20"/>
                <w:lang w:eastAsia="en-US"/>
              </w:rPr>
              <w:t>EGFR/cell</w:t>
            </w:r>
          </w:p>
        </w:tc>
        <w:tc>
          <w:tcPr>
            <w:tcW w:w="1240" w:type="dxa"/>
            <w:shd w:val="clear" w:color="auto" w:fill="auto"/>
            <w:noWrap/>
            <w:vAlign w:val="center"/>
            <w:hideMark/>
          </w:tcPr>
          <w:p w14:paraId="49B09FA1" w14:textId="2C26D3BC"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1464697</w:t>
            </w:r>
          </w:p>
        </w:tc>
        <w:tc>
          <w:tcPr>
            <w:tcW w:w="1168" w:type="dxa"/>
            <w:shd w:val="clear" w:color="auto" w:fill="auto"/>
            <w:noWrap/>
            <w:vAlign w:val="center"/>
            <w:hideMark/>
          </w:tcPr>
          <w:p w14:paraId="17E8BE4E" w14:textId="6E1A51B4"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5626</w:t>
            </w:r>
            <w:r w:rsidR="002E6619">
              <w:rPr>
                <w:b/>
                <w:color w:val="000000"/>
                <w:sz w:val="20"/>
                <w:szCs w:val="20"/>
                <w:lang w:eastAsia="en-US"/>
              </w:rPr>
              <w:t>80</w:t>
            </w:r>
          </w:p>
        </w:tc>
        <w:tc>
          <w:tcPr>
            <w:tcW w:w="1168" w:type="dxa"/>
            <w:shd w:val="clear" w:color="auto" w:fill="auto"/>
            <w:noWrap/>
            <w:vAlign w:val="center"/>
            <w:hideMark/>
          </w:tcPr>
          <w:p w14:paraId="56D96F81" w14:textId="347058CD"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32572</w:t>
            </w:r>
            <w:r w:rsidR="002E6619">
              <w:rPr>
                <w:b/>
                <w:color w:val="000000"/>
                <w:sz w:val="20"/>
                <w:szCs w:val="20"/>
                <w:lang w:eastAsia="en-US"/>
              </w:rPr>
              <w:t>7</w:t>
            </w:r>
          </w:p>
        </w:tc>
        <w:tc>
          <w:tcPr>
            <w:tcW w:w="1168" w:type="dxa"/>
            <w:shd w:val="clear" w:color="auto" w:fill="auto"/>
            <w:noWrap/>
            <w:vAlign w:val="center"/>
            <w:hideMark/>
          </w:tcPr>
          <w:p w14:paraId="6E979867" w14:textId="5A2FBDE0"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194921</w:t>
            </w:r>
          </w:p>
        </w:tc>
        <w:tc>
          <w:tcPr>
            <w:tcW w:w="1168" w:type="dxa"/>
            <w:shd w:val="clear" w:color="auto" w:fill="auto"/>
            <w:noWrap/>
            <w:vAlign w:val="center"/>
            <w:hideMark/>
          </w:tcPr>
          <w:p w14:paraId="48BEA0E0" w14:textId="0F78D4E9"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76868</w:t>
            </w:r>
          </w:p>
        </w:tc>
        <w:tc>
          <w:tcPr>
            <w:tcW w:w="1168" w:type="dxa"/>
            <w:shd w:val="clear" w:color="auto" w:fill="auto"/>
            <w:noWrap/>
            <w:vAlign w:val="center"/>
            <w:hideMark/>
          </w:tcPr>
          <w:p w14:paraId="542E9C26" w14:textId="77777777"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31735</w:t>
            </w:r>
          </w:p>
        </w:tc>
      </w:tr>
      <w:tr w:rsidR="007116B0" w:rsidRPr="00085F17" w14:paraId="2A287CFD" w14:textId="77777777" w:rsidTr="007116B0">
        <w:trPr>
          <w:trHeight w:val="311"/>
          <w:jc w:val="center"/>
        </w:trPr>
        <w:tc>
          <w:tcPr>
            <w:tcW w:w="630" w:type="dxa"/>
            <w:vMerge w:val="restart"/>
            <w:shd w:val="clear" w:color="auto" w:fill="auto"/>
            <w:noWrap/>
            <w:textDirection w:val="btLr"/>
            <w:vAlign w:val="center"/>
            <w:hideMark/>
          </w:tcPr>
          <w:p w14:paraId="1659F15A"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Trial 2</w:t>
            </w:r>
          </w:p>
        </w:tc>
        <w:tc>
          <w:tcPr>
            <w:tcW w:w="2121" w:type="dxa"/>
            <w:shd w:val="clear" w:color="auto" w:fill="D9E2F3" w:themeFill="accent1" w:themeFillTint="33"/>
            <w:noWrap/>
            <w:vAlign w:val="center"/>
            <w:hideMark/>
          </w:tcPr>
          <w:p w14:paraId="138CB981"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EGF Stained</w:t>
            </w:r>
          </w:p>
        </w:tc>
        <w:tc>
          <w:tcPr>
            <w:tcW w:w="1240" w:type="dxa"/>
            <w:shd w:val="clear" w:color="auto" w:fill="D9E2F3" w:themeFill="accent1" w:themeFillTint="33"/>
            <w:noWrap/>
            <w:vAlign w:val="center"/>
            <w:hideMark/>
          </w:tcPr>
          <w:p w14:paraId="18B538FF"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4224933</w:t>
            </w:r>
          </w:p>
        </w:tc>
        <w:tc>
          <w:tcPr>
            <w:tcW w:w="1168" w:type="dxa"/>
            <w:shd w:val="clear" w:color="auto" w:fill="D9E2F3" w:themeFill="accent1" w:themeFillTint="33"/>
            <w:noWrap/>
            <w:vAlign w:val="center"/>
            <w:hideMark/>
          </w:tcPr>
          <w:p w14:paraId="7B584BC6"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1625443</w:t>
            </w:r>
          </w:p>
        </w:tc>
        <w:tc>
          <w:tcPr>
            <w:tcW w:w="1168" w:type="dxa"/>
            <w:shd w:val="clear" w:color="auto" w:fill="D9E2F3" w:themeFill="accent1" w:themeFillTint="33"/>
            <w:noWrap/>
            <w:vAlign w:val="center"/>
            <w:hideMark/>
          </w:tcPr>
          <w:p w14:paraId="055FF387" w14:textId="2193386B"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125109</w:t>
            </w:r>
            <w:r w:rsidR="002E6619">
              <w:rPr>
                <w:color w:val="000000"/>
                <w:sz w:val="20"/>
                <w:szCs w:val="20"/>
                <w:lang w:eastAsia="en-US"/>
              </w:rPr>
              <w:t>5</w:t>
            </w:r>
          </w:p>
        </w:tc>
        <w:tc>
          <w:tcPr>
            <w:tcW w:w="1168" w:type="dxa"/>
            <w:shd w:val="clear" w:color="auto" w:fill="D9E2F3" w:themeFill="accent1" w:themeFillTint="33"/>
            <w:noWrap/>
            <w:vAlign w:val="center"/>
            <w:hideMark/>
          </w:tcPr>
          <w:p w14:paraId="4D0E3A9D"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571489</w:t>
            </w:r>
          </w:p>
        </w:tc>
        <w:tc>
          <w:tcPr>
            <w:tcW w:w="1168" w:type="dxa"/>
            <w:shd w:val="clear" w:color="auto" w:fill="D9E2F3" w:themeFill="accent1" w:themeFillTint="33"/>
            <w:noWrap/>
            <w:vAlign w:val="center"/>
            <w:hideMark/>
          </w:tcPr>
          <w:p w14:paraId="35EB7832" w14:textId="5BDF8DDD"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23141</w:t>
            </w:r>
            <w:r w:rsidR="002E6619">
              <w:rPr>
                <w:color w:val="000000"/>
                <w:sz w:val="20"/>
                <w:szCs w:val="20"/>
                <w:lang w:eastAsia="en-US"/>
              </w:rPr>
              <w:t>1</w:t>
            </w:r>
          </w:p>
        </w:tc>
        <w:tc>
          <w:tcPr>
            <w:tcW w:w="1168" w:type="dxa"/>
            <w:shd w:val="clear" w:color="auto" w:fill="D9E2F3" w:themeFill="accent1" w:themeFillTint="33"/>
            <w:noWrap/>
            <w:vAlign w:val="center"/>
            <w:hideMark/>
          </w:tcPr>
          <w:p w14:paraId="256EE3DE" w14:textId="2B424CCA"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9507</w:t>
            </w:r>
            <w:r w:rsidR="002E6619">
              <w:rPr>
                <w:color w:val="000000"/>
                <w:sz w:val="20"/>
                <w:szCs w:val="20"/>
                <w:lang w:eastAsia="en-US"/>
              </w:rPr>
              <w:t>8</w:t>
            </w:r>
          </w:p>
        </w:tc>
      </w:tr>
      <w:tr w:rsidR="00085F17" w:rsidRPr="00085F17" w14:paraId="6437DB8F" w14:textId="77777777" w:rsidTr="007116B0">
        <w:trPr>
          <w:trHeight w:val="311"/>
          <w:jc w:val="center"/>
        </w:trPr>
        <w:tc>
          <w:tcPr>
            <w:tcW w:w="630" w:type="dxa"/>
            <w:vMerge/>
            <w:vAlign w:val="center"/>
            <w:hideMark/>
          </w:tcPr>
          <w:p w14:paraId="6E4FB85E" w14:textId="77777777" w:rsidR="00085F17" w:rsidRPr="00085F17" w:rsidRDefault="00085F17" w:rsidP="008803C7">
            <w:pPr>
              <w:spacing w:line="480" w:lineRule="auto"/>
              <w:jc w:val="center"/>
              <w:rPr>
                <w:b/>
                <w:color w:val="000000"/>
                <w:szCs w:val="20"/>
                <w:lang w:eastAsia="en-US"/>
              </w:rPr>
            </w:pPr>
          </w:p>
        </w:tc>
        <w:tc>
          <w:tcPr>
            <w:tcW w:w="2121" w:type="dxa"/>
            <w:shd w:val="clear" w:color="auto" w:fill="FBE4D5" w:themeFill="accent2" w:themeFillTint="33"/>
            <w:noWrap/>
            <w:vAlign w:val="center"/>
            <w:hideMark/>
          </w:tcPr>
          <w:p w14:paraId="0360F2C7"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Control</w:t>
            </w:r>
          </w:p>
        </w:tc>
        <w:tc>
          <w:tcPr>
            <w:tcW w:w="1240" w:type="dxa"/>
            <w:shd w:val="clear" w:color="auto" w:fill="FBE4D5" w:themeFill="accent2" w:themeFillTint="33"/>
            <w:noWrap/>
            <w:vAlign w:val="center"/>
            <w:hideMark/>
          </w:tcPr>
          <w:p w14:paraId="394E5CE3" w14:textId="0EE41D6A"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53591</w:t>
            </w:r>
          </w:p>
        </w:tc>
        <w:tc>
          <w:tcPr>
            <w:tcW w:w="1168" w:type="dxa"/>
            <w:shd w:val="clear" w:color="auto" w:fill="FBE4D5" w:themeFill="accent2" w:themeFillTint="33"/>
            <w:noWrap/>
            <w:vAlign w:val="center"/>
            <w:hideMark/>
          </w:tcPr>
          <w:p w14:paraId="0E4E4AD5"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9653</w:t>
            </w:r>
          </w:p>
        </w:tc>
        <w:tc>
          <w:tcPr>
            <w:tcW w:w="1168" w:type="dxa"/>
            <w:shd w:val="clear" w:color="auto" w:fill="FBE4D5" w:themeFill="accent2" w:themeFillTint="33"/>
            <w:noWrap/>
            <w:vAlign w:val="center"/>
            <w:hideMark/>
          </w:tcPr>
          <w:p w14:paraId="6C99831A" w14:textId="340AD856"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4873</w:t>
            </w:r>
            <w:r w:rsidR="002E6619">
              <w:rPr>
                <w:color w:val="000000"/>
                <w:sz w:val="20"/>
                <w:szCs w:val="20"/>
                <w:lang w:eastAsia="en-US"/>
              </w:rPr>
              <w:t>8</w:t>
            </w:r>
          </w:p>
        </w:tc>
        <w:tc>
          <w:tcPr>
            <w:tcW w:w="1168" w:type="dxa"/>
            <w:shd w:val="clear" w:color="auto" w:fill="FBE4D5" w:themeFill="accent2" w:themeFillTint="33"/>
            <w:noWrap/>
            <w:vAlign w:val="center"/>
            <w:hideMark/>
          </w:tcPr>
          <w:p w14:paraId="58475F59" w14:textId="3B2EDD1E"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1069</w:t>
            </w:r>
            <w:r w:rsidR="002E6619">
              <w:rPr>
                <w:color w:val="000000"/>
                <w:sz w:val="20"/>
                <w:szCs w:val="20"/>
                <w:lang w:eastAsia="en-US"/>
              </w:rPr>
              <w:t>1</w:t>
            </w:r>
          </w:p>
        </w:tc>
        <w:tc>
          <w:tcPr>
            <w:tcW w:w="1168" w:type="dxa"/>
            <w:shd w:val="clear" w:color="auto" w:fill="FBE4D5" w:themeFill="accent2" w:themeFillTint="33"/>
            <w:noWrap/>
            <w:vAlign w:val="center"/>
            <w:hideMark/>
          </w:tcPr>
          <w:p w14:paraId="4521D08B" w14:textId="74BE16AF"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556</w:t>
            </w:r>
            <w:r w:rsidR="002E6619">
              <w:rPr>
                <w:color w:val="000000"/>
                <w:sz w:val="20"/>
                <w:szCs w:val="20"/>
                <w:lang w:eastAsia="en-US"/>
              </w:rPr>
              <w:t>2</w:t>
            </w:r>
          </w:p>
        </w:tc>
        <w:tc>
          <w:tcPr>
            <w:tcW w:w="1168" w:type="dxa"/>
            <w:shd w:val="clear" w:color="auto" w:fill="FBE4D5" w:themeFill="accent2" w:themeFillTint="33"/>
            <w:noWrap/>
            <w:vAlign w:val="center"/>
            <w:hideMark/>
          </w:tcPr>
          <w:p w14:paraId="3D4A3DF6" w14:textId="499B5B22"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877</w:t>
            </w:r>
            <w:r w:rsidR="002E6619">
              <w:rPr>
                <w:color w:val="000000"/>
                <w:sz w:val="20"/>
                <w:szCs w:val="20"/>
                <w:lang w:eastAsia="en-US"/>
              </w:rPr>
              <w:t>4</w:t>
            </w:r>
          </w:p>
        </w:tc>
      </w:tr>
      <w:tr w:rsidR="00085F17" w:rsidRPr="00085F17" w14:paraId="2A85528B" w14:textId="77777777" w:rsidTr="007116B0">
        <w:trPr>
          <w:trHeight w:val="311"/>
          <w:jc w:val="center"/>
        </w:trPr>
        <w:tc>
          <w:tcPr>
            <w:tcW w:w="630" w:type="dxa"/>
            <w:vMerge/>
            <w:vAlign w:val="center"/>
            <w:hideMark/>
          </w:tcPr>
          <w:p w14:paraId="4DEEEAF2" w14:textId="77777777" w:rsidR="00085F17" w:rsidRPr="00085F17" w:rsidRDefault="00085F17" w:rsidP="008803C7">
            <w:pPr>
              <w:spacing w:line="480" w:lineRule="auto"/>
              <w:jc w:val="center"/>
              <w:rPr>
                <w:b/>
                <w:color w:val="000000"/>
                <w:szCs w:val="20"/>
                <w:lang w:eastAsia="en-US"/>
              </w:rPr>
            </w:pPr>
          </w:p>
        </w:tc>
        <w:tc>
          <w:tcPr>
            <w:tcW w:w="2121" w:type="dxa"/>
            <w:shd w:val="clear" w:color="auto" w:fill="FFF2CC" w:themeFill="accent4" w:themeFillTint="33"/>
            <w:noWrap/>
            <w:vAlign w:val="center"/>
            <w:hideMark/>
          </w:tcPr>
          <w:p w14:paraId="61B81244" w14:textId="0FE68D12" w:rsidR="00085F17" w:rsidRPr="00085F17" w:rsidRDefault="007116B0" w:rsidP="008803C7">
            <w:pPr>
              <w:spacing w:line="480" w:lineRule="auto"/>
              <w:rPr>
                <w:color w:val="000000"/>
                <w:sz w:val="20"/>
                <w:szCs w:val="20"/>
                <w:lang w:eastAsia="en-US"/>
              </w:rPr>
            </w:pPr>
            <w:r>
              <w:rPr>
                <w:color w:val="000000"/>
                <w:sz w:val="20"/>
                <w:szCs w:val="20"/>
                <w:lang w:eastAsia="en-US"/>
              </w:rPr>
              <w:t>EGF Stained - Control</w:t>
            </w:r>
          </w:p>
        </w:tc>
        <w:tc>
          <w:tcPr>
            <w:tcW w:w="1240" w:type="dxa"/>
            <w:shd w:val="clear" w:color="auto" w:fill="FFF2CC" w:themeFill="accent4" w:themeFillTint="33"/>
            <w:noWrap/>
            <w:vAlign w:val="center"/>
            <w:hideMark/>
          </w:tcPr>
          <w:p w14:paraId="6DA19810" w14:textId="3B853B42"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4171341</w:t>
            </w:r>
            <w:r w:rsidR="002E6619">
              <w:rPr>
                <w:color w:val="000000"/>
                <w:sz w:val="20"/>
                <w:szCs w:val="20"/>
                <w:lang w:eastAsia="en-US"/>
              </w:rPr>
              <w:t>2</w:t>
            </w:r>
          </w:p>
        </w:tc>
        <w:tc>
          <w:tcPr>
            <w:tcW w:w="1168" w:type="dxa"/>
            <w:shd w:val="clear" w:color="auto" w:fill="FFF2CC" w:themeFill="accent4" w:themeFillTint="33"/>
            <w:noWrap/>
            <w:vAlign w:val="center"/>
            <w:hideMark/>
          </w:tcPr>
          <w:p w14:paraId="6B538416"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1615790</w:t>
            </w:r>
          </w:p>
        </w:tc>
        <w:tc>
          <w:tcPr>
            <w:tcW w:w="1168" w:type="dxa"/>
            <w:shd w:val="clear" w:color="auto" w:fill="FFF2CC" w:themeFill="accent4" w:themeFillTint="33"/>
            <w:noWrap/>
            <w:vAlign w:val="center"/>
            <w:hideMark/>
          </w:tcPr>
          <w:p w14:paraId="7DFF3DF1"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1202357</w:t>
            </w:r>
          </w:p>
        </w:tc>
        <w:tc>
          <w:tcPr>
            <w:tcW w:w="1168" w:type="dxa"/>
            <w:shd w:val="clear" w:color="auto" w:fill="FFF2CC" w:themeFill="accent4" w:themeFillTint="33"/>
            <w:noWrap/>
            <w:vAlign w:val="center"/>
            <w:hideMark/>
          </w:tcPr>
          <w:p w14:paraId="43F853CA" w14:textId="2A663C34"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560798</w:t>
            </w:r>
          </w:p>
        </w:tc>
        <w:tc>
          <w:tcPr>
            <w:tcW w:w="1168" w:type="dxa"/>
            <w:shd w:val="clear" w:color="auto" w:fill="FFF2CC" w:themeFill="accent4" w:themeFillTint="33"/>
            <w:noWrap/>
            <w:vAlign w:val="center"/>
            <w:hideMark/>
          </w:tcPr>
          <w:p w14:paraId="28B3555C"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225849</w:t>
            </w:r>
          </w:p>
        </w:tc>
        <w:tc>
          <w:tcPr>
            <w:tcW w:w="1168" w:type="dxa"/>
            <w:shd w:val="clear" w:color="auto" w:fill="FFF2CC" w:themeFill="accent4" w:themeFillTint="33"/>
            <w:noWrap/>
            <w:vAlign w:val="center"/>
            <w:hideMark/>
          </w:tcPr>
          <w:p w14:paraId="02DE7042"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86304</w:t>
            </w:r>
          </w:p>
        </w:tc>
      </w:tr>
      <w:tr w:rsidR="00085F17" w:rsidRPr="00085F17" w14:paraId="06265ADF" w14:textId="77777777" w:rsidTr="007116B0">
        <w:trPr>
          <w:trHeight w:val="311"/>
          <w:jc w:val="center"/>
        </w:trPr>
        <w:tc>
          <w:tcPr>
            <w:tcW w:w="630" w:type="dxa"/>
            <w:vMerge/>
            <w:vAlign w:val="center"/>
            <w:hideMark/>
          </w:tcPr>
          <w:p w14:paraId="57BC6BAC" w14:textId="77777777" w:rsidR="00085F17" w:rsidRPr="00085F17" w:rsidRDefault="00085F17" w:rsidP="008803C7">
            <w:pPr>
              <w:spacing w:line="480" w:lineRule="auto"/>
              <w:jc w:val="center"/>
              <w:rPr>
                <w:b/>
                <w:color w:val="000000"/>
                <w:szCs w:val="20"/>
                <w:lang w:eastAsia="en-US"/>
              </w:rPr>
            </w:pPr>
          </w:p>
        </w:tc>
        <w:tc>
          <w:tcPr>
            <w:tcW w:w="2121" w:type="dxa"/>
            <w:shd w:val="clear" w:color="auto" w:fill="auto"/>
            <w:noWrap/>
            <w:vAlign w:val="center"/>
            <w:hideMark/>
          </w:tcPr>
          <w:p w14:paraId="727B99C5" w14:textId="77777777" w:rsidR="00085F17" w:rsidRPr="00085F17" w:rsidRDefault="00085F17" w:rsidP="008803C7">
            <w:pPr>
              <w:spacing w:line="480" w:lineRule="auto"/>
              <w:rPr>
                <w:b/>
                <w:color w:val="000000"/>
                <w:sz w:val="20"/>
                <w:szCs w:val="20"/>
                <w:lang w:eastAsia="en-US"/>
              </w:rPr>
            </w:pPr>
            <w:r w:rsidRPr="00085F17">
              <w:rPr>
                <w:b/>
                <w:color w:val="000000"/>
                <w:sz w:val="20"/>
                <w:szCs w:val="20"/>
                <w:lang w:eastAsia="en-US"/>
              </w:rPr>
              <w:t>EGFR/cell</w:t>
            </w:r>
          </w:p>
        </w:tc>
        <w:tc>
          <w:tcPr>
            <w:tcW w:w="1240" w:type="dxa"/>
            <w:shd w:val="clear" w:color="auto" w:fill="auto"/>
            <w:noWrap/>
            <w:vAlign w:val="center"/>
            <w:hideMark/>
          </w:tcPr>
          <w:p w14:paraId="0AC7172D" w14:textId="3493B2B5"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1390447</w:t>
            </w:r>
          </w:p>
        </w:tc>
        <w:tc>
          <w:tcPr>
            <w:tcW w:w="1168" w:type="dxa"/>
            <w:shd w:val="clear" w:color="auto" w:fill="auto"/>
            <w:noWrap/>
            <w:vAlign w:val="center"/>
            <w:hideMark/>
          </w:tcPr>
          <w:p w14:paraId="12D0CF86" w14:textId="3B862CC5"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53859</w:t>
            </w:r>
            <w:r w:rsidR="002E6619">
              <w:rPr>
                <w:b/>
                <w:color w:val="000000"/>
                <w:sz w:val="20"/>
                <w:szCs w:val="20"/>
                <w:lang w:eastAsia="en-US"/>
              </w:rPr>
              <w:t>7</w:t>
            </w:r>
          </w:p>
        </w:tc>
        <w:tc>
          <w:tcPr>
            <w:tcW w:w="1168" w:type="dxa"/>
            <w:shd w:val="clear" w:color="auto" w:fill="auto"/>
            <w:noWrap/>
            <w:vAlign w:val="center"/>
            <w:hideMark/>
          </w:tcPr>
          <w:p w14:paraId="6FB607AA" w14:textId="188DC5A4"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40078</w:t>
            </w:r>
            <w:r w:rsidR="002E6619">
              <w:rPr>
                <w:b/>
                <w:color w:val="000000"/>
                <w:sz w:val="20"/>
                <w:szCs w:val="20"/>
                <w:lang w:eastAsia="en-US"/>
              </w:rPr>
              <w:t>6</w:t>
            </w:r>
          </w:p>
        </w:tc>
        <w:tc>
          <w:tcPr>
            <w:tcW w:w="1168" w:type="dxa"/>
            <w:shd w:val="clear" w:color="auto" w:fill="auto"/>
            <w:noWrap/>
            <w:vAlign w:val="center"/>
            <w:hideMark/>
          </w:tcPr>
          <w:p w14:paraId="3551099B" w14:textId="4FCB06AE"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18693</w:t>
            </w:r>
            <w:r w:rsidR="002E6619">
              <w:rPr>
                <w:b/>
                <w:color w:val="000000"/>
                <w:sz w:val="20"/>
                <w:szCs w:val="20"/>
                <w:lang w:eastAsia="en-US"/>
              </w:rPr>
              <w:t>3</w:t>
            </w:r>
          </w:p>
        </w:tc>
        <w:tc>
          <w:tcPr>
            <w:tcW w:w="1168" w:type="dxa"/>
            <w:shd w:val="clear" w:color="auto" w:fill="auto"/>
            <w:noWrap/>
            <w:vAlign w:val="center"/>
            <w:hideMark/>
          </w:tcPr>
          <w:p w14:paraId="00EA5B1A" w14:textId="77777777"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75283</w:t>
            </w:r>
          </w:p>
        </w:tc>
        <w:tc>
          <w:tcPr>
            <w:tcW w:w="1168" w:type="dxa"/>
            <w:shd w:val="clear" w:color="auto" w:fill="auto"/>
            <w:noWrap/>
            <w:vAlign w:val="center"/>
            <w:hideMark/>
          </w:tcPr>
          <w:p w14:paraId="39B5951D" w14:textId="77777777"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28768</w:t>
            </w:r>
          </w:p>
        </w:tc>
      </w:tr>
      <w:tr w:rsidR="007116B0" w:rsidRPr="00085F17" w14:paraId="5B6414F1" w14:textId="77777777" w:rsidTr="007116B0">
        <w:trPr>
          <w:trHeight w:val="311"/>
          <w:jc w:val="center"/>
        </w:trPr>
        <w:tc>
          <w:tcPr>
            <w:tcW w:w="630" w:type="dxa"/>
            <w:vMerge w:val="restart"/>
            <w:shd w:val="clear" w:color="auto" w:fill="auto"/>
            <w:noWrap/>
            <w:textDirection w:val="btLr"/>
            <w:vAlign w:val="center"/>
            <w:hideMark/>
          </w:tcPr>
          <w:p w14:paraId="0878DA15"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Trial 3</w:t>
            </w:r>
          </w:p>
        </w:tc>
        <w:tc>
          <w:tcPr>
            <w:tcW w:w="2121" w:type="dxa"/>
            <w:shd w:val="clear" w:color="auto" w:fill="D9E2F3" w:themeFill="accent1" w:themeFillTint="33"/>
            <w:noWrap/>
            <w:vAlign w:val="center"/>
            <w:hideMark/>
          </w:tcPr>
          <w:p w14:paraId="1F530C88"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EGF Stained</w:t>
            </w:r>
          </w:p>
        </w:tc>
        <w:tc>
          <w:tcPr>
            <w:tcW w:w="1240" w:type="dxa"/>
            <w:shd w:val="clear" w:color="auto" w:fill="D9E2F3" w:themeFill="accent1" w:themeFillTint="33"/>
            <w:noWrap/>
            <w:vAlign w:val="center"/>
            <w:hideMark/>
          </w:tcPr>
          <w:p w14:paraId="50147A06"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2898956</w:t>
            </w:r>
          </w:p>
        </w:tc>
        <w:tc>
          <w:tcPr>
            <w:tcW w:w="1168" w:type="dxa"/>
            <w:shd w:val="clear" w:color="auto" w:fill="D9E2F3" w:themeFill="accent1" w:themeFillTint="33"/>
            <w:noWrap/>
            <w:vAlign w:val="center"/>
            <w:hideMark/>
          </w:tcPr>
          <w:p w14:paraId="3C9A0FFF"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1652385</w:t>
            </w:r>
          </w:p>
        </w:tc>
        <w:tc>
          <w:tcPr>
            <w:tcW w:w="1168" w:type="dxa"/>
            <w:shd w:val="clear" w:color="auto" w:fill="D9E2F3" w:themeFill="accent1" w:themeFillTint="33"/>
            <w:noWrap/>
            <w:vAlign w:val="center"/>
            <w:hideMark/>
          </w:tcPr>
          <w:p w14:paraId="7D647EFA"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1071946</w:t>
            </w:r>
          </w:p>
        </w:tc>
        <w:tc>
          <w:tcPr>
            <w:tcW w:w="1168" w:type="dxa"/>
            <w:shd w:val="clear" w:color="auto" w:fill="D9E2F3" w:themeFill="accent1" w:themeFillTint="33"/>
            <w:noWrap/>
            <w:vAlign w:val="center"/>
            <w:hideMark/>
          </w:tcPr>
          <w:p w14:paraId="136838C1"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268314</w:t>
            </w:r>
          </w:p>
        </w:tc>
        <w:tc>
          <w:tcPr>
            <w:tcW w:w="1168" w:type="dxa"/>
            <w:shd w:val="clear" w:color="auto" w:fill="D9E2F3" w:themeFill="accent1" w:themeFillTint="33"/>
            <w:noWrap/>
            <w:vAlign w:val="center"/>
            <w:hideMark/>
          </w:tcPr>
          <w:p w14:paraId="20560860" w14:textId="03338775"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212193</w:t>
            </w:r>
          </w:p>
        </w:tc>
        <w:tc>
          <w:tcPr>
            <w:tcW w:w="1168" w:type="dxa"/>
            <w:shd w:val="clear" w:color="auto" w:fill="D9E2F3" w:themeFill="accent1" w:themeFillTint="33"/>
            <w:noWrap/>
            <w:vAlign w:val="center"/>
            <w:hideMark/>
          </w:tcPr>
          <w:p w14:paraId="1F8C1090"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92306</w:t>
            </w:r>
          </w:p>
        </w:tc>
      </w:tr>
      <w:tr w:rsidR="00085F17" w:rsidRPr="00085F17" w14:paraId="40B147FC" w14:textId="77777777" w:rsidTr="007116B0">
        <w:trPr>
          <w:trHeight w:val="311"/>
          <w:jc w:val="center"/>
        </w:trPr>
        <w:tc>
          <w:tcPr>
            <w:tcW w:w="630" w:type="dxa"/>
            <w:vMerge/>
            <w:vAlign w:val="center"/>
            <w:hideMark/>
          </w:tcPr>
          <w:p w14:paraId="298436F9" w14:textId="77777777" w:rsidR="00085F17" w:rsidRPr="00085F17" w:rsidRDefault="00085F17" w:rsidP="008803C7">
            <w:pPr>
              <w:spacing w:line="480" w:lineRule="auto"/>
              <w:jc w:val="center"/>
              <w:rPr>
                <w:b/>
                <w:color w:val="000000"/>
                <w:szCs w:val="20"/>
                <w:lang w:eastAsia="en-US"/>
              </w:rPr>
            </w:pPr>
          </w:p>
        </w:tc>
        <w:tc>
          <w:tcPr>
            <w:tcW w:w="2121" w:type="dxa"/>
            <w:shd w:val="clear" w:color="auto" w:fill="FBE4D5" w:themeFill="accent2" w:themeFillTint="33"/>
            <w:noWrap/>
            <w:vAlign w:val="center"/>
            <w:hideMark/>
          </w:tcPr>
          <w:p w14:paraId="503DA4A1"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Control</w:t>
            </w:r>
          </w:p>
        </w:tc>
        <w:tc>
          <w:tcPr>
            <w:tcW w:w="1240" w:type="dxa"/>
            <w:shd w:val="clear" w:color="auto" w:fill="FBE4D5" w:themeFill="accent2" w:themeFillTint="33"/>
            <w:noWrap/>
            <w:vAlign w:val="center"/>
            <w:hideMark/>
          </w:tcPr>
          <w:p w14:paraId="67E19AD7" w14:textId="7CAD054B"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57527</w:t>
            </w:r>
          </w:p>
        </w:tc>
        <w:tc>
          <w:tcPr>
            <w:tcW w:w="1168" w:type="dxa"/>
            <w:shd w:val="clear" w:color="auto" w:fill="FBE4D5" w:themeFill="accent2" w:themeFillTint="33"/>
            <w:noWrap/>
            <w:vAlign w:val="center"/>
            <w:hideMark/>
          </w:tcPr>
          <w:p w14:paraId="54FE0897" w14:textId="4FB2C2AB"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718</w:t>
            </w:r>
            <w:r w:rsidR="002E6619">
              <w:rPr>
                <w:color w:val="000000"/>
                <w:sz w:val="20"/>
                <w:szCs w:val="20"/>
                <w:lang w:eastAsia="en-US"/>
              </w:rPr>
              <w:t>1</w:t>
            </w:r>
          </w:p>
        </w:tc>
        <w:tc>
          <w:tcPr>
            <w:tcW w:w="1168" w:type="dxa"/>
            <w:shd w:val="clear" w:color="auto" w:fill="FBE4D5" w:themeFill="accent2" w:themeFillTint="33"/>
            <w:noWrap/>
            <w:vAlign w:val="center"/>
            <w:hideMark/>
          </w:tcPr>
          <w:p w14:paraId="309C6492" w14:textId="681A25CF"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9252</w:t>
            </w:r>
          </w:p>
        </w:tc>
        <w:tc>
          <w:tcPr>
            <w:tcW w:w="1168" w:type="dxa"/>
            <w:shd w:val="clear" w:color="auto" w:fill="FBE4D5" w:themeFill="accent2" w:themeFillTint="33"/>
            <w:noWrap/>
            <w:vAlign w:val="center"/>
            <w:hideMark/>
          </w:tcPr>
          <w:p w14:paraId="7ACAF519"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4332</w:t>
            </w:r>
          </w:p>
        </w:tc>
        <w:tc>
          <w:tcPr>
            <w:tcW w:w="1168" w:type="dxa"/>
            <w:shd w:val="clear" w:color="auto" w:fill="FBE4D5" w:themeFill="accent2" w:themeFillTint="33"/>
            <w:noWrap/>
            <w:vAlign w:val="center"/>
            <w:hideMark/>
          </w:tcPr>
          <w:p w14:paraId="5729CBE6" w14:textId="794CCDC2"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2791</w:t>
            </w:r>
          </w:p>
        </w:tc>
        <w:tc>
          <w:tcPr>
            <w:tcW w:w="1168" w:type="dxa"/>
            <w:shd w:val="clear" w:color="auto" w:fill="FBE4D5" w:themeFill="accent2" w:themeFillTint="33"/>
            <w:noWrap/>
            <w:vAlign w:val="center"/>
            <w:hideMark/>
          </w:tcPr>
          <w:p w14:paraId="79800E4B" w14:textId="77E8D58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7</w:t>
            </w:r>
            <w:r w:rsidR="002E6619">
              <w:rPr>
                <w:color w:val="000000"/>
                <w:sz w:val="20"/>
                <w:szCs w:val="20"/>
                <w:lang w:eastAsia="en-US"/>
              </w:rPr>
              <w:t>400</w:t>
            </w:r>
          </w:p>
        </w:tc>
      </w:tr>
      <w:tr w:rsidR="00085F17" w:rsidRPr="00085F17" w14:paraId="0DF77300" w14:textId="77777777" w:rsidTr="007116B0">
        <w:trPr>
          <w:trHeight w:val="311"/>
          <w:jc w:val="center"/>
        </w:trPr>
        <w:tc>
          <w:tcPr>
            <w:tcW w:w="630" w:type="dxa"/>
            <w:vMerge/>
            <w:vAlign w:val="center"/>
            <w:hideMark/>
          </w:tcPr>
          <w:p w14:paraId="6C236862" w14:textId="77777777" w:rsidR="00085F17" w:rsidRPr="00085F17" w:rsidRDefault="00085F17" w:rsidP="008803C7">
            <w:pPr>
              <w:spacing w:line="480" w:lineRule="auto"/>
              <w:jc w:val="center"/>
              <w:rPr>
                <w:b/>
                <w:color w:val="000000"/>
                <w:szCs w:val="20"/>
                <w:lang w:eastAsia="en-US"/>
              </w:rPr>
            </w:pPr>
          </w:p>
        </w:tc>
        <w:tc>
          <w:tcPr>
            <w:tcW w:w="2121" w:type="dxa"/>
            <w:shd w:val="clear" w:color="auto" w:fill="FFF2CC" w:themeFill="accent4" w:themeFillTint="33"/>
            <w:noWrap/>
            <w:vAlign w:val="center"/>
            <w:hideMark/>
          </w:tcPr>
          <w:p w14:paraId="25686FA3" w14:textId="1D1277B3" w:rsidR="00085F17" w:rsidRPr="00085F17" w:rsidRDefault="007116B0" w:rsidP="008803C7">
            <w:pPr>
              <w:spacing w:line="480" w:lineRule="auto"/>
              <w:rPr>
                <w:color w:val="000000"/>
                <w:sz w:val="20"/>
                <w:szCs w:val="20"/>
                <w:lang w:eastAsia="en-US"/>
              </w:rPr>
            </w:pPr>
            <w:r>
              <w:rPr>
                <w:color w:val="000000"/>
                <w:sz w:val="20"/>
                <w:szCs w:val="20"/>
                <w:lang w:eastAsia="en-US"/>
              </w:rPr>
              <w:t>EGF Stained - Control</w:t>
            </w:r>
          </w:p>
        </w:tc>
        <w:tc>
          <w:tcPr>
            <w:tcW w:w="1240" w:type="dxa"/>
            <w:shd w:val="clear" w:color="auto" w:fill="FFF2CC" w:themeFill="accent4" w:themeFillTint="33"/>
            <w:noWrap/>
            <w:vAlign w:val="center"/>
            <w:hideMark/>
          </w:tcPr>
          <w:p w14:paraId="328F99C1" w14:textId="5E21BD6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284142</w:t>
            </w:r>
            <w:r w:rsidR="002E6619">
              <w:rPr>
                <w:color w:val="000000"/>
                <w:sz w:val="20"/>
                <w:szCs w:val="20"/>
                <w:lang w:eastAsia="en-US"/>
              </w:rPr>
              <w:t>9</w:t>
            </w:r>
          </w:p>
        </w:tc>
        <w:tc>
          <w:tcPr>
            <w:tcW w:w="1168" w:type="dxa"/>
            <w:shd w:val="clear" w:color="auto" w:fill="FFF2CC" w:themeFill="accent4" w:themeFillTint="33"/>
            <w:noWrap/>
            <w:vAlign w:val="center"/>
            <w:hideMark/>
          </w:tcPr>
          <w:p w14:paraId="4A0A5D46" w14:textId="719AB382"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1645204</w:t>
            </w:r>
          </w:p>
        </w:tc>
        <w:tc>
          <w:tcPr>
            <w:tcW w:w="1168" w:type="dxa"/>
            <w:shd w:val="clear" w:color="auto" w:fill="FFF2CC" w:themeFill="accent4" w:themeFillTint="33"/>
            <w:noWrap/>
            <w:vAlign w:val="center"/>
            <w:hideMark/>
          </w:tcPr>
          <w:p w14:paraId="0AA9304F" w14:textId="406C9D66"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106269</w:t>
            </w:r>
            <w:r w:rsidR="002E6619">
              <w:rPr>
                <w:color w:val="000000"/>
                <w:sz w:val="20"/>
                <w:szCs w:val="20"/>
                <w:lang w:eastAsia="en-US"/>
              </w:rPr>
              <w:t>4</w:t>
            </w:r>
          </w:p>
        </w:tc>
        <w:tc>
          <w:tcPr>
            <w:tcW w:w="1168" w:type="dxa"/>
            <w:shd w:val="clear" w:color="auto" w:fill="FFF2CC" w:themeFill="accent4" w:themeFillTint="33"/>
            <w:noWrap/>
            <w:vAlign w:val="center"/>
            <w:hideMark/>
          </w:tcPr>
          <w:p w14:paraId="17AEED11"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263982</w:t>
            </w:r>
          </w:p>
        </w:tc>
        <w:tc>
          <w:tcPr>
            <w:tcW w:w="1168" w:type="dxa"/>
            <w:shd w:val="clear" w:color="auto" w:fill="FFF2CC" w:themeFill="accent4" w:themeFillTint="33"/>
            <w:noWrap/>
            <w:vAlign w:val="center"/>
            <w:hideMark/>
          </w:tcPr>
          <w:p w14:paraId="2CC958A7"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209402</w:t>
            </w:r>
          </w:p>
        </w:tc>
        <w:tc>
          <w:tcPr>
            <w:tcW w:w="1168" w:type="dxa"/>
            <w:shd w:val="clear" w:color="auto" w:fill="FFF2CC" w:themeFill="accent4" w:themeFillTint="33"/>
            <w:noWrap/>
            <w:vAlign w:val="center"/>
            <w:hideMark/>
          </w:tcPr>
          <w:p w14:paraId="435AD057" w14:textId="1E6E7038"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84906</w:t>
            </w:r>
          </w:p>
        </w:tc>
      </w:tr>
      <w:tr w:rsidR="00085F17" w:rsidRPr="00085F17" w14:paraId="02BC987E" w14:textId="77777777" w:rsidTr="007116B0">
        <w:trPr>
          <w:trHeight w:val="311"/>
          <w:jc w:val="center"/>
        </w:trPr>
        <w:tc>
          <w:tcPr>
            <w:tcW w:w="630" w:type="dxa"/>
            <w:vMerge/>
            <w:vAlign w:val="center"/>
            <w:hideMark/>
          </w:tcPr>
          <w:p w14:paraId="69036EDC" w14:textId="77777777" w:rsidR="00085F17" w:rsidRPr="00085F17" w:rsidRDefault="00085F17" w:rsidP="008803C7">
            <w:pPr>
              <w:spacing w:line="480" w:lineRule="auto"/>
              <w:jc w:val="center"/>
              <w:rPr>
                <w:b/>
                <w:color w:val="000000"/>
                <w:szCs w:val="20"/>
                <w:lang w:eastAsia="en-US"/>
              </w:rPr>
            </w:pPr>
          </w:p>
        </w:tc>
        <w:tc>
          <w:tcPr>
            <w:tcW w:w="2121" w:type="dxa"/>
            <w:shd w:val="clear" w:color="auto" w:fill="auto"/>
            <w:noWrap/>
            <w:vAlign w:val="center"/>
            <w:hideMark/>
          </w:tcPr>
          <w:p w14:paraId="43C0E00A" w14:textId="77777777" w:rsidR="00085F17" w:rsidRPr="00085F17" w:rsidRDefault="00085F17" w:rsidP="008803C7">
            <w:pPr>
              <w:spacing w:line="480" w:lineRule="auto"/>
              <w:rPr>
                <w:b/>
                <w:color w:val="000000"/>
                <w:sz w:val="20"/>
                <w:szCs w:val="20"/>
                <w:lang w:eastAsia="en-US"/>
              </w:rPr>
            </w:pPr>
            <w:r w:rsidRPr="00085F17">
              <w:rPr>
                <w:b/>
                <w:color w:val="000000"/>
                <w:sz w:val="20"/>
                <w:szCs w:val="20"/>
                <w:lang w:eastAsia="en-US"/>
              </w:rPr>
              <w:t>EGFR/cell</w:t>
            </w:r>
          </w:p>
        </w:tc>
        <w:tc>
          <w:tcPr>
            <w:tcW w:w="1240" w:type="dxa"/>
            <w:shd w:val="clear" w:color="auto" w:fill="auto"/>
            <w:noWrap/>
            <w:vAlign w:val="center"/>
            <w:hideMark/>
          </w:tcPr>
          <w:p w14:paraId="595FAB9C" w14:textId="54C8576D"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94714</w:t>
            </w:r>
            <w:r w:rsidR="002E6619">
              <w:rPr>
                <w:b/>
                <w:color w:val="000000"/>
                <w:sz w:val="20"/>
                <w:szCs w:val="20"/>
                <w:lang w:eastAsia="en-US"/>
              </w:rPr>
              <w:t>3</w:t>
            </w:r>
          </w:p>
        </w:tc>
        <w:tc>
          <w:tcPr>
            <w:tcW w:w="1168" w:type="dxa"/>
            <w:shd w:val="clear" w:color="auto" w:fill="auto"/>
            <w:noWrap/>
            <w:vAlign w:val="center"/>
            <w:hideMark/>
          </w:tcPr>
          <w:p w14:paraId="4647608E" w14:textId="5A56B1EA"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54840</w:t>
            </w:r>
            <w:r w:rsidR="002E6619">
              <w:rPr>
                <w:b/>
                <w:color w:val="000000"/>
                <w:sz w:val="20"/>
                <w:szCs w:val="20"/>
                <w:lang w:eastAsia="en-US"/>
              </w:rPr>
              <w:t>1</w:t>
            </w:r>
          </w:p>
        </w:tc>
        <w:tc>
          <w:tcPr>
            <w:tcW w:w="1168" w:type="dxa"/>
            <w:shd w:val="clear" w:color="auto" w:fill="auto"/>
            <w:noWrap/>
            <w:vAlign w:val="center"/>
            <w:hideMark/>
          </w:tcPr>
          <w:p w14:paraId="3B4FFC1B" w14:textId="3D02D82E"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35423</w:t>
            </w:r>
            <w:r w:rsidR="002E6619">
              <w:rPr>
                <w:b/>
                <w:color w:val="000000"/>
                <w:sz w:val="20"/>
                <w:szCs w:val="20"/>
                <w:lang w:eastAsia="en-US"/>
              </w:rPr>
              <w:t>1</w:t>
            </w:r>
          </w:p>
        </w:tc>
        <w:tc>
          <w:tcPr>
            <w:tcW w:w="1168" w:type="dxa"/>
            <w:shd w:val="clear" w:color="auto" w:fill="auto"/>
            <w:noWrap/>
            <w:vAlign w:val="center"/>
            <w:hideMark/>
          </w:tcPr>
          <w:p w14:paraId="06876D75" w14:textId="77777777"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87994</w:t>
            </w:r>
          </w:p>
        </w:tc>
        <w:tc>
          <w:tcPr>
            <w:tcW w:w="1168" w:type="dxa"/>
            <w:shd w:val="clear" w:color="auto" w:fill="auto"/>
            <w:noWrap/>
            <w:vAlign w:val="center"/>
            <w:hideMark/>
          </w:tcPr>
          <w:p w14:paraId="147EC639" w14:textId="5F98FAD1"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6980</w:t>
            </w:r>
            <w:r w:rsidR="002E6619">
              <w:rPr>
                <w:b/>
                <w:color w:val="000000"/>
                <w:sz w:val="20"/>
                <w:szCs w:val="20"/>
                <w:lang w:eastAsia="en-US"/>
              </w:rPr>
              <w:t>1</w:t>
            </w:r>
          </w:p>
        </w:tc>
        <w:tc>
          <w:tcPr>
            <w:tcW w:w="1168" w:type="dxa"/>
            <w:shd w:val="clear" w:color="auto" w:fill="auto"/>
            <w:noWrap/>
            <w:vAlign w:val="center"/>
            <w:hideMark/>
          </w:tcPr>
          <w:p w14:paraId="5E872C55" w14:textId="29BE4863"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28302</w:t>
            </w:r>
          </w:p>
        </w:tc>
      </w:tr>
      <w:tr w:rsidR="007116B0" w:rsidRPr="00085F17" w14:paraId="2E36288C" w14:textId="77777777" w:rsidTr="007116B0">
        <w:trPr>
          <w:trHeight w:val="311"/>
          <w:jc w:val="center"/>
        </w:trPr>
        <w:tc>
          <w:tcPr>
            <w:tcW w:w="630" w:type="dxa"/>
            <w:vMerge w:val="restart"/>
            <w:shd w:val="clear" w:color="auto" w:fill="auto"/>
            <w:noWrap/>
            <w:textDirection w:val="btLr"/>
            <w:vAlign w:val="center"/>
            <w:hideMark/>
          </w:tcPr>
          <w:p w14:paraId="1832C48F" w14:textId="77777777" w:rsidR="00085F17" w:rsidRPr="00085F17" w:rsidRDefault="00085F17" w:rsidP="008803C7">
            <w:pPr>
              <w:spacing w:line="480" w:lineRule="auto"/>
              <w:jc w:val="center"/>
              <w:rPr>
                <w:b/>
                <w:color w:val="000000"/>
                <w:szCs w:val="20"/>
                <w:lang w:eastAsia="en-US"/>
              </w:rPr>
            </w:pPr>
            <w:r w:rsidRPr="00085F17">
              <w:rPr>
                <w:b/>
                <w:color w:val="000000"/>
                <w:szCs w:val="20"/>
                <w:lang w:eastAsia="en-US"/>
              </w:rPr>
              <w:t>Trial 4</w:t>
            </w:r>
          </w:p>
        </w:tc>
        <w:tc>
          <w:tcPr>
            <w:tcW w:w="2121" w:type="dxa"/>
            <w:shd w:val="clear" w:color="auto" w:fill="D9E2F3" w:themeFill="accent1" w:themeFillTint="33"/>
            <w:noWrap/>
            <w:vAlign w:val="center"/>
            <w:hideMark/>
          </w:tcPr>
          <w:p w14:paraId="6EAB70EC"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EGF Stained</w:t>
            </w:r>
          </w:p>
        </w:tc>
        <w:tc>
          <w:tcPr>
            <w:tcW w:w="1240" w:type="dxa"/>
            <w:shd w:val="clear" w:color="auto" w:fill="D9E2F3" w:themeFill="accent1" w:themeFillTint="33"/>
            <w:noWrap/>
            <w:vAlign w:val="center"/>
            <w:hideMark/>
          </w:tcPr>
          <w:p w14:paraId="42180FCF" w14:textId="3414B8A6"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304076</w:t>
            </w:r>
            <w:r w:rsidR="002E6619">
              <w:rPr>
                <w:color w:val="000000"/>
                <w:sz w:val="20"/>
                <w:szCs w:val="20"/>
                <w:lang w:eastAsia="en-US"/>
              </w:rPr>
              <w:t>4</w:t>
            </w:r>
          </w:p>
        </w:tc>
        <w:tc>
          <w:tcPr>
            <w:tcW w:w="1168" w:type="dxa"/>
            <w:shd w:val="clear" w:color="auto" w:fill="D9E2F3" w:themeFill="accent1" w:themeFillTint="33"/>
            <w:noWrap/>
            <w:vAlign w:val="center"/>
            <w:hideMark/>
          </w:tcPr>
          <w:p w14:paraId="30235EA1" w14:textId="0D202AAE" w:rsidR="00085F17" w:rsidRPr="00085F17" w:rsidRDefault="00085F17" w:rsidP="008803C7">
            <w:pPr>
              <w:spacing w:line="480" w:lineRule="auto"/>
              <w:jc w:val="center"/>
              <w:rPr>
                <w:color w:val="000000"/>
                <w:sz w:val="20"/>
                <w:szCs w:val="20"/>
                <w:lang w:eastAsia="en-US"/>
              </w:rPr>
            </w:pPr>
            <w:r>
              <w:rPr>
                <w:color w:val="000000"/>
                <w:sz w:val="20"/>
                <w:szCs w:val="20"/>
                <w:lang w:eastAsia="en-US"/>
              </w:rPr>
              <w:t>-</w:t>
            </w:r>
          </w:p>
        </w:tc>
        <w:tc>
          <w:tcPr>
            <w:tcW w:w="1168" w:type="dxa"/>
            <w:shd w:val="clear" w:color="auto" w:fill="D9E2F3" w:themeFill="accent1" w:themeFillTint="33"/>
            <w:noWrap/>
            <w:vAlign w:val="center"/>
            <w:hideMark/>
          </w:tcPr>
          <w:p w14:paraId="57F20594" w14:textId="2611FA61"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D9E2F3" w:themeFill="accent1" w:themeFillTint="33"/>
            <w:noWrap/>
            <w:vAlign w:val="center"/>
            <w:hideMark/>
          </w:tcPr>
          <w:p w14:paraId="7ACCD65B" w14:textId="1ABF1250"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D9E2F3" w:themeFill="accent1" w:themeFillTint="33"/>
            <w:noWrap/>
            <w:vAlign w:val="center"/>
            <w:hideMark/>
          </w:tcPr>
          <w:p w14:paraId="1F4847DD" w14:textId="2F2E4DF2"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D9E2F3" w:themeFill="accent1" w:themeFillTint="33"/>
            <w:noWrap/>
            <w:vAlign w:val="center"/>
            <w:hideMark/>
          </w:tcPr>
          <w:p w14:paraId="32F9A4DB" w14:textId="1E711050" w:rsidR="00085F17" w:rsidRPr="00085F17" w:rsidRDefault="00085F17" w:rsidP="008803C7">
            <w:pPr>
              <w:spacing w:line="480" w:lineRule="auto"/>
              <w:jc w:val="center"/>
              <w:rPr>
                <w:sz w:val="20"/>
                <w:szCs w:val="20"/>
                <w:lang w:eastAsia="en-US"/>
              </w:rPr>
            </w:pPr>
            <w:r>
              <w:rPr>
                <w:sz w:val="20"/>
                <w:szCs w:val="20"/>
                <w:lang w:eastAsia="en-US"/>
              </w:rPr>
              <w:t>-</w:t>
            </w:r>
          </w:p>
        </w:tc>
      </w:tr>
      <w:tr w:rsidR="00085F17" w:rsidRPr="00085F17" w14:paraId="3A8F8CC2" w14:textId="77777777" w:rsidTr="007116B0">
        <w:trPr>
          <w:trHeight w:val="311"/>
          <w:jc w:val="center"/>
        </w:trPr>
        <w:tc>
          <w:tcPr>
            <w:tcW w:w="630" w:type="dxa"/>
            <w:vMerge/>
            <w:vAlign w:val="center"/>
            <w:hideMark/>
          </w:tcPr>
          <w:p w14:paraId="6EBE452B" w14:textId="77777777" w:rsidR="00085F17" w:rsidRPr="00085F17" w:rsidRDefault="00085F17" w:rsidP="008803C7">
            <w:pPr>
              <w:spacing w:line="480" w:lineRule="auto"/>
              <w:jc w:val="center"/>
              <w:rPr>
                <w:b/>
                <w:color w:val="000000"/>
                <w:szCs w:val="20"/>
                <w:lang w:eastAsia="en-US"/>
              </w:rPr>
            </w:pPr>
          </w:p>
        </w:tc>
        <w:tc>
          <w:tcPr>
            <w:tcW w:w="2121" w:type="dxa"/>
            <w:shd w:val="clear" w:color="auto" w:fill="FBE4D5" w:themeFill="accent2" w:themeFillTint="33"/>
            <w:noWrap/>
            <w:vAlign w:val="center"/>
            <w:hideMark/>
          </w:tcPr>
          <w:p w14:paraId="1470794F" w14:textId="77777777" w:rsidR="00085F17" w:rsidRPr="00085F17" w:rsidRDefault="00085F17" w:rsidP="008803C7">
            <w:pPr>
              <w:spacing w:line="480" w:lineRule="auto"/>
              <w:rPr>
                <w:color w:val="000000"/>
                <w:sz w:val="20"/>
                <w:szCs w:val="20"/>
                <w:lang w:eastAsia="en-US"/>
              </w:rPr>
            </w:pPr>
            <w:r w:rsidRPr="00085F17">
              <w:rPr>
                <w:color w:val="000000"/>
                <w:sz w:val="20"/>
                <w:szCs w:val="20"/>
                <w:lang w:eastAsia="en-US"/>
              </w:rPr>
              <w:t>Control</w:t>
            </w:r>
          </w:p>
        </w:tc>
        <w:tc>
          <w:tcPr>
            <w:tcW w:w="1240" w:type="dxa"/>
            <w:shd w:val="clear" w:color="auto" w:fill="FBE4D5" w:themeFill="accent2" w:themeFillTint="33"/>
            <w:noWrap/>
            <w:vAlign w:val="center"/>
            <w:hideMark/>
          </w:tcPr>
          <w:p w14:paraId="39EA9AC0" w14:textId="17CAF510"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4411</w:t>
            </w:r>
            <w:r w:rsidR="002E6619">
              <w:rPr>
                <w:color w:val="000000"/>
                <w:sz w:val="20"/>
                <w:szCs w:val="20"/>
                <w:lang w:eastAsia="en-US"/>
              </w:rPr>
              <w:t>7</w:t>
            </w:r>
          </w:p>
        </w:tc>
        <w:tc>
          <w:tcPr>
            <w:tcW w:w="1168" w:type="dxa"/>
            <w:shd w:val="clear" w:color="auto" w:fill="FBE4D5" w:themeFill="accent2" w:themeFillTint="33"/>
            <w:noWrap/>
            <w:vAlign w:val="center"/>
            <w:hideMark/>
          </w:tcPr>
          <w:p w14:paraId="783F836D" w14:textId="728B86E8" w:rsidR="00085F17" w:rsidRPr="00085F17" w:rsidRDefault="00085F17" w:rsidP="008803C7">
            <w:pPr>
              <w:spacing w:line="480" w:lineRule="auto"/>
              <w:jc w:val="center"/>
              <w:rPr>
                <w:color w:val="000000"/>
                <w:sz w:val="20"/>
                <w:szCs w:val="20"/>
                <w:lang w:eastAsia="en-US"/>
              </w:rPr>
            </w:pPr>
            <w:r>
              <w:rPr>
                <w:color w:val="000000"/>
                <w:sz w:val="20"/>
                <w:szCs w:val="20"/>
                <w:lang w:eastAsia="en-US"/>
              </w:rPr>
              <w:t>-</w:t>
            </w:r>
          </w:p>
        </w:tc>
        <w:tc>
          <w:tcPr>
            <w:tcW w:w="1168" w:type="dxa"/>
            <w:shd w:val="clear" w:color="auto" w:fill="FBE4D5" w:themeFill="accent2" w:themeFillTint="33"/>
            <w:noWrap/>
            <w:vAlign w:val="center"/>
            <w:hideMark/>
          </w:tcPr>
          <w:p w14:paraId="37A1D7F9" w14:textId="6DC354CF"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BE4D5" w:themeFill="accent2" w:themeFillTint="33"/>
            <w:noWrap/>
            <w:vAlign w:val="center"/>
            <w:hideMark/>
          </w:tcPr>
          <w:p w14:paraId="56E72A2C" w14:textId="79998401"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BE4D5" w:themeFill="accent2" w:themeFillTint="33"/>
            <w:noWrap/>
            <w:vAlign w:val="center"/>
            <w:hideMark/>
          </w:tcPr>
          <w:p w14:paraId="7D49B518" w14:textId="116A0F7B"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BE4D5" w:themeFill="accent2" w:themeFillTint="33"/>
            <w:noWrap/>
            <w:vAlign w:val="center"/>
            <w:hideMark/>
          </w:tcPr>
          <w:p w14:paraId="0FB55521" w14:textId="2CE09190" w:rsidR="00085F17" w:rsidRPr="00085F17" w:rsidRDefault="00085F17" w:rsidP="008803C7">
            <w:pPr>
              <w:spacing w:line="480" w:lineRule="auto"/>
              <w:jc w:val="center"/>
              <w:rPr>
                <w:sz w:val="20"/>
                <w:szCs w:val="20"/>
                <w:lang w:eastAsia="en-US"/>
              </w:rPr>
            </w:pPr>
            <w:r>
              <w:rPr>
                <w:sz w:val="20"/>
                <w:szCs w:val="20"/>
                <w:lang w:eastAsia="en-US"/>
              </w:rPr>
              <w:t>-</w:t>
            </w:r>
          </w:p>
        </w:tc>
      </w:tr>
      <w:tr w:rsidR="00085F17" w:rsidRPr="00085F17" w14:paraId="6185BCB7" w14:textId="77777777" w:rsidTr="007116B0">
        <w:trPr>
          <w:trHeight w:val="311"/>
          <w:jc w:val="center"/>
        </w:trPr>
        <w:tc>
          <w:tcPr>
            <w:tcW w:w="630" w:type="dxa"/>
            <w:vMerge/>
            <w:vAlign w:val="center"/>
            <w:hideMark/>
          </w:tcPr>
          <w:p w14:paraId="3017CA0A" w14:textId="77777777" w:rsidR="00085F17" w:rsidRPr="00085F17" w:rsidRDefault="00085F17" w:rsidP="008803C7">
            <w:pPr>
              <w:spacing w:line="480" w:lineRule="auto"/>
              <w:jc w:val="center"/>
              <w:rPr>
                <w:b/>
                <w:color w:val="000000"/>
                <w:szCs w:val="20"/>
                <w:lang w:eastAsia="en-US"/>
              </w:rPr>
            </w:pPr>
          </w:p>
        </w:tc>
        <w:tc>
          <w:tcPr>
            <w:tcW w:w="2121" w:type="dxa"/>
            <w:shd w:val="clear" w:color="auto" w:fill="FFF2CC" w:themeFill="accent4" w:themeFillTint="33"/>
            <w:noWrap/>
            <w:vAlign w:val="center"/>
            <w:hideMark/>
          </w:tcPr>
          <w:p w14:paraId="1BAEBA20" w14:textId="145E47AD" w:rsidR="00085F17" w:rsidRPr="00085F17" w:rsidRDefault="007116B0" w:rsidP="008803C7">
            <w:pPr>
              <w:spacing w:line="480" w:lineRule="auto"/>
              <w:rPr>
                <w:color w:val="000000"/>
                <w:sz w:val="20"/>
                <w:szCs w:val="20"/>
                <w:lang w:eastAsia="en-US"/>
              </w:rPr>
            </w:pPr>
            <w:r>
              <w:rPr>
                <w:color w:val="000000"/>
                <w:sz w:val="20"/>
                <w:szCs w:val="20"/>
                <w:lang w:eastAsia="en-US"/>
              </w:rPr>
              <w:t>EGF Stained - Control</w:t>
            </w:r>
          </w:p>
        </w:tc>
        <w:tc>
          <w:tcPr>
            <w:tcW w:w="1240" w:type="dxa"/>
            <w:shd w:val="clear" w:color="auto" w:fill="FFF2CC" w:themeFill="accent4" w:themeFillTint="33"/>
            <w:noWrap/>
            <w:vAlign w:val="center"/>
            <w:hideMark/>
          </w:tcPr>
          <w:p w14:paraId="192724F6" w14:textId="77777777" w:rsidR="00085F17" w:rsidRPr="00085F17" w:rsidRDefault="00085F17" w:rsidP="008803C7">
            <w:pPr>
              <w:spacing w:line="480" w:lineRule="auto"/>
              <w:jc w:val="center"/>
              <w:rPr>
                <w:color w:val="000000"/>
                <w:sz w:val="20"/>
                <w:szCs w:val="20"/>
                <w:lang w:eastAsia="en-US"/>
              </w:rPr>
            </w:pPr>
            <w:r w:rsidRPr="00085F17">
              <w:rPr>
                <w:color w:val="000000"/>
                <w:sz w:val="20"/>
                <w:szCs w:val="20"/>
                <w:lang w:eastAsia="en-US"/>
              </w:rPr>
              <w:t>2996647</w:t>
            </w:r>
          </w:p>
        </w:tc>
        <w:tc>
          <w:tcPr>
            <w:tcW w:w="1168" w:type="dxa"/>
            <w:shd w:val="clear" w:color="auto" w:fill="FFF2CC" w:themeFill="accent4" w:themeFillTint="33"/>
            <w:noWrap/>
            <w:vAlign w:val="center"/>
            <w:hideMark/>
          </w:tcPr>
          <w:p w14:paraId="0DC1A1D9" w14:textId="699423AA" w:rsidR="00085F17" w:rsidRPr="00085F17" w:rsidRDefault="00085F17" w:rsidP="008803C7">
            <w:pPr>
              <w:spacing w:line="480" w:lineRule="auto"/>
              <w:jc w:val="center"/>
              <w:rPr>
                <w:color w:val="000000"/>
                <w:sz w:val="20"/>
                <w:szCs w:val="20"/>
                <w:lang w:eastAsia="en-US"/>
              </w:rPr>
            </w:pPr>
            <w:r>
              <w:rPr>
                <w:color w:val="000000"/>
                <w:sz w:val="20"/>
                <w:szCs w:val="20"/>
                <w:lang w:eastAsia="en-US"/>
              </w:rPr>
              <w:t>-</w:t>
            </w:r>
          </w:p>
        </w:tc>
        <w:tc>
          <w:tcPr>
            <w:tcW w:w="1168" w:type="dxa"/>
            <w:shd w:val="clear" w:color="auto" w:fill="FFF2CC" w:themeFill="accent4" w:themeFillTint="33"/>
            <w:noWrap/>
            <w:vAlign w:val="center"/>
            <w:hideMark/>
          </w:tcPr>
          <w:p w14:paraId="586AC950" w14:textId="73293275"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FF2CC" w:themeFill="accent4" w:themeFillTint="33"/>
            <w:noWrap/>
            <w:vAlign w:val="center"/>
            <w:hideMark/>
          </w:tcPr>
          <w:p w14:paraId="13B9E6D8" w14:textId="0E819C75"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FF2CC" w:themeFill="accent4" w:themeFillTint="33"/>
            <w:noWrap/>
            <w:vAlign w:val="center"/>
            <w:hideMark/>
          </w:tcPr>
          <w:p w14:paraId="5DD9ABB5" w14:textId="1D5BE1FD" w:rsidR="00085F17" w:rsidRPr="00085F17" w:rsidRDefault="00085F17" w:rsidP="008803C7">
            <w:pPr>
              <w:spacing w:line="480" w:lineRule="auto"/>
              <w:jc w:val="center"/>
              <w:rPr>
                <w:sz w:val="20"/>
                <w:szCs w:val="20"/>
                <w:lang w:eastAsia="en-US"/>
              </w:rPr>
            </w:pPr>
            <w:r>
              <w:rPr>
                <w:sz w:val="20"/>
                <w:szCs w:val="20"/>
                <w:lang w:eastAsia="en-US"/>
              </w:rPr>
              <w:t>-</w:t>
            </w:r>
          </w:p>
        </w:tc>
        <w:tc>
          <w:tcPr>
            <w:tcW w:w="1168" w:type="dxa"/>
            <w:shd w:val="clear" w:color="auto" w:fill="FFF2CC" w:themeFill="accent4" w:themeFillTint="33"/>
            <w:noWrap/>
            <w:vAlign w:val="center"/>
            <w:hideMark/>
          </w:tcPr>
          <w:p w14:paraId="029D2449" w14:textId="68F96433" w:rsidR="00085F17" w:rsidRPr="00085F17" w:rsidRDefault="00085F17" w:rsidP="008803C7">
            <w:pPr>
              <w:spacing w:line="480" w:lineRule="auto"/>
              <w:jc w:val="center"/>
              <w:rPr>
                <w:sz w:val="20"/>
                <w:szCs w:val="20"/>
                <w:lang w:eastAsia="en-US"/>
              </w:rPr>
            </w:pPr>
            <w:r>
              <w:rPr>
                <w:sz w:val="20"/>
                <w:szCs w:val="20"/>
                <w:lang w:eastAsia="en-US"/>
              </w:rPr>
              <w:t>-</w:t>
            </w:r>
          </w:p>
        </w:tc>
      </w:tr>
      <w:tr w:rsidR="00085F17" w:rsidRPr="00085F17" w14:paraId="2507AF6C" w14:textId="77777777" w:rsidTr="007116B0">
        <w:trPr>
          <w:trHeight w:val="311"/>
          <w:jc w:val="center"/>
        </w:trPr>
        <w:tc>
          <w:tcPr>
            <w:tcW w:w="630" w:type="dxa"/>
            <w:vMerge/>
            <w:vAlign w:val="center"/>
            <w:hideMark/>
          </w:tcPr>
          <w:p w14:paraId="62A59B29" w14:textId="77777777" w:rsidR="00085F17" w:rsidRPr="00085F17" w:rsidRDefault="00085F17" w:rsidP="008803C7">
            <w:pPr>
              <w:spacing w:line="480" w:lineRule="auto"/>
              <w:jc w:val="center"/>
              <w:rPr>
                <w:b/>
                <w:color w:val="000000"/>
                <w:szCs w:val="20"/>
                <w:lang w:eastAsia="en-US"/>
              </w:rPr>
            </w:pPr>
          </w:p>
        </w:tc>
        <w:tc>
          <w:tcPr>
            <w:tcW w:w="2121" w:type="dxa"/>
            <w:shd w:val="clear" w:color="auto" w:fill="auto"/>
            <w:noWrap/>
            <w:vAlign w:val="center"/>
            <w:hideMark/>
          </w:tcPr>
          <w:p w14:paraId="063E6D35" w14:textId="77777777" w:rsidR="00085F17" w:rsidRPr="00085F17" w:rsidRDefault="00085F17" w:rsidP="008803C7">
            <w:pPr>
              <w:spacing w:line="480" w:lineRule="auto"/>
              <w:rPr>
                <w:b/>
                <w:color w:val="000000"/>
                <w:sz w:val="20"/>
                <w:szCs w:val="20"/>
                <w:lang w:eastAsia="en-US"/>
              </w:rPr>
            </w:pPr>
            <w:r w:rsidRPr="00085F17">
              <w:rPr>
                <w:b/>
                <w:color w:val="000000"/>
                <w:sz w:val="20"/>
                <w:szCs w:val="20"/>
                <w:lang w:eastAsia="en-US"/>
              </w:rPr>
              <w:t>EGFR/cell</w:t>
            </w:r>
          </w:p>
        </w:tc>
        <w:tc>
          <w:tcPr>
            <w:tcW w:w="1240" w:type="dxa"/>
            <w:shd w:val="clear" w:color="auto" w:fill="auto"/>
            <w:noWrap/>
            <w:vAlign w:val="center"/>
            <w:hideMark/>
          </w:tcPr>
          <w:p w14:paraId="23F040A7" w14:textId="12DA9DB0"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998882</w:t>
            </w:r>
          </w:p>
        </w:tc>
        <w:tc>
          <w:tcPr>
            <w:tcW w:w="1168" w:type="dxa"/>
            <w:shd w:val="clear" w:color="auto" w:fill="auto"/>
            <w:noWrap/>
            <w:vAlign w:val="center"/>
            <w:hideMark/>
          </w:tcPr>
          <w:p w14:paraId="52ED1B90" w14:textId="4285E8B2" w:rsidR="00085F17" w:rsidRPr="00085F17" w:rsidRDefault="00085F17" w:rsidP="008803C7">
            <w:pPr>
              <w:spacing w:line="480" w:lineRule="auto"/>
              <w:jc w:val="center"/>
              <w:rPr>
                <w:b/>
                <w:color w:val="000000"/>
                <w:sz w:val="20"/>
                <w:szCs w:val="20"/>
                <w:lang w:eastAsia="en-US"/>
              </w:rPr>
            </w:pPr>
            <w:r w:rsidRPr="00085F17">
              <w:rPr>
                <w:b/>
                <w:color w:val="000000"/>
                <w:sz w:val="20"/>
                <w:szCs w:val="20"/>
                <w:lang w:eastAsia="en-US"/>
              </w:rPr>
              <w:t>-</w:t>
            </w:r>
          </w:p>
        </w:tc>
        <w:tc>
          <w:tcPr>
            <w:tcW w:w="1168" w:type="dxa"/>
            <w:shd w:val="clear" w:color="auto" w:fill="auto"/>
            <w:noWrap/>
            <w:vAlign w:val="center"/>
            <w:hideMark/>
          </w:tcPr>
          <w:p w14:paraId="6D47356E" w14:textId="263CCB48" w:rsidR="00085F17" w:rsidRPr="00085F17" w:rsidRDefault="00085F17" w:rsidP="008803C7">
            <w:pPr>
              <w:spacing w:line="480" w:lineRule="auto"/>
              <w:jc w:val="center"/>
              <w:rPr>
                <w:b/>
                <w:sz w:val="20"/>
                <w:szCs w:val="20"/>
                <w:lang w:eastAsia="en-US"/>
              </w:rPr>
            </w:pPr>
            <w:r w:rsidRPr="00085F17">
              <w:rPr>
                <w:b/>
                <w:sz w:val="20"/>
                <w:szCs w:val="20"/>
                <w:lang w:eastAsia="en-US"/>
              </w:rPr>
              <w:t>-</w:t>
            </w:r>
          </w:p>
        </w:tc>
        <w:tc>
          <w:tcPr>
            <w:tcW w:w="1168" w:type="dxa"/>
            <w:shd w:val="clear" w:color="auto" w:fill="auto"/>
            <w:noWrap/>
            <w:vAlign w:val="center"/>
            <w:hideMark/>
          </w:tcPr>
          <w:p w14:paraId="5FD9C029" w14:textId="054F621A" w:rsidR="00085F17" w:rsidRPr="00085F17" w:rsidRDefault="00085F17" w:rsidP="008803C7">
            <w:pPr>
              <w:spacing w:line="480" w:lineRule="auto"/>
              <w:jc w:val="center"/>
              <w:rPr>
                <w:b/>
                <w:sz w:val="20"/>
                <w:szCs w:val="20"/>
                <w:lang w:eastAsia="en-US"/>
              </w:rPr>
            </w:pPr>
            <w:r w:rsidRPr="00085F17">
              <w:rPr>
                <w:b/>
                <w:sz w:val="20"/>
                <w:szCs w:val="20"/>
                <w:lang w:eastAsia="en-US"/>
              </w:rPr>
              <w:t>-</w:t>
            </w:r>
          </w:p>
        </w:tc>
        <w:tc>
          <w:tcPr>
            <w:tcW w:w="1168" w:type="dxa"/>
            <w:shd w:val="clear" w:color="auto" w:fill="auto"/>
            <w:noWrap/>
            <w:vAlign w:val="center"/>
            <w:hideMark/>
          </w:tcPr>
          <w:p w14:paraId="3FADC0D5" w14:textId="517323DC" w:rsidR="00085F17" w:rsidRPr="00085F17" w:rsidRDefault="00085F17" w:rsidP="008803C7">
            <w:pPr>
              <w:spacing w:line="480" w:lineRule="auto"/>
              <w:jc w:val="center"/>
              <w:rPr>
                <w:b/>
                <w:sz w:val="20"/>
                <w:szCs w:val="20"/>
                <w:lang w:eastAsia="en-US"/>
              </w:rPr>
            </w:pPr>
            <w:r w:rsidRPr="00085F17">
              <w:rPr>
                <w:b/>
                <w:sz w:val="20"/>
                <w:szCs w:val="20"/>
                <w:lang w:eastAsia="en-US"/>
              </w:rPr>
              <w:t>-</w:t>
            </w:r>
          </w:p>
        </w:tc>
        <w:tc>
          <w:tcPr>
            <w:tcW w:w="1168" w:type="dxa"/>
            <w:shd w:val="clear" w:color="auto" w:fill="auto"/>
            <w:noWrap/>
            <w:vAlign w:val="center"/>
            <w:hideMark/>
          </w:tcPr>
          <w:p w14:paraId="07CB805A" w14:textId="49339367" w:rsidR="00085F17" w:rsidRPr="00085F17" w:rsidRDefault="00085F17" w:rsidP="008803C7">
            <w:pPr>
              <w:spacing w:line="480" w:lineRule="auto"/>
              <w:jc w:val="center"/>
              <w:rPr>
                <w:b/>
                <w:sz w:val="20"/>
                <w:szCs w:val="20"/>
                <w:lang w:eastAsia="en-US"/>
              </w:rPr>
            </w:pPr>
            <w:r w:rsidRPr="00085F17">
              <w:rPr>
                <w:b/>
                <w:sz w:val="20"/>
                <w:szCs w:val="20"/>
                <w:lang w:eastAsia="en-US"/>
              </w:rPr>
              <w:t>-</w:t>
            </w:r>
          </w:p>
        </w:tc>
      </w:tr>
      <w:tr w:rsidR="00085F17" w:rsidRPr="00085F17" w14:paraId="6BC77D7B" w14:textId="77777777" w:rsidTr="007116B0">
        <w:trPr>
          <w:trHeight w:val="404"/>
          <w:jc w:val="center"/>
        </w:trPr>
        <w:tc>
          <w:tcPr>
            <w:tcW w:w="630" w:type="dxa"/>
            <w:vMerge w:val="restart"/>
            <w:shd w:val="clear" w:color="auto" w:fill="auto"/>
            <w:textDirection w:val="btLr"/>
            <w:vAlign w:val="center"/>
            <w:hideMark/>
          </w:tcPr>
          <w:p w14:paraId="6BD614A1" w14:textId="3F2647D1" w:rsidR="00085F17" w:rsidRPr="002E6619" w:rsidRDefault="00085F17" w:rsidP="008803C7">
            <w:pPr>
              <w:spacing w:line="480" w:lineRule="auto"/>
              <w:jc w:val="center"/>
              <w:rPr>
                <w:b/>
                <w:color w:val="000000"/>
                <w:szCs w:val="20"/>
                <w:lang w:eastAsia="en-US"/>
              </w:rPr>
            </w:pPr>
            <w:r w:rsidRPr="00085F17">
              <w:rPr>
                <w:b/>
                <w:color w:val="000000"/>
                <w:szCs w:val="20"/>
                <w:lang w:eastAsia="en-US"/>
              </w:rPr>
              <w:t>EGFR</w:t>
            </w:r>
          </w:p>
          <w:p w14:paraId="32E19AF3" w14:textId="3BEBC9B2" w:rsidR="00085F17" w:rsidRPr="00085F17" w:rsidRDefault="00085F17" w:rsidP="008803C7">
            <w:pPr>
              <w:spacing w:line="480" w:lineRule="auto"/>
              <w:jc w:val="center"/>
              <w:rPr>
                <w:b/>
                <w:color w:val="000000"/>
                <w:szCs w:val="20"/>
                <w:lang w:eastAsia="en-US"/>
              </w:rPr>
            </w:pPr>
            <w:r w:rsidRPr="002E6619">
              <w:rPr>
                <w:b/>
                <w:color w:val="000000"/>
                <w:szCs w:val="20"/>
                <w:lang w:eastAsia="en-US"/>
              </w:rPr>
              <w:t>/</w:t>
            </w:r>
            <w:r w:rsidRPr="00085F17">
              <w:rPr>
                <w:b/>
                <w:color w:val="000000"/>
                <w:szCs w:val="20"/>
                <w:lang w:eastAsia="en-US"/>
              </w:rPr>
              <w:t>Cell</w:t>
            </w:r>
          </w:p>
        </w:tc>
        <w:tc>
          <w:tcPr>
            <w:tcW w:w="2121" w:type="dxa"/>
            <w:shd w:val="clear" w:color="auto" w:fill="E2EFD9" w:themeFill="accent6" w:themeFillTint="33"/>
            <w:noWrap/>
            <w:vAlign w:val="center"/>
            <w:hideMark/>
          </w:tcPr>
          <w:p w14:paraId="14023884" w14:textId="77777777" w:rsidR="00085F17" w:rsidRPr="00085F17" w:rsidRDefault="00085F17" w:rsidP="008803C7">
            <w:pPr>
              <w:spacing w:line="480" w:lineRule="auto"/>
              <w:rPr>
                <w:b/>
                <w:color w:val="000000"/>
                <w:sz w:val="22"/>
                <w:szCs w:val="20"/>
                <w:lang w:eastAsia="en-US"/>
              </w:rPr>
            </w:pPr>
            <w:r w:rsidRPr="00085F17">
              <w:rPr>
                <w:b/>
                <w:color w:val="000000"/>
                <w:sz w:val="22"/>
                <w:szCs w:val="20"/>
                <w:lang w:eastAsia="en-US"/>
              </w:rPr>
              <w:t>Average</w:t>
            </w:r>
          </w:p>
        </w:tc>
        <w:tc>
          <w:tcPr>
            <w:tcW w:w="1240" w:type="dxa"/>
            <w:shd w:val="clear" w:color="auto" w:fill="E2EFD9" w:themeFill="accent6" w:themeFillTint="33"/>
            <w:noWrap/>
            <w:vAlign w:val="center"/>
            <w:hideMark/>
          </w:tcPr>
          <w:p w14:paraId="343EEA6F" w14:textId="42A8554F" w:rsidR="00085F17" w:rsidRPr="00085F17" w:rsidRDefault="00085F17" w:rsidP="008803C7">
            <w:pPr>
              <w:spacing w:line="480" w:lineRule="auto"/>
              <w:jc w:val="center"/>
              <w:rPr>
                <w:b/>
                <w:color w:val="000000"/>
                <w:sz w:val="22"/>
                <w:szCs w:val="20"/>
                <w:vertAlign w:val="superscript"/>
                <w:lang w:eastAsia="en-US"/>
              </w:rPr>
            </w:pPr>
            <w:r w:rsidRPr="00085F17">
              <w:rPr>
                <w:b/>
                <w:color w:val="000000"/>
                <w:sz w:val="22"/>
                <w:szCs w:val="20"/>
                <w:lang w:eastAsia="en-US"/>
              </w:rPr>
              <w:t>12</w:t>
            </w:r>
            <w:r w:rsidR="002E6619" w:rsidRPr="002E6619">
              <w:rPr>
                <w:b/>
                <w:color w:val="000000"/>
                <w:sz w:val="22"/>
                <w:szCs w:val="20"/>
                <w:lang w:eastAsia="en-US"/>
              </w:rPr>
              <w:t>0</w:t>
            </w:r>
            <w:r w:rsidR="002E6619" w:rsidRPr="002E6619">
              <w:rPr>
                <w:b/>
                <w:color w:val="000000"/>
                <w:sz w:val="22"/>
                <w:szCs w:val="20"/>
                <w:lang w:eastAsia="en-US"/>
              </w:rPr>
              <w:sym w:font="Symbol" w:char="F0B4"/>
            </w:r>
            <w:r w:rsidR="002E6619" w:rsidRPr="002E6619">
              <w:rPr>
                <w:b/>
                <w:color w:val="000000"/>
                <w:sz w:val="22"/>
                <w:szCs w:val="20"/>
                <w:lang w:eastAsia="en-US"/>
              </w:rPr>
              <w:t>10</w:t>
            </w:r>
            <w:r w:rsidR="002E6619" w:rsidRPr="002E6619">
              <w:rPr>
                <w:b/>
                <w:color w:val="000000"/>
                <w:sz w:val="22"/>
                <w:szCs w:val="20"/>
                <w:vertAlign w:val="superscript"/>
                <w:lang w:eastAsia="en-US"/>
              </w:rPr>
              <w:t>4</w:t>
            </w:r>
          </w:p>
        </w:tc>
        <w:tc>
          <w:tcPr>
            <w:tcW w:w="1168" w:type="dxa"/>
            <w:shd w:val="clear" w:color="auto" w:fill="E2EFD9" w:themeFill="accent6" w:themeFillTint="33"/>
            <w:noWrap/>
            <w:vAlign w:val="center"/>
            <w:hideMark/>
          </w:tcPr>
          <w:p w14:paraId="6CB46CED" w14:textId="570E509E"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55</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E2EFD9" w:themeFill="accent6" w:themeFillTint="33"/>
            <w:noWrap/>
            <w:vAlign w:val="center"/>
            <w:hideMark/>
          </w:tcPr>
          <w:p w14:paraId="60C3C0AC" w14:textId="4B0F7B84"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36</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E2EFD9" w:themeFill="accent6" w:themeFillTint="33"/>
            <w:noWrap/>
            <w:vAlign w:val="center"/>
            <w:hideMark/>
          </w:tcPr>
          <w:p w14:paraId="50C37AFF" w14:textId="2E666865"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16</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E2EFD9" w:themeFill="accent6" w:themeFillTint="33"/>
            <w:noWrap/>
            <w:vAlign w:val="center"/>
            <w:hideMark/>
          </w:tcPr>
          <w:p w14:paraId="765273C8" w14:textId="0A03903B"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7.4</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E2EFD9" w:themeFill="accent6" w:themeFillTint="33"/>
            <w:noWrap/>
            <w:vAlign w:val="center"/>
            <w:hideMark/>
          </w:tcPr>
          <w:p w14:paraId="5430B61E" w14:textId="584DF784"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3.0</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r>
      <w:tr w:rsidR="00085F17" w:rsidRPr="00085F17" w14:paraId="152869C0" w14:textId="77777777" w:rsidTr="007116B0">
        <w:trPr>
          <w:trHeight w:val="449"/>
          <w:jc w:val="center"/>
        </w:trPr>
        <w:tc>
          <w:tcPr>
            <w:tcW w:w="630" w:type="dxa"/>
            <w:vMerge/>
            <w:vAlign w:val="center"/>
            <w:hideMark/>
          </w:tcPr>
          <w:p w14:paraId="5F25B6B1" w14:textId="77777777" w:rsidR="00085F17" w:rsidRPr="00085F17" w:rsidRDefault="00085F17" w:rsidP="008803C7">
            <w:pPr>
              <w:spacing w:line="480" w:lineRule="auto"/>
              <w:jc w:val="center"/>
              <w:rPr>
                <w:color w:val="000000"/>
                <w:sz w:val="20"/>
                <w:szCs w:val="20"/>
                <w:lang w:eastAsia="en-US"/>
              </w:rPr>
            </w:pPr>
          </w:p>
        </w:tc>
        <w:tc>
          <w:tcPr>
            <w:tcW w:w="2121" w:type="dxa"/>
            <w:shd w:val="clear" w:color="auto" w:fill="auto"/>
            <w:noWrap/>
            <w:vAlign w:val="center"/>
            <w:hideMark/>
          </w:tcPr>
          <w:p w14:paraId="44DE8A6E" w14:textId="1C452521" w:rsidR="00085F17" w:rsidRPr="00085F17" w:rsidRDefault="00085F17" w:rsidP="008803C7">
            <w:pPr>
              <w:spacing w:line="480" w:lineRule="auto"/>
              <w:rPr>
                <w:b/>
                <w:color w:val="000000"/>
                <w:sz w:val="22"/>
                <w:szCs w:val="20"/>
                <w:lang w:eastAsia="en-US"/>
              </w:rPr>
            </w:pPr>
            <w:r w:rsidRPr="00085F17">
              <w:rPr>
                <w:b/>
                <w:color w:val="000000"/>
                <w:sz w:val="22"/>
                <w:szCs w:val="20"/>
                <w:lang w:eastAsia="en-US"/>
              </w:rPr>
              <w:t>St</w:t>
            </w:r>
            <w:r w:rsidR="002E6619" w:rsidRPr="002E6619">
              <w:rPr>
                <w:b/>
                <w:color w:val="000000"/>
                <w:sz w:val="22"/>
                <w:szCs w:val="20"/>
                <w:lang w:eastAsia="en-US"/>
              </w:rPr>
              <w:t xml:space="preserve">d. </w:t>
            </w:r>
            <w:r w:rsidRPr="00085F17">
              <w:rPr>
                <w:b/>
                <w:color w:val="000000"/>
                <w:sz w:val="22"/>
                <w:szCs w:val="20"/>
                <w:lang w:eastAsia="en-US"/>
              </w:rPr>
              <w:t>Dev</w:t>
            </w:r>
            <w:r w:rsidR="002E6619" w:rsidRPr="002E6619">
              <w:rPr>
                <w:b/>
                <w:color w:val="000000"/>
                <w:sz w:val="22"/>
                <w:szCs w:val="20"/>
                <w:lang w:eastAsia="en-US"/>
              </w:rPr>
              <w:t>.</w:t>
            </w:r>
          </w:p>
        </w:tc>
        <w:tc>
          <w:tcPr>
            <w:tcW w:w="1240" w:type="dxa"/>
            <w:shd w:val="clear" w:color="auto" w:fill="auto"/>
            <w:noWrap/>
            <w:vAlign w:val="center"/>
            <w:hideMark/>
          </w:tcPr>
          <w:p w14:paraId="2871678B" w14:textId="30D00055" w:rsidR="00085F17" w:rsidRPr="00085F17" w:rsidRDefault="006C69CA" w:rsidP="008803C7">
            <w:pPr>
              <w:spacing w:line="480" w:lineRule="auto"/>
              <w:jc w:val="center"/>
              <w:rPr>
                <w:b/>
                <w:color w:val="000000"/>
                <w:sz w:val="22"/>
                <w:szCs w:val="20"/>
                <w:lang w:eastAsia="en-US"/>
              </w:rPr>
            </w:pPr>
            <w:r>
              <w:rPr>
                <w:b/>
                <w:color w:val="000000"/>
                <w:sz w:val="22"/>
                <w:szCs w:val="20"/>
                <w:lang w:eastAsia="en-US"/>
              </w:rPr>
              <w:t>30</w:t>
            </w:r>
            <w:r w:rsidR="002E6619" w:rsidRPr="002E6619">
              <w:rPr>
                <w:b/>
                <w:color w:val="000000"/>
                <w:sz w:val="22"/>
                <w:szCs w:val="20"/>
                <w:lang w:eastAsia="en-US"/>
              </w:rPr>
              <w:sym w:font="Symbol" w:char="F0B4"/>
            </w:r>
            <w:r w:rsidR="002E6619" w:rsidRPr="002E6619">
              <w:rPr>
                <w:b/>
                <w:color w:val="000000"/>
                <w:sz w:val="22"/>
                <w:szCs w:val="20"/>
                <w:lang w:eastAsia="en-US"/>
              </w:rPr>
              <w:t>10</w:t>
            </w:r>
            <w:r w:rsidR="002E6619" w:rsidRPr="002E6619">
              <w:rPr>
                <w:b/>
                <w:color w:val="000000"/>
                <w:sz w:val="22"/>
                <w:szCs w:val="20"/>
                <w:vertAlign w:val="superscript"/>
                <w:lang w:eastAsia="en-US"/>
              </w:rPr>
              <w:t>4</w:t>
            </w:r>
          </w:p>
        </w:tc>
        <w:tc>
          <w:tcPr>
            <w:tcW w:w="1168" w:type="dxa"/>
            <w:shd w:val="clear" w:color="auto" w:fill="auto"/>
            <w:noWrap/>
            <w:vAlign w:val="center"/>
            <w:hideMark/>
          </w:tcPr>
          <w:p w14:paraId="219E0136" w14:textId="6DFB9137"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1</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auto"/>
            <w:noWrap/>
            <w:vAlign w:val="center"/>
            <w:hideMark/>
          </w:tcPr>
          <w:p w14:paraId="45A1338F" w14:textId="08AFEA2E"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4</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auto"/>
            <w:noWrap/>
            <w:vAlign w:val="center"/>
            <w:hideMark/>
          </w:tcPr>
          <w:p w14:paraId="5443BE9A" w14:textId="30FE97CA"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6</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auto"/>
            <w:noWrap/>
            <w:vAlign w:val="center"/>
            <w:hideMark/>
          </w:tcPr>
          <w:p w14:paraId="45F408FD" w14:textId="77A2C4FF"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0.4</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c>
          <w:tcPr>
            <w:tcW w:w="1168" w:type="dxa"/>
            <w:shd w:val="clear" w:color="auto" w:fill="auto"/>
            <w:noWrap/>
            <w:vAlign w:val="center"/>
            <w:hideMark/>
          </w:tcPr>
          <w:p w14:paraId="3E09B318" w14:textId="0CEA9195" w:rsidR="00085F17" w:rsidRPr="00085F17" w:rsidRDefault="002E6619" w:rsidP="008803C7">
            <w:pPr>
              <w:spacing w:line="480" w:lineRule="auto"/>
              <w:jc w:val="center"/>
              <w:rPr>
                <w:b/>
                <w:color w:val="000000"/>
                <w:sz w:val="22"/>
                <w:szCs w:val="20"/>
                <w:lang w:eastAsia="en-US"/>
              </w:rPr>
            </w:pPr>
            <w:r w:rsidRPr="002E6619">
              <w:rPr>
                <w:b/>
                <w:color w:val="000000"/>
                <w:sz w:val="22"/>
                <w:szCs w:val="20"/>
                <w:lang w:eastAsia="en-US"/>
              </w:rPr>
              <w:t>0.2</w:t>
            </w:r>
            <w:r w:rsidRPr="002E6619">
              <w:rPr>
                <w:b/>
                <w:color w:val="000000"/>
                <w:sz w:val="22"/>
                <w:szCs w:val="20"/>
                <w:lang w:eastAsia="en-US"/>
              </w:rPr>
              <w:sym w:font="Symbol" w:char="F0B4"/>
            </w:r>
            <w:r w:rsidRPr="002E6619">
              <w:rPr>
                <w:b/>
                <w:color w:val="000000"/>
                <w:sz w:val="22"/>
                <w:szCs w:val="20"/>
                <w:lang w:eastAsia="en-US"/>
              </w:rPr>
              <w:t>10</w:t>
            </w:r>
            <w:r w:rsidRPr="002E6619">
              <w:rPr>
                <w:b/>
                <w:color w:val="000000"/>
                <w:sz w:val="22"/>
                <w:szCs w:val="20"/>
                <w:vertAlign w:val="superscript"/>
                <w:lang w:eastAsia="en-US"/>
              </w:rPr>
              <w:t>4</w:t>
            </w:r>
          </w:p>
        </w:tc>
      </w:tr>
    </w:tbl>
    <w:p w14:paraId="3F2C503B" w14:textId="220EB5BC" w:rsidR="00234909" w:rsidRDefault="00234909" w:rsidP="008803C7">
      <w:pPr>
        <w:spacing w:line="480" w:lineRule="auto"/>
        <w:jc w:val="both"/>
      </w:pPr>
    </w:p>
    <w:p w14:paraId="295EC005" w14:textId="0CD2779B" w:rsidR="00234909" w:rsidRPr="00C910BD" w:rsidRDefault="00234909" w:rsidP="008803C7">
      <w:pPr>
        <w:spacing w:line="480" w:lineRule="auto"/>
        <w:jc w:val="center"/>
      </w:pPr>
      <w:r>
        <w:rPr>
          <w:noProof/>
        </w:rPr>
        <w:drawing>
          <wp:inline distT="0" distB="0" distL="0" distR="0" wp14:anchorId="0143299D" wp14:editId="6EE2458C">
            <wp:extent cx="4210685" cy="2871421"/>
            <wp:effectExtent l="0" t="0" r="18415" b="12065"/>
            <wp:docPr id="2" name="Chart 2">
              <a:extLst xmlns:a="http://schemas.openxmlformats.org/drawingml/2006/main">
                <a:ext uri="{FF2B5EF4-FFF2-40B4-BE49-F238E27FC236}">
                  <a16:creationId xmlns:a16="http://schemas.microsoft.com/office/drawing/2014/main" id="{26CE779D-5E77-6340-ADBD-88E0C44103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3AE108" w14:textId="5485E571" w:rsidR="00C910BD" w:rsidRPr="001C76BF" w:rsidRDefault="001C76BF" w:rsidP="008803C7">
      <w:pPr>
        <w:spacing w:line="480" w:lineRule="auto"/>
        <w:jc w:val="both"/>
      </w:pPr>
      <w:r>
        <w:rPr>
          <w:b/>
        </w:rPr>
        <w:t>Figure S</w:t>
      </w:r>
      <w:r w:rsidR="00CD1BEA">
        <w:rPr>
          <w:b/>
        </w:rPr>
        <w:t>5</w:t>
      </w:r>
      <w:r>
        <w:rPr>
          <w:b/>
        </w:rPr>
        <w:t xml:space="preserve">. </w:t>
      </w:r>
      <w:r>
        <w:t>EGFR molecules per cell line for squamous cell carcinomas</w:t>
      </w:r>
      <w:r w:rsidR="00234909">
        <w:t xml:space="preserve"> determined by quantitative flow cytometry. Cell lines used for this study are indicated in </w:t>
      </w:r>
      <w:r w:rsidR="00B7521C">
        <w:t>green</w:t>
      </w:r>
      <w:r w:rsidR="00234909">
        <w:t>.</w:t>
      </w:r>
    </w:p>
    <w:p w14:paraId="6CFC9119" w14:textId="30575402" w:rsidR="001C76BF" w:rsidRDefault="001C76BF" w:rsidP="008803C7">
      <w:pPr>
        <w:spacing w:line="480" w:lineRule="auto"/>
        <w:jc w:val="both"/>
      </w:pPr>
    </w:p>
    <w:p w14:paraId="213EA82C" w14:textId="77777777" w:rsidR="001C76BF" w:rsidRDefault="001C76BF" w:rsidP="008803C7">
      <w:pPr>
        <w:spacing w:line="480" w:lineRule="auto"/>
        <w:jc w:val="both"/>
      </w:pPr>
    </w:p>
    <w:p w14:paraId="1A7D31C3" w14:textId="77777777" w:rsidR="00234909" w:rsidRDefault="00234909" w:rsidP="008803C7">
      <w:pPr>
        <w:spacing w:line="480" w:lineRule="auto"/>
        <w:jc w:val="both"/>
        <w:rPr>
          <w:b/>
        </w:rPr>
      </w:pPr>
    </w:p>
    <w:p w14:paraId="30390205" w14:textId="5DDCD7AB" w:rsidR="003066FF" w:rsidRDefault="003066FF" w:rsidP="008803C7">
      <w:pPr>
        <w:spacing w:line="480" w:lineRule="auto"/>
        <w:jc w:val="both"/>
        <w:rPr>
          <w:b/>
        </w:rPr>
      </w:pPr>
      <w:r w:rsidRPr="00234909">
        <w:rPr>
          <w:b/>
        </w:rPr>
        <w:t>Supplementary References</w:t>
      </w:r>
    </w:p>
    <w:p w14:paraId="7C4A9E66" w14:textId="77777777" w:rsidR="003236C8" w:rsidRPr="00234909" w:rsidRDefault="003236C8" w:rsidP="008803C7">
      <w:pPr>
        <w:spacing w:line="480" w:lineRule="auto"/>
        <w:jc w:val="both"/>
        <w:rPr>
          <w:b/>
        </w:rPr>
      </w:pPr>
    </w:p>
    <w:p w14:paraId="2FF6DA2C" w14:textId="77777777" w:rsidR="003C4B82" w:rsidRPr="003C4B82" w:rsidRDefault="00F02F57" w:rsidP="003C4B82">
      <w:pPr>
        <w:pStyle w:val="Bibliography"/>
      </w:pPr>
      <w:r>
        <w:fldChar w:fldCharType="begin"/>
      </w:r>
      <w:r w:rsidR="003C4B82">
        <w:instrText xml:space="preserve"> ADDIN ZOTERO_BIBL {"uncited":[],"omitted":[],"custom":[]} CSL_BIBLIOGRAPHY </w:instrText>
      </w:r>
      <w:r>
        <w:fldChar w:fldCharType="separate"/>
      </w:r>
      <w:r w:rsidR="003C4B82" w:rsidRPr="003C4B82">
        <w:t xml:space="preserve">1. </w:t>
      </w:r>
      <w:r w:rsidR="003C4B82" w:rsidRPr="003C4B82">
        <w:tab/>
        <w:t xml:space="preserve">Reagan-Shaw S, Nihal M, Ahmad N. Dose translation from animal to human studies revisited. FASEB J. 2008 Mar;22(3):659–61. </w:t>
      </w:r>
    </w:p>
    <w:p w14:paraId="2C1C8435" w14:textId="77777777" w:rsidR="003C4B82" w:rsidRPr="003C4B82" w:rsidRDefault="003C4B82" w:rsidP="003C4B82">
      <w:pPr>
        <w:pStyle w:val="Bibliography"/>
      </w:pPr>
      <w:r w:rsidRPr="003C4B82">
        <w:t xml:space="preserve">2. </w:t>
      </w:r>
      <w:r w:rsidRPr="003C4B82">
        <w:tab/>
        <w:t>Tichauer KM, Wang C, Xu X, Samkoe KS. Task-based evaluation of fluorescent-guided cancer surgery as a means of identifying optimal imaging agent properties in the context of variability in tumor- and healthy-tissue physiology. In: Molecular-Guided Surgery: Molecules, Devices, and Applications VI [Internet]. International Society for Optics and Photonics; 2020 [cited 2020 Apr 21]. p. 112220O. Available from: https://www.spiedigitallibrary.org/conference-proceedings-of-spie/11222/112220O/Task-based-evaluation-of-fluorescent-guided-cancer-surgery-as-a/10.1117/12.2546700.short</w:t>
      </w:r>
    </w:p>
    <w:p w14:paraId="5D089DE6" w14:textId="77777777" w:rsidR="003C4B82" w:rsidRPr="003C4B82" w:rsidRDefault="003C4B82" w:rsidP="003C4B82">
      <w:pPr>
        <w:pStyle w:val="Bibliography"/>
      </w:pPr>
      <w:r w:rsidRPr="003C4B82">
        <w:t xml:space="preserve">3. </w:t>
      </w:r>
      <w:r w:rsidRPr="003C4B82">
        <w:tab/>
        <w:t xml:space="preserve">Muthukumaran D, Sivakumar M. Medical Image Registration: A Matlab Based Approach. 2017; </w:t>
      </w:r>
    </w:p>
    <w:p w14:paraId="2E9E66AF" w14:textId="77777777" w:rsidR="003C4B82" w:rsidRPr="003C4B82" w:rsidRDefault="003C4B82" w:rsidP="003C4B82">
      <w:pPr>
        <w:pStyle w:val="Bibliography"/>
      </w:pPr>
      <w:r w:rsidRPr="003C4B82">
        <w:t xml:space="preserve">4. </w:t>
      </w:r>
      <w:r w:rsidRPr="003C4B82">
        <w:tab/>
        <w:t xml:space="preserve">Tichauer KM, Samkoe KS, Sexton KJ, Hextrum SK, Yang HH, Klubben WS, et al. In vivo quantification of tumor receptor binding potential with dual-reporter molecular imaging. Molecular Imaging and Biology. 2012;14(5):584–592. </w:t>
      </w:r>
    </w:p>
    <w:p w14:paraId="5BD72053" w14:textId="4780AD2A" w:rsidR="00F02F57" w:rsidRDefault="00F02F57" w:rsidP="008803C7">
      <w:pPr>
        <w:spacing w:line="480" w:lineRule="auto"/>
        <w:jc w:val="both"/>
      </w:pPr>
      <w:r>
        <w:fldChar w:fldCharType="end"/>
      </w:r>
      <w:bookmarkStart w:id="0" w:name="_GoBack"/>
      <w:bookmarkEnd w:id="0"/>
    </w:p>
    <w:sectPr w:rsidR="00F02F57" w:rsidSect="006B66F8">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5BEAC8" w16cex:dateUtc="2020-05-05T17:38:00Z"/>
  <w16cex:commentExtensible w16cex:durableId="225BEAE6" w16cex:dateUtc="2020-05-05T17:38: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01E04"/>
    <w:multiLevelType w:val="hybridMultilevel"/>
    <w:tmpl w:val="D232502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915A05"/>
    <w:multiLevelType w:val="hybridMultilevel"/>
    <w:tmpl w:val="0F0ED626"/>
    <w:lvl w:ilvl="0" w:tplc="1B2473E2">
      <w:start w:val="1"/>
      <w:numFmt w:val="decimal"/>
      <w:lvlText w:val="%1."/>
      <w:lvlJc w:val="left"/>
      <w:pPr>
        <w:ind w:left="720" w:hanging="360"/>
      </w:pPr>
      <w:rPr>
        <w:rFonts w:ascii="Arial" w:hAnsi="Arial" w:cs="Arial"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proofState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ancer A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5ee92z520zp8efx58pr0scr0w0axwvw5fs&quot;&gt;TestingLibrary&lt;record-ids&gt;&lt;item&gt;135&lt;/item&gt;&lt;/record-ids&gt;&lt;/item&gt;&lt;/Libraries&gt;"/>
  </w:docVars>
  <w:rsids>
    <w:rsidRoot w:val="00C20E95"/>
    <w:rsid w:val="000275DB"/>
    <w:rsid w:val="00031AC4"/>
    <w:rsid w:val="000518E4"/>
    <w:rsid w:val="00085F17"/>
    <w:rsid w:val="00103560"/>
    <w:rsid w:val="00132A5C"/>
    <w:rsid w:val="00191EB4"/>
    <w:rsid w:val="0019446E"/>
    <w:rsid w:val="001B4DD7"/>
    <w:rsid w:val="001C76BF"/>
    <w:rsid w:val="001E6B40"/>
    <w:rsid w:val="00200124"/>
    <w:rsid w:val="00234909"/>
    <w:rsid w:val="00235F84"/>
    <w:rsid w:val="002455AD"/>
    <w:rsid w:val="00267F4A"/>
    <w:rsid w:val="002E6619"/>
    <w:rsid w:val="00305211"/>
    <w:rsid w:val="003066FF"/>
    <w:rsid w:val="00322EAF"/>
    <w:rsid w:val="003236C8"/>
    <w:rsid w:val="00366BC0"/>
    <w:rsid w:val="003825F9"/>
    <w:rsid w:val="00384BCB"/>
    <w:rsid w:val="003C4B82"/>
    <w:rsid w:val="003C690B"/>
    <w:rsid w:val="003E4784"/>
    <w:rsid w:val="00416C6A"/>
    <w:rsid w:val="00474BD4"/>
    <w:rsid w:val="004A2630"/>
    <w:rsid w:val="004C7D0E"/>
    <w:rsid w:val="004D29C3"/>
    <w:rsid w:val="004F3D07"/>
    <w:rsid w:val="005023A8"/>
    <w:rsid w:val="00580E88"/>
    <w:rsid w:val="005C3A7B"/>
    <w:rsid w:val="006039B2"/>
    <w:rsid w:val="006A6E83"/>
    <w:rsid w:val="006B66F8"/>
    <w:rsid w:val="006B6C29"/>
    <w:rsid w:val="006C69CA"/>
    <w:rsid w:val="006F28C2"/>
    <w:rsid w:val="006F6595"/>
    <w:rsid w:val="007116B0"/>
    <w:rsid w:val="00720643"/>
    <w:rsid w:val="00736B72"/>
    <w:rsid w:val="00797DC8"/>
    <w:rsid w:val="007C5D5E"/>
    <w:rsid w:val="008650E2"/>
    <w:rsid w:val="008803C7"/>
    <w:rsid w:val="00891621"/>
    <w:rsid w:val="009364A4"/>
    <w:rsid w:val="00964CA8"/>
    <w:rsid w:val="0098667E"/>
    <w:rsid w:val="00991187"/>
    <w:rsid w:val="00996366"/>
    <w:rsid w:val="00996C25"/>
    <w:rsid w:val="009B0508"/>
    <w:rsid w:val="009B4A9E"/>
    <w:rsid w:val="009F0AD2"/>
    <w:rsid w:val="009F31D1"/>
    <w:rsid w:val="00A10467"/>
    <w:rsid w:val="00A619DA"/>
    <w:rsid w:val="00A626AB"/>
    <w:rsid w:val="00A82696"/>
    <w:rsid w:val="00AA53E6"/>
    <w:rsid w:val="00AD6A00"/>
    <w:rsid w:val="00AE3268"/>
    <w:rsid w:val="00AF4AEF"/>
    <w:rsid w:val="00B5301E"/>
    <w:rsid w:val="00B7521C"/>
    <w:rsid w:val="00B95FA4"/>
    <w:rsid w:val="00C1518B"/>
    <w:rsid w:val="00C20E95"/>
    <w:rsid w:val="00C326A9"/>
    <w:rsid w:val="00C76BA2"/>
    <w:rsid w:val="00C8557F"/>
    <w:rsid w:val="00C910BD"/>
    <w:rsid w:val="00CD1BEA"/>
    <w:rsid w:val="00CD5ABB"/>
    <w:rsid w:val="00CF53E9"/>
    <w:rsid w:val="00D944EF"/>
    <w:rsid w:val="00DB107A"/>
    <w:rsid w:val="00DD55C8"/>
    <w:rsid w:val="00DE49DB"/>
    <w:rsid w:val="00DF7BC6"/>
    <w:rsid w:val="00E320A7"/>
    <w:rsid w:val="00EB713C"/>
    <w:rsid w:val="00EF769F"/>
    <w:rsid w:val="00F02F57"/>
    <w:rsid w:val="00F77E78"/>
    <w:rsid w:val="00F86FC7"/>
    <w:rsid w:val="00FD6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49395"/>
  <w15:chartTrackingRefBased/>
  <w15:docId w15:val="{11DA9C39-835D-5341-95A7-1D278C2D1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0E9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0E95"/>
    <w:rPr>
      <w:color w:val="0563C1" w:themeColor="hyperlink"/>
      <w:u w:val="single"/>
    </w:rPr>
  </w:style>
  <w:style w:type="paragraph" w:styleId="ListParagraph">
    <w:name w:val="List Paragraph"/>
    <w:basedOn w:val="Normal"/>
    <w:uiPriority w:val="34"/>
    <w:qFormat/>
    <w:rsid w:val="003066FF"/>
    <w:pPr>
      <w:ind w:left="720"/>
      <w:contextualSpacing/>
    </w:pPr>
  </w:style>
  <w:style w:type="paragraph" w:styleId="Bibliography">
    <w:name w:val="Bibliography"/>
    <w:basedOn w:val="Normal"/>
    <w:next w:val="Normal"/>
    <w:uiPriority w:val="37"/>
    <w:unhideWhenUsed/>
    <w:rsid w:val="003066FF"/>
    <w:pPr>
      <w:tabs>
        <w:tab w:val="left" w:pos="260"/>
        <w:tab w:val="left" w:pos="380"/>
      </w:tabs>
      <w:spacing w:after="240"/>
      <w:ind w:left="384" w:hanging="384"/>
    </w:pPr>
  </w:style>
  <w:style w:type="paragraph" w:styleId="BalloonText">
    <w:name w:val="Balloon Text"/>
    <w:basedOn w:val="Normal"/>
    <w:link w:val="BalloonTextChar"/>
    <w:uiPriority w:val="99"/>
    <w:semiHidden/>
    <w:unhideWhenUsed/>
    <w:rsid w:val="004C7D0E"/>
    <w:rPr>
      <w:sz w:val="18"/>
      <w:szCs w:val="18"/>
    </w:rPr>
  </w:style>
  <w:style w:type="character" w:customStyle="1" w:styleId="BalloonTextChar">
    <w:name w:val="Balloon Text Char"/>
    <w:basedOn w:val="DefaultParagraphFont"/>
    <w:link w:val="BalloonText"/>
    <w:uiPriority w:val="99"/>
    <w:semiHidden/>
    <w:rsid w:val="004C7D0E"/>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235F84"/>
    <w:rPr>
      <w:sz w:val="16"/>
      <w:szCs w:val="16"/>
    </w:rPr>
  </w:style>
  <w:style w:type="paragraph" w:styleId="CommentText">
    <w:name w:val="annotation text"/>
    <w:basedOn w:val="Normal"/>
    <w:link w:val="CommentTextChar"/>
    <w:uiPriority w:val="99"/>
    <w:semiHidden/>
    <w:unhideWhenUsed/>
    <w:rsid w:val="00235F84"/>
    <w:rPr>
      <w:sz w:val="20"/>
      <w:szCs w:val="20"/>
    </w:rPr>
  </w:style>
  <w:style w:type="character" w:customStyle="1" w:styleId="CommentTextChar">
    <w:name w:val="Comment Text Char"/>
    <w:basedOn w:val="DefaultParagraphFont"/>
    <w:link w:val="CommentText"/>
    <w:uiPriority w:val="99"/>
    <w:semiHidden/>
    <w:rsid w:val="00235F8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35F84"/>
    <w:rPr>
      <w:b/>
      <w:bCs/>
    </w:rPr>
  </w:style>
  <w:style w:type="character" w:customStyle="1" w:styleId="CommentSubjectChar">
    <w:name w:val="Comment Subject Char"/>
    <w:basedOn w:val="CommentTextChar"/>
    <w:link w:val="CommentSubject"/>
    <w:uiPriority w:val="99"/>
    <w:semiHidden/>
    <w:rsid w:val="00235F84"/>
    <w:rPr>
      <w:rFonts w:ascii="Times New Roman" w:eastAsia="Times New Roman" w:hAnsi="Times New Roman" w:cs="Times New Roman"/>
      <w:b/>
      <w:bCs/>
      <w:sz w:val="20"/>
      <w:szCs w:val="20"/>
    </w:rPr>
  </w:style>
  <w:style w:type="character" w:styleId="LineNumber">
    <w:name w:val="line number"/>
    <w:basedOn w:val="DefaultParagraphFont"/>
    <w:uiPriority w:val="99"/>
    <w:semiHidden/>
    <w:unhideWhenUsed/>
    <w:rsid w:val="00797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60347">
      <w:bodyDiv w:val="1"/>
      <w:marLeft w:val="0"/>
      <w:marRight w:val="0"/>
      <w:marTop w:val="0"/>
      <w:marBottom w:val="0"/>
      <w:divBdr>
        <w:top w:val="none" w:sz="0" w:space="0" w:color="auto"/>
        <w:left w:val="none" w:sz="0" w:space="0" w:color="auto"/>
        <w:bottom w:val="none" w:sz="0" w:space="0" w:color="auto"/>
        <w:right w:val="none" w:sz="0" w:space="0" w:color="auto"/>
      </w:divBdr>
    </w:div>
    <w:div w:id="298536428">
      <w:bodyDiv w:val="1"/>
      <w:marLeft w:val="0"/>
      <w:marRight w:val="0"/>
      <w:marTop w:val="0"/>
      <w:marBottom w:val="0"/>
      <w:divBdr>
        <w:top w:val="none" w:sz="0" w:space="0" w:color="auto"/>
        <w:left w:val="none" w:sz="0" w:space="0" w:color="auto"/>
        <w:bottom w:val="none" w:sz="0" w:space="0" w:color="auto"/>
        <w:right w:val="none" w:sz="0" w:space="0" w:color="auto"/>
      </w:divBdr>
    </w:div>
    <w:div w:id="441801728">
      <w:bodyDiv w:val="1"/>
      <w:marLeft w:val="0"/>
      <w:marRight w:val="0"/>
      <w:marTop w:val="0"/>
      <w:marBottom w:val="0"/>
      <w:divBdr>
        <w:top w:val="none" w:sz="0" w:space="0" w:color="auto"/>
        <w:left w:val="none" w:sz="0" w:space="0" w:color="auto"/>
        <w:bottom w:val="none" w:sz="0" w:space="0" w:color="auto"/>
        <w:right w:val="none" w:sz="0" w:space="0" w:color="auto"/>
      </w:divBdr>
    </w:div>
    <w:div w:id="719475642">
      <w:bodyDiv w:val="1"/>
      <w:marLeft w:val="0"/>
      <w:marRight w:val="0"/>
      <w:marTop w:val="0"/>
      <w:marBottom w:val="0"/>
      <w:divBdr>
        <w:top w:val="none" w:sz="0" w:space="0" w:color="auto"/>
        <w:left w:val="none" w:sz="0" w:space="0" w:color="auto"/>
        <w:bottom w:val="none" w:sz="0" w:space="0" w:color="auto"/>
        <w:right w:val="none" w:sz="0" w:space="0" w:color="auto"/>
      </w:divBdr>
    </w:div>
    <w:div w:id="860122163">
      <w:bodyDiv w:val="1"/>
      <w:marLeft w:val="0"/>
      <w:marRight w:val="0"/>
      <w:marTop w:val="0"/>
      <w:marBottom w:val="0"/>
      <w:divBdr>
        <w:top w:val="none" w:sz="0" w:space="0" w:color="auto"/>
        <w:left w:val="none" w:sz="0" w:space="0" w:color="auto"/>
        <w:bottom w:val="none" w:sz="0" w:space="0" w:color="auto"/>
        <w:right w:val="none" w:sz="0" w:space="0" w:color="auto"/>
      </w:divBdr>
    </w:div>
    <w:div w:id="1079906681">
      <w:bodyDiv w:val="1"/>
      <w:marLeft w:val="0"/>
      <w:marRight w:val="0"/>
      <w:marTop w:val="0"/>
      <w:marBottom w:val="0"/>
      <w:divBdr>
        <w:top w:val="none" w:sz="0" w:space="0" w:color="auto"/>
        <w:left w:val="none" w:sz="0" w:space="0" w:color="auto"/>
        <w:bottom w:val="none" w:sz="0" w:space="0" w:color="auto"/>
        <w:right w:val="none" w:sz="0" w:space="0" w:color="auto"/>
      </w:divBdr>
    </w:div>
    <w:div w:id="1237474479">
      <w:bodyDiv w:val="1"/>
      <w:marLeft w:val="0"/>
      <w:marRight w:val="0"/>
      <w:marTop w:val="0"/>
      <w:marBottom w:val="0"/>
      <w:divBdr>
        <w:top w:val="none" w:sz="0" w:space="0" w:color="auto"/>
        <w:left w:val="none" w:sz="0" w:space="0" w:color="auto"/>
        <w:bottom w:val="none" w:sz="0" w:space="0" w:color="auto"/>
        <w:right w:val="none" w:sz="0" w:space="0" w:color="auto"/>
      </w:divBdr>
    </w:div>
    <w:div w:id="1329362670">
      <w:bodyDiv w:val="1"/>
      <w:marLeft w:val="0"/>
      <w:marRight w:val="0"/>
      <w:marTop w:val="0"/>
      <w:marBottom w:val="0"/>
      <w:divBdr>
        <w:top w:val="none" w:sz="0" w:space="0" w:color="auto"/>
        <w:left w:val="none" w:sz="0" w:space="0" w:color="auto"/>
        <w:bottom w:val="none" w:sz="0" w:space="0" w:color="auto"/>
        <w:right w:val="none" w:sz="0" w:space="0" w:color="auto"/>
      </w:divBdr>
    </w:div>
    <w:div w:id="1368799021">
      <w:bodyDiv w:val="1"/>
      <w:marLeft w:val="0"/>
      <w:marRight w:val="0"/>
      <w:marTop w:val="0"/>
      <w:marBottom w:val="0"/>
      <w:divBdr>
        <w:top w:val="none" w:sz="0" w:space="0" w:color="auto"/>
        <w:left w:val="none" w:sz="0" w:space="0" w:color="auto"/>
        <w:bottom w:val="none" w:sz="0" w:space="0" w:color="auto"/>
        <w:right w:val="none" w:sz="0" w:space="0" w:color="auto"/>
      </w:divBdr>
    </w:div>
    <w:div w:id="1384329404">
      <w:bodyDiv w:val="1"/>
      <w:marLeft w:val="0"/>
      <w:marRight w:val="0"/>
      <w:marTop w:val="0"/>
      <w:marBottom w:val="0"/>
      <w:divBdr>
        <w:top w:val="none" w:sz="0" w:space="0" w:color="auto"/>
        <w:left w:val="none" w:sz="0" w:space="0" w:color="auto"/>
        <w:bottom w:val="none" w:sz="0" w:space="0" w:color="auto"/>
        <w:right w:val="none" w:sz="0" w:space="0" w:color="auto"/>
      </w:divBdr>
    </w:div>
    <w:div w:id="1936817001">
      <w:bodyDiv w:val="1"/>
      <w:marLeft w:val="0"/>
      <w:marRight w:val="0"/>
      <w:marTop w:val="0"/>
      <w:marBottom w:val="0"/>
      <w:divBdr>
        <w:top w:val="none" w:sz="0" w:space="0" w:color="auto"/>
        <w:left w:val="none" w:sz="0" w:space="0" w:color="auto"/>
        <w:bottom w:val="none" w:sz="0" w:space="0" w:color="auto"/>
        <w:right w:val="none" w:sz="0" w:space="0" w:color="auto"/>
      </w:divBdr>
    </w:div>
    <w:div w:id="2063366442">
      <w:bodyDiv w:val="1"/>
      <w:marLeft w:val="0"/>
      <w:marRight w:val="0"/>
      <w:marTop w:val="0"/>
      <w:marBottom w:val="0"/>
      <w:divBdr>
        <w:top w:val="none" w:sz="0" w:space="0" w:color="auto"/>
        <w:left w:val="none" w:sz="0" w:space="0" w:color="auto"/>
        <w:bottom w:val="none" w:sz="0" w:space="0" w:color="auto"/>
        <w:right w:val="none" w:sz="0" w:space="0" w:color="auto"/>
      </w:divBdr>
    </w:div>
    <w:div w:id="209597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4.emf"/></Relationships>
</file>

<file path=word/charts/_rels/chart1.xml.rels><?xml version="1.0" encoding="UTF-8" standalone="yes"?>
<Relationships xmlns="http://schemas.openxmlformats.org/package/2006/relationships"><Relationship Id="rId3" Type="http://schemas.openxmlformats.org/officeDocument/2006/relationships/oleObject" Target="file:////Volumes/GoogleDrive/Shared%20drives/Samkoe%20Laboratory/Individual%20folders/Kim%20Samkoe/FaDU%20and%20SCC%20EGFR%20conc.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solidFill>
                <a:schemeClr val="tx1"/>
              </a:solidFill>
            </a:ln>
            <a:effectLst/>
          </c:spPr>
          <c:invertIfNegative val="0"/>
          <c:dPt>
            <c:idx val="0"/>
            <c:invertIfNegative val="0"/>
            <c:bubble3D val="0"/>
            <c:spPr>
              <a:solidFill>
                <a:schemeClr val="accent6"/>
              </a:solidFill>
              <a:ln>
                <a:solidFill>
                  <a:schemeClr val="tx1"/>
                </a:solidFill>
              </a:ln>
              <a:effectLst/>
            </c:spPr>
            <c:extLst>
              <c:ext xmlns:c16="http://schemas.microsoft.com/office/drawing/2014/chart" uri="{C3380CC4-5D6E-409C-BE32-E72D297353CC}">
                <c16:uniqueId val="{00000001-4382-F747-9205-3E17FE4F6E3B}"/>
              </c:ext>
            </c:extLst>
          </c:dPt>
          <c:dPt>
            <c:idx val="1"/>
            <c:invertIfNegative val="0"/>
            <c:bubble3D val="0"/>
            <c:spPr>
              <a:solidFill>
                <a:schemeClr val="bg1">
                  <a:lumMod val="75000"/>
                </a:schemeClr>
              </a:solidFill>
              <a:ln>
                <a:solidFill>
                  <a:schemeClr val="tx1"/>
                </a:solidFill>
              </a:ln>
              <a:effectLst/>
            </c:spPr>
            <c:extLst>
              <c:ext xmlns:c16="http://schemas.microsoft.com/office/drawing/2014/chart" uri="{C3380CC4-5D6E-409C-BE32-E72D297353CC}">
                <c16:uniqueId val="{00000003-4382-F747-9205-3E17FE4F6E3B}"/>
              </c:ext>
            </c:extLst>
          </c:dPt>
          <c:dPt>
            <c:idx val="2"/>
            <c:invertIfNegative val="0"/>
            <c:bubble3D val="0"/>
            <c:spPr>
              <a:solidFill>
                <a:schemeClr val="bg1">
                  <a:lumMod val="75000"/>
                </a:schemeClr>
              </a:solidFill>
              <a:ln>
                <a:solidFill>
                  <a:schemeClr val="tx1"/>
                </a:solidFill>
              </a:ln>
              <a:effectLst/>
            </c:spPr>
            <c:extLst>
              <c:ext xmlns:c16="http://schemas.microsoft.com/office/drawing/2014/chart" uri="{C3380CC4-5D6E-409C-BE32-E72D297353CC}">
                <c16:uniqueId val="{00000005-4382-F747-9205-3E17FE4F6E3B}"/>
              </c:ext>
            </c:extLst>
          </c:dPt>
          <c:dPt>
            <c:idx val="3"/>
            <c:invertIfNegative val="0"/>
            <c:bubble3D val="0"/>
            <c:spPr>
              <a:solidFill>
                <a:schemeClr val="accent6"/>
              </a:solidFill>
              <a:ln>
                <a:solidFill>
                  <a:schemeClr val="tx1"/>
                </a:solidFill>
              </a:ln>
              <a:effectLst/>
            </c:spPr>
            <c:extLst>
              <c:ext xmlns:c16="http://schemas.microsoft.com/office/drawing/2014/chart" uri="{C3380CC4-5D6E-409C-BE32-E72D297353CC}">
                <c16:uniqueId val="{00000007-4382-F747-9205-3E17FE4F6E3B}"/>
              </c:ext>
            </c:extLst>
          </c:dPt>
          <c:dPt>
            <c:idx val="4"/>
            <c:invertIfNegative val="0"/>
            <c:bubble3D val="0"/>
            <c:spPr>
              <a:solidFill>
                <a:schemeClr val="accent6"/>
              </a:solidFill>
              <a:ln>
                <a:solidFill>
                  <a:schemeClr val="tx1"/>
                </a:solidFill>
              </a:ln>
              <a:effectLst/>
            </c:spPr>
            <c:extLst>
              <c:ext xmlns:c16="http://schemas.microsoft.com/office/drawing/2014/chart" uri="{C3380CC4-5D6E-409C-BE32-E72D297353CC}">
                <c16:uniqueId val="{00000009-4382-F747-9205-3E17FE4F6E3B}"/>
              </c:ext>
            </c:extLst>
          </c:dPt>
          <c:dPt>
            <c:idx val="5"/>
            <c:invertIfNegative val="0"/>
            <c:bubble3D val="0"/>
            <c:spPr>
              <a:solidFill>
                <a:schemeClr val="bg1">
                  <a:lumMod val="75000"/>
                </a:schemeClr>
              </a:solidFill>
              <a:ln>
                <a:solidFill>
                  <a:schemeClr val="tx1"/>
                </a:solidFill>
              </a:ln>
              <a:effectLst/>
            </c:spPr>
            <c:extLst>
              <c:ext xmlns:c16="http://schemas.microsoft.com/office/drawing/2014/chart" uri="{C3380CC4-5D6E-409C-BE32-E72D297353CC}">
                <c16:uniqueId val="{0000000B-4382-F747-9205-3E17FE4F6E3B}"/>
              </c:ext>
            </c:extLst>
          </c:dPt>
          <c:errBars>
            <c:errBarType val="both"/>
            <c:errValType val="cust"/>
            <c:noEndCap val="0"/>
            <c:plus>
              <c:numRef>
                <c:f>Sheet3!$S$3:$S$8</c:f>
                <c:numCache>
                  <c:formatCode>General</c:formatCode>
                  <c:ptCount val="6"/>
                  <c:pt idx="0">
                    <c:v>265027.95849947189</c:v>
                  </c:pt>
                  <c:pt idx="1">
                    <c:v>12110.488930389309</c:v>
                  </c:pt>
                  <c:pt idx="2">
                    <c:v>37889.38613444136</c:v>
                  </c:pt>
                  <c:pt idx="3">
                    <c:v>59562.435460857443</c:v>
                  </c:pt>
                  <c:pt idx="4">
                    <c:v>3708.4886310776938</c:v>
                  </c:pt>
                  <c:pt idx="5">
                    <c:v>1862.1165187366341</c:v>
                  </c:pt>
                </c:numCache>
              </c:numRef>
            </c:plus>
            <c:minus>
              <c:numRef>
                <c:f>Sheet3!$S$3:$S$8</c:f>
                <c:numCache>
                  <c:formatCode>General</c:formatCode>
                  <c:ptCount val="6"/>
                  <c:pt idx="0">
                    <c:v>265027.95849947189</c:v>
                  </c:pt>
                  <c:pt idx="1">
                    <c:v>12110.488930389309</c:v>
                  </c:pt>
                  <c:pt idx="2">
                    <c:v>37889.38613444136</c:v>
                  </c:pt>
                  <c:pt idx="3">
                    <c:v>59562.435460857443</c:v>
                  </c:pt>
                  <c:pt idx="4">
                    <c:v>3708.4886310776938</c:v>
                  </c:pt>
                  <c:pt idx="5">
                    <c:v>1862.1165187366341</c:v>
                  </c:pt>
                </c:numCache>
              </c:numRef>
            </c:minus>
            <c:spPr>
              <a:noFill/>
              <a:ln w="9525" cap="flat" cmpd="sng" algn="ctr">
                <a:solidFill>
                  <a:schemeClr val="tx1">
                    <a:lumMod val="65000"/>
                    <a:lumOff val="35000"/>
                  </a:schemeClr>
                </a:solidFill>
                <a:round/>
              </a:ln>
              <a:effectLst/>
            </c:spPr>
          </c:errBars>
          <c:cat>
            <c:strRef>
              <c:f>Sheet3!$A$3:$A$8</c:f>
              <c:strCache>
                <c:ptCount val="6"/>
                <c:pt idx="0">
                  <c:v>A431</c:v>
                </c:pt>
                <c:pt idx="1">
                  <c:v>SCC-15</c:v>
                </c:pt>
                <c:pt idx="2">
                  <c:v>SCC-25</c:v>
                </c:pt>
                <c:pt idx="3">
                  <c:v>Detroit 562</c:v>
                </c:pt>
                <c:pt idx="4">
                  <c:v>FaDu</c:v>
                </c:pt>
                <c:pt idx="5">
                  <c:v>SCC-9</c:v>
                </c:pt>
              </c:strCache>
            </c:strRef>
          </c:cat>
          <c:val>
            <c:numRef>
              <c:f>Sheet3!$R$3:$R$8</c:f>
              <c:numCache>
                <c:formatCode>0E+00</c:formatCode>
                <c:ptCount val="6"/>
                <c:pt idx="0">
                  <c:v>1200292.4166666667</c:v>
                </c:pt>
                <c:pt idx="1">
                  <c:v>549892.5555181111</c:v>
                </c:pt>
                <c:pt idx="2">
                  <c:v>360247.92592188885</c:v>
                </c:pt>
                <c:pt idx="3">
                  <c:v>156615.96296296295</c:v>
                </c:pt>
                <c:pt idx="4">
                  <c:v>73983.925930000012</c:v>
                </c:pt>
                <c:pt idx="5">
                  <c:v>29601.703704000003</c:v>
                </c:pt>
              </c:numCache>
            </c:numRef>
          </c:val>
          <c:extLst>
            <c:ext xmlns:c16="http://schemas.microsoft.com/office/drawing/2014/chart" uri="{C3380CC4-5D6E-409C-BE32-E72D297353CC}">
              <c16:uniqueId val="{0000000C-4382-F747-9205-3E17FE4F6E3B}"/>
            </c:ext>
          </c:extLst>
        </c:ser>
        <c:dLbls>
          <c:showLegendKey val="0"/>
          <c:showVal val="0"/>
          <c:showCatName val="0"/>
          <c:showSerName val="0"/>
          <c:showPercent val="0"/>
          <c:showBubbleSize val="0"/>
        </c:dLbls>
        <c:gapWidth val="219"/>
        <c:overlap val="-27"/>
        <c:axId val="2004396368"/>
        <c:axId val="2040336320"/>
      </c:barChart>
      <c:catAx>
        <c:axId val="200439636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1320000" spcFirstLastPara="1" vertOverflow="ellipsis" wrap="square" anchor="t" anchorCtr="0"/>
          <a:lstStyle/>
          <a:p>
            <a:pPr>
              <a:defRPr sz="12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040336320"/>
        <c:crosses val="autoZero"/>
        <c:auto val="1"/>
        <c:lblAlgn val="ctr"/>
        <c:lblOffset val="100"/>
        <c:noMultiLvlLbl val="0"/>
      </c:catAx>
      <c:valAx>
        <c:axId val="2040336320"/>
        <c:scaling>
          <c:logBase val="10"/>
          <c:orientation val="minMax"/>
          <c:max val="1500000"/>
          <c:min val="10000"/>
        </c:scaling>
        <c:delete val="0"/>
        <c:axPos val="l"/>
        <c:majorGridlines>
          <c:spPr>
            <a:ln w="9525" cap="flat" cmpd="sng" algn="ctr">
              <a:solidFill>
                <a:schemeClr val="bg1">
                  <a:lumMod val="50000"/>
                </a:schemeClr>
              </a:solidFill>
              <a:round/>
            </a:ln>
            <a:effectLst/>
          </c:spPr>
        </c:majorGridlines>
        <c:minorGridlines>
          <c:spPr>
            <a:ln w="9525" cap="flat" cmpd="sng" algn="ctr">
              <a:solidFill>
                <a:schemeClr val="bg1">
                  <a:lumMod val="75000"/>
                </a:schemeClr>
              </a:solidFill>
              <a:round/>
            </a:ln>
            <a:effectLst/>
          </c:spPr>
        </c:minorGridlines>
        <c:title>
          <c:tx>
            <c:rich>
              <a:bodyPr rot="-5400000" spcFirstLastPara="1" vertOverflow="ellipsis" vert="horz" wrap="square" anchor="ctr" anchorCtr="1"/>
              <a:lstStyle/>
              <a:p>
                <a:pPr>
                  <a:defRPr sz="1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sz="1800"/>
                  <a:t>EGFR/cell</a:t>
                </a:r>
              </a:p>
            </c:rich>
          </c:tx>
          <c:overlay val="0"/>
          <c:spPr>
            <a:noFill/>
            <a:ln>
              <a:noFill/>
            </a:ln>
            <a:effectLst/>
          </c:spPr>
          <c:txPr>
            <a:bodyPr rot="-5400000" spcFirstLastPara="1" vertOverflow="ellipsis" vert="horz" wrap="square" anchor="ctr" anchorCtr="1"/>
            <a:lstStyle/>
            <a:p>
              <a:pPr>
                <a:defRPr sz="1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E+00" sourceLinked="1"/>
        <c:majorTickMark val="none"/>
        <c:minorTickMark val="none"/>
        <c:tickLblPos val="nextTo"/>
        <c:spPr>
          <a:noFill/>
          <a:ln>
            <a:noFill/>
          </a:ln>
          <a:effectLst/>
        </c:spPr>
        <c:txPr>
          <a:bodyPr rot="-60000000" spcFirstLastPara="1" vertOverflow="ellipsis" vert="horz" wrap="square" anchor="ctr" anchorCtr="1"/>
          <a:lstStyle/>
          <a:p>
            <a:pPr>
              <a:defRPr sz="11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2004396368"/>
        <c:crosses val="autoZero"/>
        <c:crossBetween val="between"/>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2000" b="1">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24FE0-6134-5847-9E9E-70DA8F6B8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2796</Words>
  <Characters>15941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2020-11-06T16:48:00Z</dcterms:created>
  <dcterms:modified xsi:type="dcterms:W3CDTF">2020-11-06T16:48:00Z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zotero-version="5.0.90"&gt;&lt;session id="SluomI59"/&gt;&lt;style id="http://www.zotero.org/styles/vancouver" locale="en-US" hasBibliography="1" bibliographyStyleHasBeenSet="1"/&gt;&lt;prefs&gt;&lt;pref name="fieldType" value="Field"/&gt;&lt;/prefs&gt;&lt;/data&gt;</vt:lpwstr>
  </property>
  <property fmtid="{D5CDD505-2E9C-101B-9397-08002B2CF9AE}" pid="3" name="ZOTERO_PREF_2">
    <vt:lpwstr/>
  </property>
</Properties>
</file>