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3F91A" w14:textId="67630856" w:rsidR="00890B93" w:rsidRPr="00890B93" w:rsidRDefault="00890B93" w:rsidP="00916D94">
      <w:pPr>
        <w:pStyle w:val="PaperHeading1"/>
      </w:pPr>
      <w:r w:rsidRPr="00890B93">
        <w:t>Supplemental Digital Content 4: Calculation of risk-adjusted mortality</w:t>
      </w:r>
    </w:p>
    <w:p w14:paraId="67B093E0" w14:textId="6AB3526F" w:rsidR="00614BB0" w:rsidRPr="00890B93" w:rsidRDefault="00890B93" w:rsidP="00614BB0">
      <w:pPr>
        <w:pStyle w:val="PaperText"/>
      </w:pPr>
      <w:r>
        <w:t>Risk-adjusted mortality was</w:t>
      </w:r>
      <w:r w:rsidRPr="00890B93">
        <w:t xml:space="preserve"> calculated as the risk-standardized mor</w:t>
      </w:r>
      <w:r>
        <w:t>tality rate (RSMR) using established methods</w:t>
      </w:r>
      <w:r w:rsidR="00614BB0" w:rsidRPr="00890B93">
        <w:t xml:space="preserve"> </w:t>
      </w:r>
      <w:r w:rsidR="00614BB0">
        <w:rPr>
          <w:lang w:val="de-DE"/>
        </w:rPr>
        <w:fldChar w:fldCharType="begin">
          <w:fldData xml:space="preserve">PEVuZE5vdGU+PENpdGU+PEF1dGhvcj5BZ2VuY3kgZm9yIEhlYWx0aCBDYXJlIFJlc2VhcmNoIGFu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</w:fldData>
        </w:fldChar>
      </w:r>
      <w:r w:rsidRPr="00890B93">
        <w:instrText xml:space="preserve"> ADDIN EN.CITE </w:instrText>
      </w:r>
      <w:r>
        <w:rPr>
          <w:lang w:val="de-DE"/>
        </w:rPr>
        <w:fldChar w:fldCharType="begin">
          <w:fldData xml:space="preserve">PEVuZE5vdGU+PENpdGU+PEF1dGhvcj5BZ2VuY3kgZm9yIEhlYWx0aCBDYXJlIFJlc2VhcmNoIGFu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</w:fldData>
        </w:fldChar>
      </w:r>
      <w:r w:rsidRPr="00890B93">
        <w:instrText xml:space="preserve"> ADDIN EN.CITE.DATA </w:instrText>
      </w:r>
      <w:r>
        <w:rPr>
          <w:lang w:val="de-DE"/>
        </w:rPr>
      </w:r>
      <w:r>
        <w:rPr>
          <w:lang w:val="de-DE"/>
        </w:rPr>
        <w:fldChar w:fldCharType="end"/>
      </w:r>
      <w:r w:rsidR="00614BB0">
        <w:rPr>
          <w:lang w:val="de-DE"/>
        </w:rPr>
      </w:r>
      <w:r w:rsidR="00614BB0">
        <w:rPr>
          <w:lang w:val="de-DE"/>
        </w:rPr>
        <w:fldChar w:fldCharType="separate"/>
      </w:r>
      <w:r w:rsidRPr="00890B93">
        <w:rPr>
          <w:noProof/>
        </w:rPr>
        <w:t>(1, 2)</w:t>
      </w:r>
      <w:r w:rsidR="00614BB0">
        <w:rPr>
          <w:lang w:val="de-DE"/>
        </w:rPr>
        <w:fldChar w:fldCharType="end"/>
      </w:r>
      <w:r w:rsidR="00614BB0" w:rsidRPr="00890B93">
        <w:t>.</w:t>
      </w:r>
    </w:p>
    <w:p w14:paraId="7C25E445" w14:textId="295924D4" w:rsidR="00AD6079" w:rsidRPr="00890B93" w:rsidRDefault="00AD6079" w:rsidP="00916D94">
      <w:pPr>
        <w:pStyle w:val="PaperHeading2"/>
      </w:pPr>
      <w:r w:rsidRPr="00890B93">
        <w:t xml:space="preserve">1. </w:t>
      </w:r>
      <w:r w:rsidR="00890B93" w:rsidRPr="00890B93">
        <w:t>Calculation of predicted probability of death</w:t>
      </w:r>
    </w:p>
    <w:p w14:paraId="54B31A7C" w14:textId="19A12FC1" w:rsidR="00AD6079" w:rsidRPr="00890B93" w:rsidRDefault="00AD6079" w:rsidP="00916D94">
      <w:pPr>
        <w:pStyle w:val="PaperText"/>
      </w:pPr>
      <w:r w:rsidRPr="00890B93">
        <w:t xml:space="preserve">a) </w:t>
      </w:r>
      <w:r w:rsidR="00890B93" w:rsidRPr="00890B93">
        <w:t>Using the risk-adjustment model</w:t>
      </w:r>
      <w:r w:rsidR="00890B93">
        <w:t xml:space="preserve"> developed based on the national German diagnosis-related-groups statistic</w:t>
      </w:r>
      <w:r w:rsidR="003E42BD">
        <w:t>s</w:t>
      </w:r>
      <w:bookmarkStart w:id="0" w:name="_GoBack"/>
      <w:bookmarkEnd w:id="0"/>
      <w:r w:rsidR="00890B93" w:rsidRPr="00890B93">
        <w:t xml:space="preserve"> </w:t>
      </w:r>
      <w:r w:rsidR="00890B93">
        <w:rPr>
          <w:lang w:val="de-DE"/>
        </w:rPr>
        <w:fldChar w:fldCharType="begin"/>
      </w:r>
      <w:r w:rsidR="00890B93" w:rsidRPr="00890B93">
        <w:instrText xml:space="preserve"> ADDIN EN.CITE &lt;EndNote&gt;&lt;Cite&gt;&lt;Author&gt;Schwarzkopf&lt;/Author&gt;&lt;Year&gt;2018&lt;/Year&gt;&lt;RecNum&gt;2246&lt;/RecNum&gt;&lt;DisplayText&gt;(3)&lt;/DisplayText&gt;&lt;record&gt;&lt;rec-number&gt;2246&lt;/rec-number&gt;&lt;foreign-keys&gt;&lt;key app="EN" db-id="rawrx2wv10rrw7eafstvp5fbwaxrszpsf9v5" timestamp="1521656755"&gt;2246&lt;/key&gt;&lt;/foreign-keys&gt;&lt;ref-type name="Journal Article"&gt;17&lt;/ref-type&gt;&lt;contributors&gt;&lt;authors&gt;&lt;author&gt;Schwarzkopf, Daniel&lt;/author&gt;&lt;author&gt;Fleischmann-Struzek, Carolin&lt;/author&gt;&lt;author&gt;Rüddel, Hendrik&lt;/author&gt;&lt;author&gt;Reinhart, Konrad&lt;/author&gt;&lt;author&gt;Thomas-Rüddel, Daniel O.&lt;/author&gt;&lt;/authors&gt;&lt;/contributors&gt;&lt;titles&gt;&lt;title&gt;A risk-model for hospital mortality among patients with severe sepsis or septic shock based on German national administrative claims data&lt;/title&gt;&lt;secondary-title&gt;PLOS ONE&lt;/secondary-title&gt;&lt;/titles&gt;&lt;periodical&gt;&lt;full-title&gt;Plos One&lt;/full-title&gt;&lt;/periodical&gt;&lt;pages&gt;e0194371&lt;/pages&gt;&lt;volume&gt;13&lt;/volume&gt;&lt;number&gt;3&lt;/number&gt;&lt;dates&gt;&lt;year&gt;2018&lt;/year&gt;&lt;/dates&gt;&lt;publisher&gt;Public Library of Science&lt;/publisher&gt;&lt;urls&gt;&lt;related-urls&gt;&lt;url&gt;https://doi.org/10.1371/journal.pone.0194371&lt;/url&gt;&lt;/related-urls&gt;&lt;/urls&gt;&lt;electronic-resource-num&gt;10.1371/journal.pone.0194371&lt;/electronic-resource-num&gt;&lt;/record&gt;&lt;/Cite&gt;&lt;/EndNote&gt;</w:instrText>
      </w:r>
      <w:r w:rsidR="00890B93">
        <w:rPr>
          <w:lang w:val="de-DE"/>
        </w:rPr>
        <w:fldChar w:fldCharType="separate"/>
      </w:r>
      <w:r w:rsidR="00890B93" w:rsidRPr="00890B93">
        <w:rPr>
          <w:noProof/>
        </w:rPr>
        <w:t>(3)</w:t>
      </w:r>
      <w:r w:rsidR="00890B93">
        <w:rPr>
          <w:lang w:val="de-DE"/>
        </w:rPr>
        <w:fldChar w:fldCharType="end"/>
      </w:r>
      <w:r w:rsidR="00890B93">
        <w:t xml:space="preserve"> a </w:t>
      </w:r>
      <w:r w:rsidR="00890B93" w:rsidRPr="00890B93">
        <w:t xml:space="preserve">risk-score </w:t>
      </w:r>
      <m:oMath>
        <m:sSub>
          <m:sSubPr>
            <m:ctrlPr>
              <w:rPr>
                <w:rFonts w:ascii="Cambria Math" w:hAnsi="Cambria Math"/>
                <w:i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RS</m:t>
            </m:r>
          </m:e>
          <m:sub>
            <m:r>
              <w:rPr>
                <w:rFonts w:ascii="Cambria Math" w:hAnsi="Cambria Math"/>
                <w:lang w:val="de-DE"/>
              </w:rPr>
              <m:t>ij</m:t>
            </m:r>
          </m:sub>
        </m:sSub>
      </m:oMath>
      <w:r w:rsidR="00890B93" w:rsidRPr="00890B93">
        <w:t xml:space="preserve"> </w:t>
      </w:r>
      <w:r w:rsidR="00890B93">
        <w:t xml:space="preserve">is calculated for each patient </w:t>
      </w:r>
      <m:oMath>
        <m:r>
          <w:rPr>
            <w:rFonts w:ascii="Cambria Math" w:hAnsi="Cambria Math"/>
          </w:rPr>
          <m:t>j</m:t>
        </m:r>
      </m:oMath>
      <w:r w:rsidR="00890B93" w:rsidRPr="00890B93">
        <w:t xml:space="preserve"> </w:t>
      </w:r>
      <w:r w:rsidR="00890B93">
        <w:t xml:space="preserve">within hospital </w:t>
      </w:r>
      <m:oMath>
        <m:r>
          <w:rPr>
            <w:rFonts w:ascii="Cambria Math" w:hAnsi="Cambria Math"/>
          </w:rPr>
          <m:t>i</m:t>
        </m:r>
      </m:oMath>
      <w:r w:rsidR="00890B93" w:rsidRPr="00890B93">
        <w:t xml:space="preserve"> is calculated </w:t>
      </w:r>
      <w:r w:rsidR="00890B93">
        <w:t>by summing up</w:t>
      </w:r>
      <w:r w:rsidRPr="00890B93">
        <w:t xml:space="preserve"> </w:t>
      </w:r>
      <w:r w:rsidR="00890B93">
        <w:t>risk-factors</w:t>
      </w:r>
      <w:r w:rsidR="00916D94" w:rsidRPr="00890B93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 w:rsidRPr="00890B93">
        <w:t xml:space="preserve"> </w:t>
      </w:r>
      <w:r w:rsidR="00890B93">
        <w:t>with their respective weights</w:t>
      </w:r>
      <w:r w:rsidRPr="00890B93"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β</m:t>
            </m:r>
          </m:e>
          <m:sub>
            <m:r>
              <w:rPr>
                <w:rFonts w:ascii="Cambria Math" w:hAnsi="Cambria Math"/>
                <w:lang w:val="de-DE"/>
              </w:rPr>
              <m:t>k</m:t>
            </m:r>
          </m:sub>
        </m:sSub>
      </m:oMath>
    </w:p>
    <w:p w14:paraId="760BE4C7" w14:textId="7C87BA83" w:rsidR="00AD6079" w:rsidRDefault="0062532A" w:rsidP="00633B1C">
      <w:pPr>
        <w:tabs>
          <w:tab w:val="right" w:pos="8364"/>
        </w:tabs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RS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+…+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k</m:t>
              </m:r>
            </m:sub>
          </m:sSub>
        </m:oMath>
      </m:oMathPara>
    </w:p>
    <w:p w14:paraId="4154AF69" w14:textId="178135B7" w:rsidR="00AD6079" w:rsidRPr="00890B93" w:rsidRDefault="00AD6079" w:rsidP="00916D94">
      <w:pPr>
        <w:pStyle w:val="PaperText"/>
      </w:pPr>
      <w:r w:rsidRPr="00890B93">
        <w:t xml:space="preserve">b) </w:t>
      </w:r>
      <w:r w:rsidR="00890B93" w:rsidRPr="00890B93">
        <w:t xml:space="preserve">By transformation of </w:t>
      </w:r>
      <m:oMath>
        <m:sSub>
          <m:sSubPr>
            <m:ctrlPr>
              <w:rPr>
                <w:rFonts w:ascii="Cambria Math" w:hAnsi="Cambria Math"/>
                <w:i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RS</m:t>
            </m:r>
          </m:e>
          <m:sub>
            <m:r>
              <w:rPr>
                <w:rFonts w:ascii="Cambria Math" w:hAnsi="Cambria Math"/>
                <w:lang w:val="de-DE"/>
              </w:rPr>
              <m:t>ij</m:t>
            </m:r>
          </m:sub>
        </m:sSub>
      </m:oMath>
      <w:r w:rsidR="00890B93" w:rsidRPr="00890B93">
        <w:t xml:space="preserve"> the individual predicted probability </w:t>
      </w:r>
      <m:oMath>
        <m:sSub>
          <m:sSubPr>
            <m:ctrlPr>
              <w:rPr>
                <w:rFonts w:ascii="Cambria Math" w:hAnsi="Cambria Math"/>
                <w:i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p</m:t>
            </m:r>
          </m:e>
          <m:sub>
            <m:r>
              <w:rPr>
                <w:rFonts w:ascii="Cambria Math" w:hAnsi="Cambria Math"/>
                <w:lang w:val="de-DE"/>
              </w:rPr>
              <m:t>ij</m:t>
            </m:r>
          </m:sub>
        </m:sSub>
      </m:oMath>
      <w:r w:rsidR="00890B93" w:rsidRPr="00890B93">
        <w:t xml:space="preserve"> of death is calculated</w:t>
      </w:r>
    </w:p>
    <w:p w14:paraId="68DA3891" w14:textId="130012C7" w:rsidR="00AD6079" w:rsidRDefault="0062532A" w:rsidP="00633B1C">
      <w:pPr>
        <w:pStyle w:val="PaperText"/>
        <w:tabs>
          <w:tab w:val="right" w:pos="8647"/>
        </w:tabs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exp⁡(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RS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1+exp⁡(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RS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den>
          </m:f>
        </m:oMath>
      </m:oMathPara>
    </w:p>
    <w:p w14:paraId="16B90252" w14:textId="32578936" w:rsidR="00AD6079" w:rsidRPr="00890B93" w:rsidRDefault="00AD6079" w:rsidP="00916D94">
      <w:pPr>
        <w:pStyle w:val="PaperHeading2"/>
      </w:pPr>
      <w:r w:rsidRPr="00890B93">
        <w:t xml:space="preserve">2. </w:t>
      </w:r>
      <w:r w:rsidR="00890B93" w:rsidRPr="00890B93">
        <w:t>Calculation of expected mortality</w:t>
      </w:r>
      <w:r w:rsidRPr="00890B93">
        <w:t xml:space="preserve"> </w:t>
      </w:r>
      <m:oMath>
        <m:sSub>
          <m:sSubPr>
            <m:ctrlPr>
              <w:rPr>
                <w:rFonts w:ascii="Cambria Math" w:hAnsi="Cambria Math"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E</m:t>
            </m:r>
          </m:e>
          <m:sub>
            <m:r>
              <w:rPr>
                <w:rFonts w:ascii="Cambria Math" w:hAnsi="Cambria Math"/>
                <w:lang w:val="de-DE"/>
              </w:rPr>
              <m:t>i</m:t>
            </m:r>
          </m:sub>
        </m:sSub>
      </m:oMath>
      <w:r w:rsidRPr="00890B93">
        <w:t xml:space="preserve"> </w:t>
      </w:r>
      <w:r w:rsidR="00890B93" w:rsidRPr="00890B93">
        <w:t xml:space="preserve">and observed mortality </w:t>
      </w:r>
      <m:oMath>
        <m:sSub>
          <m:sSubPr>
            <m:ctrlPr>
              <w:rPr>
                <w:rFonts w:ascii="Cambria Math" w:hAnsi="Cambria Math"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O</m:t>
            </m:r>
          </m:e>
          <m:sub>
            <m:r>
              <w:rPr>
                <w:rFonts w:ascii="Cambria Math" w:hAnsi="Cambria Math"/>
                <w:lang w:val="de-DE"/>
              </w:rPr>
              <m:t>i</m:t>
            </m:r>
          </m:sub>
        </m:sSub>
      </m:oMath>
      <w:r w:rsidRPr="00890B93">
        <w:t xml:space="preserve"> </w:t>
      </w:r>
      <w:r w:rsidR="00890B93">
        <w:t xml:space="preserve">for each hospital </w:t>
      </w:r>
      <m:oMath>
        <m:r>
          <w:rPr>
            <w:rFonts w:ascii="Cambria Math" w:hAnsi="Cambria Math"/>
          </w:rPr>
          <m:t>i</m:t>
        </m:r>
      </m:oMath>
    </w:p>
    <w:p w14:paraId="529ACFFE" w14:textId="77777777" w:rsidR="00A05D16" w:rsidRPr="00A05D16" w:rsidRDefault="0062532A" w:rsidP="00AD6079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j=1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</m:e>
          </m:nary>
        </m:oMath>
      </m:oMathPara>
    </w:p>
    <w:p w14:paraId="182A12B3" w14:textId="77777777" w:rsidR="00A05D16" w:rsidRDefault="0062532A" w:rsidP="00AD6079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j=1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</m:e>
          </m:nary>
        </m:oMath>
      </m:oMathPara>
    </w:p>
    <w:p w14:paraId="211C252F" w14:textId="757F2AFE" w:rsidR="006C3E49" w:rsidRPr="00890B93" w:rsidRDefault="0062532A" w:rsidP="00916D94">
      <w:pPr>
        <w:pStyle w:val="PaperText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 w:rsidR="00A05D16" w:rsidRPr="00890B93">
        <w:t xml:space="preserve"> </w:t>
      </w:r>
      <w:r w:rsidR="00890B93" w:rsidRPr="00890B93">
        <w:t>status of patient at discharge</w:t>
      </w:r>
      <w:r w:rsidR="00A05D16" w:rsidRPr="00890B93">
        <w:t xml:space="preserve"> (0 = </w:t>
      </w:r>
      <w:r w:rsidR="00890B93" w:rsidRPr="00890B93">
        <w:t>survived</w:t>
      </w:r>
      <w:r w:rsidR="00A05D16" w:rsidRPr="00890B93">
        <w:t xml:space="preserve">, 1 = </w:t>
      </w:r>
      <w:r w:rsidR="00890B93">
        <w:t>deceased</w:t>
      </w:r>
      <w:r w:rsidR="00A05D16" w:rsidRPr="00890B93">
        <w:t>)</w:t>
      </w:r>
      <w:r w:rsidR="003224F4" w:rsidRPr="00890B93">
        <w:t xml:space="preserve">. </w:t>
      </w:r>
      <m:oMath>
        <m:sSub>
          <m:sSubPr>
            <m:ctrlPr>
              <w:rPr>
                <w:rFonts w:ascii="Cambria Math" w:hAnsi="Cambria Math"/>
                <w:i/>
                <w:lang w:val="de-DE"/>
              </w:rPr>
            </m:ctrlPr>
          </m:sSubPr>
          <m:e>
            <m:r>
              <w:rPr>
                <w:rFonts w:ascii="Cambria Math" w:hAnsi="Cambria Math"/>
                <w:lang w:val="de-DE"/>
              </w:rPr>
              <m:t>n</m:t>
            </m:r>
          </m:e>
          <m:sub>
            <m:r>
              <w:rPr>
                <w:rFonts w:ascii="Cambria Math" w:hAnsi="Cambria Math"/>
                <w:lang w:val="de-DE"/>
              </w:rPr>
              <m:t>i</m:t>
            </m:r>
          </m:sub>
        </m:sSub>
      </m:oMath>
      <w:r w:rsidR="003224F4" w:rsidRPr="00890B93">
        <w:rPr>
          <w:rFonts w:eastAsiaTheme="minorEastAsia"/>
        </w:rPr>
        <w:t xml:space="preserve"> </w:t>
      </w:r>
      <w:r w:rsidR="00890B93" w:rsidRPr="00890B93">
        <w:rPr>
          <w:rFonts w:eastAsiaTheme="minorEastAsia"/>
        </w:rPr>
        <w:t xml:space="preserve">number of cases with severe sepsis (or respective subgroup) within hospital </w:t>
      </w:r>
      <m:oMath>
        <m:r>
          <w:rPr>
            <w:rFonts w:ascii="Cambria Math" w:eastAsiaTheme="minorEastAsia" w:hAnsi="Cambria Math"/>
          </w:rPr>
          <m:t>i</m:t>
        </m:r>
      </m:oMath>
      <w:r w:rsidR="003224F4" w:rsidRPr="00890B93">
        <w:rPr>
          <w:rFonts w:eastAsiaTheme="minorEastAsia"/>
        </w:rPr>
        <w:t>.</w:t>
      </w:r>
    </w:p>
    <w:p w14:paraId="4FCB52D7" w14:textId="77777777" w:rsidR="006C3E49" w:rsidRPr="00890B93" w:rsidRDefault="006C3E49" w:rsidP="006C3E49">
      <w:pPr>
        <w:rPr>
          <w:rFonts w:ascii="Times New Roman" w:hAnsi="Times New Roman" w:cs="Times New Roman"/>
          <w:lang w:val="en-US"/>
        </w:rPr>
      </w:pPr>
      <w:r w:rsidRPr="00890B93">
        <w:rPr>
          <w:lang w:val="en-US"/>
        </w:rPr>
        <w:br w:type="page"/>
      </w:r>
    </w:p>
    <w:p w14:paraId="4635E8FB" w14:textId="1D6E6242" w:rsidR="00A05D16" w:rsidRPr="00890B93" w:rsidRDefault="00A05D16" w:rsidP="00916D94">
      <w:pPr>
        <w:pStyle w:val="PaperHeading2"/>
      </w:pPr>
      <w:r w:rsidRPr="00890B93">
        <w:lastRenderedPageBreak/>
        <w:t xml:space="preserve">3. </w:t>
      </w:r>
      <w:r w:rsidR="00890B93">
        <w:t>Calculation of the standardized mortality ratio</w:t>
      </w:r>
      <w:r w:rsidRPr="00890B93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SMR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890B93">
        <w:t xml:space="preserve"> </w:t>
      </w:r>
      <w:r w:rsidR="00890B93">
        <w:t xml:space="preserve">and the risk-standardized mortality rate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RSMR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</w:p>
    <w:p w14:paraId="1D37CE16" w14:textId="06A7B62C" w:rsidR="00A05D16" w:rsidRPr="00916D94" w:rsidRDefault="0062532A" w:rsidP="00AD6079">
      <w:pPr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SMR</m:t>
              </m:r>
            </m:e>
            <m:sub>
              <m:r>
                <w:rPr>
                  <w:rFonts w:ascii="Cambria Math" w:hAnsi="Cambria Math"/>
                  <w:lang w:val="en-US"/>
                </w:rPr>
                <m:t>i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den>
          </m:f>
        </m:oMath>
      </m:oMathPara>
    </w:p>
    <w:p w14:paraId="00E9E0DC" w14:textId="6F8A30FD" w:rsidR="00916D94" w:rsidRPr="00916D94" w:rsidRDefault="0062532A" w:rsidP="00AD6079">
      <w:pPr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RSMR</m:t>
              </m:r>
            </m:e>
            <m:sub>
              <m:r>
                <w:rPr>
                  <w:rFonts w:ascii="Cambria Math" w:hAnsi="Cambria Math"/>
                  <w:lang w:val="en-US"/>
                </w:rPr>
                <m:t>i</m:t>
              </m:r>
            </m:sub>
          </m:sSub>
          <m:r>
            <w:rPr>
              <w:rFonts w:ascii="Cambria Math" w:hAnsi="Cambria Math"/>
              <w:lang w:val="en-US"/>
            </w:rPr>
            <m:t>=a*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SMR</m:t>
              </m:r>
            </m:e>
            <m:sub>
              <m:r>
                <w:rPr>
                  <w:rFonts w:ascii="Cambria Math" w:hAnsi="Cambria Math"/>
                  <w:lang w:val="en-US"/>
                </w:rPr>
                <m:t>i</m:t>
              </m:r>
            </m:sub>
          </m:sSub>
        </m:oMath>
      </m:oMathPara>
    </w:p>
    <w:p w14:paraId="27641A9C" w14:textId="5D9CE662" w:rsidR="00916D94" w:rsidRPr="00890B93" w:rsidRDefault="00D01F49" w:rsidP="00916D94">
      <w:pPr>
        <w:pStyle w:val="PaperText"/>
        <w:rPr>
          <w:rFonts w:eastAsiaTheme="minorEastAsia"/>
        </w:rPr>
      </w:pPr>
      <m:oMath>
        <m:r>
          <w:rPr>
            <w:rFonts w:ascii="Cambria Math" w:hAnsi="Cambria Math"/>
          </w:rPr>
          <m:t>a</m:t>
        </m:r>
      </m:oMath>
      <w:r w:rsidRPr="00890B93">
        <w:rPr>
          <w:rFonts w:eastAsiaTheme="minorEastAsia"/>
        </w:rPr>
        <w:t xml:space="preserve">: </w:t>
      </w:r>
      <w:r w:rsidR="00890B93" w:rsidRPr="00890B93">
        <w:rPr>
          <w:rFonts w:eastAsiaTheme="minorEastAsia"/>
        </w:rPr>
        <w:t xml:space="preserve">Mortality of patients with sepsis or the respective subgroup in the </w:t>
      </w:r>
      <w:r w:rsidR="00890B93">
        <w:rPr>
          <w:rFonts w:eastAsiaTheme="minorEastAsia"/>
        </w:rPr>
        <w:t xml:space="preserve">German </w:t>
      </w:r>
      <w:r w:rsidR="00890B93" w:rsidRPr="00890B93">
        <w:rPr>
          <w:rFonts w:eastAsiaTheme="minorEastAsia"/>
        </w:rPr>
        <w:t>national diagnosis-related-groups statistic o</w:t>
      </w:r>
      <w:r w:rsidR="00890B93">
        <w:rPr>
          <w:rFonts w:eastAsiaTheme="minorEastAsia"/>
        </w:rPr>
        <w:t>f 2015.</w:t>
      </w:r>
    </w:p>
    <w:p w14:paraId="465D9F79" w14:textId="3D833C80" w:rsidR="00D01F49" w:rsidRPr="00890B93" w:rsidRDefault="00D01F49" w:rsidP="00D01F49">
      <w:pPr>
        <w:pStyle w:val="PaperHeading2"/>
        <w:rPr>
          <w:rFonts w:eastAsiaTheme="minorEastAsia"/>
        </w:rPr>
      </w:pPr>
      <w:r w:rsidRPr="00890B93">
        <w:t>4</w:t>
      </w:r>
      <w:r w:rsidR="00EA5ED0" w:rsidRPr="00890B93">
        <w:t xml:space="preserve">. </w:t>
      </w:r>
      <w:r w:rsidR="00890B93" w:rsidRPr="00890B93">
        <w:t>Calculation of the</w:t>
      </w:r>
      <w:r w:rsidR="00633B1C" w:rsidRPr="00890B93">
        <w:t xml:space="preserve"> noise variance</w:t>
      </w:r>
      <w:r w:rsidRPr="00890B93">
        <w:t xml:space="preserve"> </w:t>
      </w:r>
      <m:oMath>
        <m:sSubSup>
          <m:sSubSupPr>
            <m:ctrlPr>
              <w:rPr>
                <w:rFonts w:ascii="Cambria Math" w:hAnsi="Cambria Math"/>
                <w:lang w:val="de-DE"/>
              </w:rPr>
            </m:ctrlPr>
          </m:sSubSupPr>
          <m:e>
            <m:acc>
              <m:accPr>
                <m:ctrlPr>
                  <w:rPr>
                    <w:rFonts w:ascii="Cambria Math" w:hAnsi="Cambria Math"/>
                    <w:lang w:val="de-DE"/>
                  </w:rPr>
                </m:ctrlPr>
              </m:accPr>
              <m:e>
                <m:r>
                  <w:rPr>
                    <w:rFonts w:ascii="Cambria Math" w:hAnsi="Cambria Math"/>
                    <w:lang w:val="de-DE"/>
                  </w:rPr>
                  <m:t>σ</m:t>
                </m:r>
              </m:e>
            </m:acc>
          </m:e>
          <m:sub>
            <m:r>
              <w:rPr>
                <w:rFonts w:ascii="Cambria Math" w:hAnsi="Cambria Math"/>
                <w:lang w:val="de-DE"/>
              </w:rPr>
              <m:t>i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 w:rsidR="00890B93" w:rsidRPr="00890B93">
        <w:rPr>
          <w:rFonts w:eastAsiaTheme="minorEastAsia"/>
        </w:rPr>
        <w:t xml:space="preserve"> of the</w:t>
      </w:r>
      <w:r w:rsidR="008D1C6A" w:rsidRPr="00890B93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RSMR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 w:rsidR="00890B93">
        <w:rPr>
          <w:rFonts w:eastAsiaTheme="minorEastAsia"/>
        </w:rPr>
        <w:t xml:space="preserve"> and its 95% confidence limit</w:t>
      </w:r>
    </w:p>
    <w:p w14:paraId="10BBD145" w14:textId="77777777" w:rsidR="00EA5ED0" w:rsidRPr="008D1C6A" w:rsidRDefault="0062532A" w:rsidP="00EA5ED0">
      <w:pPr>
        <w:rPr>
          <w:rFonts w:eastAsiaTheme="minorEastAsia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acc>
                <m:accPr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>i</m:t>
              </m:r>
            </m:sub>
            <m:sup>
              <m:r>
                <w:rPr>
                  <w:rFonts w:ascii="Cambria Math" w:hAnsi="Cambria Math"/>
                </w:rPr>
                <m:t>2</m:t>
              </m:r>
            </m:sup>
          </m:sSub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a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j=1</m:t>
              </m:r>
            </m:sub>
            <m:sup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sup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ij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ij</m:t>
                      </m:r>
                    </m:sub>
                  </m:sSub>
                </m:e>
              </m:d>
            </m:e>
          </m:nary>
        </m:oMath>
      </m:oMathPara>
    </w:p>
    <w:p w14:paraId="1057F9DE" w14:textId="7710DA10" w:rsidR="008D1C6A" w:rsidRPr="00602576" w:rsidRDefault="0062532A" w:rsidP="00EA5ED0">
      <w:pPr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CI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RSMR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RSMR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±1,96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bSup>
            </m:e>
          </m:rad>
        </m:oMath>
      </m:oMathPara>
    </w:p>
    <w:p w14:paraId="0B7EE667" w14:textId="2B905047" w:rsidR="002A6943" w:rsidRDefault="002A6943" w:rsidP="002A6943">
      <w:pPr>
        <w:pStyle w:val="PaperHeading1"/>
      </w:pPr>
      <w:r>
        <w:t>Literatur</w:t>
      </w:r>
      <w:r w:rsidR="00890B93">
        <w:t>e</w:t>
      </w:r>
    </w:p>
    <w:p w14:paraId="217D0CEC" w14:textId="3B910053" w:rsidR="00890B93" w:rsidRPr="00890B93" w:rsidRDefault="00614BB0" w:rsidP="00890B93">
      <w:pPr>
        <w:pStyle w:val="EndNoteBibliography"/>
        <w:spacing w:after="0"/>
      </w:pPr>
      <w:r>
        <w:rPr>
          <w:rFonts w:eastAsiaTheme="minorEastAsia"/>
          <w:lang w:val="de-DE"/>
        </w:rPr>
        <w:fldChar w:fldCharType="begin"/>
      </w:r>
      <w:r w:rsidRPr="008D1C6A">
        <w:rPr>
          <w:rFonts w:eastAsiaTheme="minorEastAsia"/>
        </w:rPr>
        <w:instrText xml:space="preserve"> ADDIN EN.REFLIST </w:instrText>
      </w:r>
      <w:r>
        <w:rPr>
          <w:rFonts w:eastAsiaTheme="minorEastAsia"/>
          <w:lang w:val="de-DE"/>
        </w:rPr>
        <w:fldChar w:fldCharType="separate"/>
      </w:r>
      <w:r w:rsidR="00890B93" w:rsidRPr="00890B93">
        <w:t>1.</w:t>
      </w:r>
      <w:r w:rsidR="00890B93" w:rsidRPr="00890B93">
        <w:tab/>
        <w:t xml:space="preserve">Agency for Health Care Research and Quality Improvement. Quality indicator emprical methods - revised November 2014 [PDF]. 2015 [Available from: </w:t>
      </w:r>
      <w:hyperlink r:id="rId7" w:history="1">
        <w:r w:rsidR="00890B93" w:rsidRPr="00890B93">
          <w:rPr>
            <w:rStyle w:val="Hyperlink"/>
          </w:rPr>
          <w:t>http://www.qualityindicators.ahrq.gov/Downloads/Resources/Publications/2015/Empirical_Methods_2015.pdf</w:t>
        </w:r>
      </w:hyperlink>
      <w:r w:rsidR="00890B93" w:rsidRPr="00890B93">
        <w:t>.</w:t>
      </w:r>
    </w:p>
    <w:p w14:paraId="200F326A" w14:textId="77777777" w:rsidR="00890B93" w:rsidRPr="00890B93" w:rsidRDefault="00890B93" w:rsidP="00890B93">
      <w:pPr>
        <w:pStyle w:val="EndNoteBibliography"/>
        <w:spacing w:after="0"/>
      </w:pPr>
      <w:r w:rsidRPr="00890B93">
        <w:t>2.</w:t>
      </w:r>
      <w:r w:rsidRPr="00890B93">
        <w:tab/>
        <w:t>DeLong ER, Peterson ED, DeLong DM, Muhlbaier LH, Hackett S, Mark DB. Comparing risk-adjustment methods for provider profiling. Stat Med. 1997;16(23):2645-64.</w:t>
      </w:r>
    </w:p>
    <w:p w14:paraId="27F42969" w14:textId="77777777" w:rsidR="00890B93" w:rsidRPr="00890B93" w:rsidRDefault="00890B93" w:rsidP="00890B93">
      <w:pPr>
        <w:pStyle w:val="EndNoteBibliography"/>
      </w:pPr>
      <w:r w:rsidRPr="00890B93">
        <w:t>3.</w:t>
      </w:r>
      <w:r w:rsidRPr="00890B93">
        <w:tab/>
        <w:t>Schwarzkopf D, Fleischmann-Struzek C, Rüddel H, Reinhart K, Thomas-Rüddel DO. A risk-model for hospital mortality among patients with severe sepsis or septic shock based on German national administrative claims data. PLOS ONE. 2018;13(3):e0194371.</w:t>
      </w:r>
    </w:p>
    <w:p w14:paraId="71293B44" w14:textId="69817F0E" w:rsidR="00672659" w:rsidRPr="00672659" w:rsidRDefault="00614BB0" w:rsidP="00602576">
      <w:pPr>
        <w:pStyle w:val="PaperText"/>
        <w:rPr>
          <w:rFonts w:eastAsiaTheme="minorEastAsia"/>
          <w:lang w:val="de-DE"/>
        </w:rPr>
      </w:pPr>
      <w:r>
        <w:rPr>
          <w:rFonts w:eastAsiaTheme="minorEastAsia"/>
          <w:lang w:val="de-DE"/>
        </w:rPr>
        <w:fldChar w:fldCharType="end"/>
      </w:r>
    </w:p>
    <w:sectPr w:rsidR="00672659" w:rsidRPr="006726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66AB8" w14:textId="77777777" w:rsidR="0062532A" w:rsidRDefault="0062532A" w:rsidP="002A6943">
      <w:pPr>
        <w:spacing w:after="0" w:line="240" w:lineRule="auto"/>
      </w:pPr>
      <w:r>
        <w:separator/>
      </w:r>
    </w:p>
  </w:endnote>
  <w:endnote w:type="continuationSeparator" w:id="0">
    <w:p w14:paraId="1D14D0F8" w14:textId="77777777" w:rsidR="0062532A" w:rsidRDefault="0062532A" w:rsidP="002A6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6C0C7" w14:textId="77777777" w:rsidR="0062532A" w:rsidRDefault="0062532A" w:rsidP="002A6943">
      <w:pPr>
        <w:spacing w:after="0" w:line="240" w:lineRule="auto"/>
      </w:pPr>
      <w:r>
        <w:separator/>
      </w:r>
    </w:p>
  </w:footnote>
  <w:footnote w:type="continuationSeparator" w:id="0">
    <w:p w14:paraId="0ADCBA42" w14:textId="77777777" w:rsidR="0062532A" w:rsidRDefault="0062532A" w:rsidP="002A69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wrx2wv10rrw7eafstvp5fbwaxrszpsf9v5&quot;&gt;Literatur_Schwarzkopf-Saved-Saved-Converted&lt;record-ids&gt;&lt;item&gt;1161&lt;/item&gt;&lt;item&gt;2176&lt;/item&gt;&lt;item&gt;2246&lt;/item&gt;&lt;/record-ids&gt;&lt;/item&gt;&lt;/Libraries&gt;"/>
  </w:docVars>
  <w:rsids>
    <w:rsidRoot w:val="00AD6079"/>
    <w:rsid w:val="000C1A6D"/>
    <w:rsid w:val="001E6F71"/>
    <w:rsid w:val="002A6943"/>
    <w:rsid w:val="002D06DB"/>
    <w:rsid w:val="002D3832"/>
    <w:rsid w:val="003224F4"/>
    <w:rsid w:val="00362198"/>
    <w:rsid w:val="00381229"/>
    <w:rsid w:val="003B18C0"/>
    <w:rsid w:val="003E42BD"/>
    <w:rsid w:val="004E1F84"/>
    <w:rsid w:val="00524B16"/>
    <w:rsid w:val="005E0276"/>
    <w:rsid w:val="005E3497"/>
    <w:rsid w:val="00602576"/>
    <w:rsid w:val="00614BB0"/>
    <w:rsid w:val="0062532A"/>
    <w:rsid w:val="00633B1C"/>
    <w:rsid w:val="00663054"/>
    <w:rsid w:val="00672659"/>
    <w:rsid w:val="00682F44"/>
    <w:rsid w:val="006C3E49"/>
    <w:rsid w:val="006F0F70"/>
    <w:rsid w:val="00754FD3"/>
    <w:rsid w:val="0079304A"/>
    <w:rsid w:val="007E00B9"/>
    <w:rsid w:val="00890B93"/>
    <w:rsid w:val="008D1C6A"/>
    <w:rsid w:val="008D6C16"/>
    <w:rsid w:val="00916D94"/>
    <w:rsid w:val="0099448A"/>
    <w:rsid w:val="00A05D16"/>
    <w:rsid w:val="00A6469D"/>
    <w:rsid w:val="00A7228E"/>
    <w:rsid w:val="00AD6079"/>
    <w:rsid w:val="00D01F49"/>
    <w:rsid w:val="00D06B73"/>
    <w:rsid w:val="00E00ABE"/>
    <w:rsid w:val="00EA5ED0"/>
    <w:rsid w:val="00EE128D"/>
    <w:rsid w:val="00F74D3B"/>
    <w:rsid w:val="00FC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BDB044"/>
  <w15:docId w15:val="{E922CAF1-CD24-4A65-8E65-A2C097A12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aperHeading1">
    <w:name w:val="Paper Heading 1"/>
    <w:basedOn w:val="Standard"/>
    <w:next w:val="Standard"/>
    <w:link w:val="PaperHeading1Zchn"/>
    <w:qFormat/>
    <w:rsid w:val="00524B16"/>
    <w:pPr>
      <w:spacing w:before="360" w:after="240" w:line="480" w:lineRule="auto"/>
    </w:pPr>
    <w:rPr>
      <w:rFonts w:ascii="Times New Roman" w:hAnsi="Times New Roman" w:cs="Times New Roman"/>
      <w:b/>
      <w:lang w:val="en-US"/>
    </w:rPr>
  </w:style>
  <w:style w:type="character" w:customStyle="1" w:styleId="PaperHeading1Zchn">
    <w:name w:val="Paper Heading 1 Zchn"/>
    <w:basedOn w:val="Absatz-Standardschriftart"/>
    <w:link w:val="PaperHeading1"/>
    <w:rsid w:val="00524B16"/>
    <w:rPr>
      <w:rFonts w:ascii="Times New Roman" w:hAnsi="Times New Roman" w:cs="Times New Roman"/>
      <w:b/>
      <w:lang w:val="en-US"/>
    </w:rPr>
  </w:style>
  <w:style w:type="paragraph" w:customStyle="1" w:styleId="PaperHeading2">
    <w:name w:val="Paper Heading 2"/>
    <w:basedOn w:val="PaperHeading1"/>
    <w:next w:val="Standard"/>
    <w:link w:val="PaperHeading2Zchn"/>
    <w:qFormat/>
    <w:rsid w:val="00524B16"/>
    <w:rPr>
      <w:b w:val="0"/>
      <w:i/>
    </w:rPr>
  </w:style>
  <w:style w:type="character" w:customStyle="1" w:styleId="PaperHeading2Zchn">
    <w:name w:val="Paper Heading 2 Zchn"/>
    <w:basedOn w:val="PaperHeading1Zchn"/>
    <w:link w:val="PaperHeading2"/>
    <w:rsid w:val="00524B16"/>
    <w:rPr>
      <w:rFonts w:ascii="Times New Roman" w:hAnsi="Times New Roman" w:cs="Times New Roman"/>
      <w:b w:val="0"/>
      <w:i/>
      <w:lang w:val="en-US"/>
    </w:rPr>
  </w:style>
  <w:style w:type="paragraph" w:customStyle="1" w:styleId="PaperHeading3">
    <w:name w:val="Paper Heading 3"/>
    <w:basedOn w:val="PaperHeading2"/>
    <w:next w:val="Standard"/>
    <w:link w:val="PaperHeading3Zchn"/>
    <w:qFormat/>
    <w:rsid w:val="00524B16"/>
    <w:pPr>
      <w:spacing w:before="240" w:after="120"/>
    </w:pPr>
    <w:rPr>
      <w:i w:val="0"/>
      <w:u w:val="single"/>
    </w:rPr>
  </w:style>
  <w:style w:type="character" w:customStyle="1" w:styleId="PaperHeading3Zchn">
    <w:name w:val="Paper Heading 3 Zchn"/>
    <w:basedOn w:val="PaperHeading2Zchn"/>
    <w:link w:val="PaperHeading3"/>
    <w:rsid w:val="00524B16"/>
    <w:rPr>
      <w:rFonts w:ascii="Times New Roman" w:hAnsi="Times New Roman" w:cs="Times New Roman"/>
      <w:b w:val="0"/>
      <w:i w:val="0"/>
      <w:u w:val="single"/>
      <w:lang w:val="en-US"/>
    </w:rPr>
  </w:style>
  <w:style w:type="paragraph" w:customStyle="1" w:styleId="PaperText">
    <w:name w:val="Paper Text"/>
    <w:basedOn w:val="Textkrper"/>
    <w:link w:val="PaperTextZchn"/>
    <w:qFormat/>
    <w:rsid w:val="00524B16"/>
    <w:pPr>
      <w:spacing w:after="240" w:line="480" w:lineRule="auto"/>
    </w:pPr>
    <w:rPr>
      <w:rFonts w:ascii="Times New Roman" w:hAnsi="Times New Roman" w:cs="Times New Roman"/>
      <w:lang w:val="en-US"/>
    </w:rPr>
  </w:style>
  <w:style w:type="character" w:customStyle="1" w:styleId="PaperTextZchn">
    <w:name w:val="Paper Text Zchn"/>
    <w:basedOn w:val="TextkrperZchn"/>
    <w:link w:val="PaperText"/>
    <w:rsid w:val="00524B16"/>
    <w:rPr>
      <w:rFonts w:ascii="Times New Roman" w:hAnsi="Times New Roman" w:cs="Times New Roman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524B16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524B16"/>
  </w:style>
  <w:style w:type="paragraph" w:customStyle="1" w:styleId="PaperTabellen">
    <w:name w:val="Paper Tabellen"/>
    <w:basedOn w:val="PaperText"/>
    <w:qFormat/>
    <w:rsid w:val="00EE128D"/>
    <w:pPr>
      <w:spacing w:line="240" w:lineRule="auto"/>
    </w:pPr>
    <w:rPr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6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6079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A05D16"/>
    <w:rPr>
      <w:color w:val="808080"/>
    </w:rPr>
  </w:style>
  <w:style w:type="paragraph" w:customStyle="1" w:styleId="EndNoteBibliographyTitle">
    <w:name w:val="EndNote Bibliography Title"/>
    <w:basedOn w:val="Standard"/>
    <w:link w:val="EndNoteBibliographyTitleZchn"/>
    <w:rsid w:val="00614BB0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Zchn">
    <w:name w:val="EndNote Bibliography Title Zchn"/>
    <w:basedOn w:val="PaperTextZchn"/>
    <w:link w:val="EndNoteBibliographyTitle"/>
    <w:rsid w:val="00614BB0"/>
    <w:rPr>
      <w:rFonts w:ascii="Times New Roman" w:hAnsi="Times New Roman" w:cs="Times New Roman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614BB0"/>
    <w:pPr>
      <w:spacing w:line="24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Zchn">
    <w:name w:val="EndNote Bibliography Zchn"/>
    <w:basedOn w:val="PaperTextZchn"/>
    <w:link w:val="EndNoteBibliography"/>
    <w:rsid w:val="00614BB0"/>
    <w:rPr>
      <w:rFonts w:ascii="Times New Roman" w:hAnsi="Times New Roman" w:cs="Times New Roman"/>
      <w:noProof/>
      <w:lang w:val="en-US"/>
    </w:rPr>
  </w:style>
  <w:style w:type="character" w:styleId="Hyperlink">
    <w:name w:val="Hyperlink"/>
    <w:basedOn w:val="Absatz-Standardschriftart"/>
    <w:uiPriority w:val="99"/>
    <w:unhideWhenUsed/>
    <w:rsid w:val="00614BB0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2A69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6943"/>
  </w:style>
  <w:style w:type="paragraph" w:styleId="Fuzeile">
    <w:name w:val="footer"/>
    <w:basedOn w:val="Standard"/>
    <w:link w:val="FuzeileZchn"/>
    <w:uiPriority w:val="99"/>
    <w:unhideWhenUsed/>
    <w:rsid w:val="002A69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6943"/>
  </w:style>
  <w:style w:type="character" w:styleId="Kommentarzeichen">
    <w:name w:val="annotation reference"/>
    <w:basedOn w:val="Absatz-Standardschriftart"/>
    <w:uiPriority w:val="99"/>
    <w:semiHidden/>
    <w:unhideWhenUsed/>
    <w:rsid w:val="009944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9448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9448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944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944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qualityindicators.ahrq.gov/Downloads/Resources/Publications/2015/Empirical_Methods_2015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5378C-C888-452D-BCF9-BC8D252B9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Jena</Company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Schwarzkopf</dc:creator>
  <cp:lastModifiedBy>Schwarzkopf, Daniel</cp:lastModifiedBy>
  <cp:revision>4</cp:revision>
  <cp:lastPrinted>2017-12-01T17:21:00Z</cp:lastPrinted>
  <dcterms:created xsi:type="dcterms:W3CDTF">2021-09-07T13:49:00Z</dcterms:created>
  <dcterms:modified xsi:type="dcterms:W3CDTF">2021-11-22T20:55:00Z</dcterms:modified>
</cp:coreProperties>
</file>