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8FF6E" w14:textId="77777777" w:rsidR="008979BD" w:rsidRDefault="008979BD" w:rsidP="008979BD">
      <w:pPr>
        <w:spacing w:before="280" w:after="160"/>
        <w:outlineLvl w:val="0"/>
      </w:pPr>
      <w:r>
        <w:rPr>
          <w:b/>
          <w:sz w:val="26"/>
        </w:rPr>
        <w:t>Appendix A  Indicator system for the composite smart logistics development level</w:t>
      </w:r>
    </w:p>
    <w:p w14:paraId="5E0BF115" w14:textId="77777777" w:rsidR="008979BD" w:rsidRDefault="008979BD" w:rsidP="008979BD">
      <w:pPr>
        <w:spacing w:after="120" w:line="360" w:lineRule="auto"/>
        <w:ind w:firstLine="357"/>
        <w:jc w:val="both"/>
      </w:pPr>
      <w:r>
        <w:t>Table A1 reports the indicator system used to synthesize the composite smart logistics development level by entropy weighting. The system covers five dimensions—development environment, infrastructure, technology application, operational efficiency, and development benefits—with 24 indicators in total. Logistics carbon-emission intensity enters negatively, and all other indicators enter positively.</w:t>
      </w:r>
    </w:p>
    <w:p w14:paraId="0B2C8F78" w14:textId="77777777" w:rsidR="008979BD" w:rsidRDefault="008979BD" w:rsidP="008979BD">
      <w:pPr>
        <w:spacing w:after="80"/>
        <w:jc w:val="center"/>
      </w:pPr>
      <w:r>
        <w:rPr>
          <w:b/>
          <w:sz w:val="21"/>
        </w:rPr>
        <w:t>Appendix Table A1  Indicator system for measuring the composite smart logistics development level</w:t>
      </w:r>
    </w:p>
    <w:tbl>
      <w:tblPr>
        <w:tblW w:w="0" w:type="auto"/>
        <w:jc w:val="center"/>
        <w:tblBorders>
          <w:top w:val="single" w:sz="12" w:space="0" w:color="auto"/>
          <w:bottom w:val="single" w:sz="12" w:space="0" w:color="auto"/>
          <w:insideH w:val="single" w:sz="4" w:space="0" w:color="auto"/>
        </w:tblBorders>
        <w:tblLook w:val="04A0" w:firstRow="1" w:lastRow="0" w:firstColumn="1" w:lastColumn="0" w:noHBand="0" w:noVBand="1"/>
      </w:tblPr>
      <w:tblGrid>
        <w:gridCol w:w="2160"/>
        <w:gridCol w:w="2160"/>
        <w:gridCol w:w="2160"/>
        <w:gridCol w:w="2160"/>
      </w:tblGrid>
      <w:tr w:rsidR="008979BD" w14:paraId="2E4C945B" w14:textId="77777777" w:rsidTr="008429FD">
        <w:trPr>
          <w:jc w:val="center"/>
        </w:trPr>
        <w:tc>
          <w:tcPr>
            <w:tcW w:w="2160" w:type="dxa"/>
          </w:tcPr>
          <w:p w14:paraId="4788A418" w14:textId="77777777" w:rsidR="008979BD" w:rsidRDefault="008979BD" w:rsidP="008429FD">
            <w:pPr>
              <w:jc w:val="center"/>
            </w:pPr>
            <w:r>
              <w:rPr>
                <w:b/>
                <w:sz w:val="19"/>
              </w:rPr>
              <w:t>Dimension</w:t>
            </w:r>
          </w:p>
        </w:tc>
        <w:tc>
          <w:tcPr>
            <w:tcW w:w="2160" w:type="dxa"/>
          </w:tcPr>
          <w:p w14:paraId="600BFAB8" w14:textId="77777777" w:rsidR="008979BD" w:rsidRDefault="008979BD" w:rsidP="008429FD">
            <w:pPr>
              <w:jc w:val="center"/>
            </w:pPr>
            <w:r>
              <w:rPr>
                <w:b/>
                <w:sz w:val="19"/>
              </w:rPr>
              <w:t>Indicator</w:t>
            </w:r>
          </w:p>
        </w:tc>
        <w:tc>
          <w:tcPr>
            <w:tcW w:w="2160" w:type="dxa"/>
          </w:tcPr>
          <w:p w14:paraId="469E420E" w14:textId="77777777" w:rsidR="008979BD" w:rsidRDefault="008979BD" w:rsidP="008429FD">
            <w:pPr>
              <w:jc w:val="center"/>
            </w:pPr>
            <w:r>
              <w:rPr>
                <w:b/>
                <w:sz w:val="19"/>
              </w:rPr>
              <w:t>Computation</w:t>
            </w:r>
          </w:p>
        </w:tc>
        <w:tc>
          <w:tcPr>
            <w:tcW w:w="2160" w:type="dxa"/>
          </w:tcPr>
          <w:p w14:paraId="4058EB6D" w14:textId="77777777" w:rsidR="008979BD" w:rsidRDefault="008979BD" w:rsidP="008429FD">
            <w:pPr>
              <w:jc w:val="center"/>
            </w:pPr>
            <w:r>
              <w:rPr>
                <w:b/>
                <w:sz w:val="19"/>
              </w:rPr>
              <w:t>Property</w:t>
            </w:r>
          </w:p>
        </w:tc>
      </w:tr>
      <w:tr w:rsidR="008979BD" w14:paraId="0A84B84E" w14:textId="77777777" w:rsidTr="008429FD">
        <w:trPr>
          <w:jc w:val="center"/>
        </w:trPr>
        <w:tc>
          <w:tcPr>
            <w:tcW w:w="2160" w:type="dxa"/>
          </w:tcPr>
          <w:p w14:paraId="4AE44624" w14:textId="77777777" w:rsidR="008979BD" w:rsidRDefault="008979BD" w:rsidP="008429FD">
            <w:r>
              <w:rPr>
                <w:sz w:val="19"/>
              </w:rPr>
              <w:t>Development environment</w:t>
            </w:r>
          </w:p>
        </w:tc>
        <w:tc>
          <w:tcPr>
            <w:tcW w:w="2160" w:type="dxa"/>
          </w:tcPr>
          <w:p w14:paraId="3263C02D" w14:textId="77777777" w:rsidR="008979BD" w:rsidRDefault="008979BD" w:rsidP="008429FD">
            <w:pPr>
              <w:jc w:val="center"/>
            </w:pPr>
            <w:r>
              <w:rPr>
                <w:sz w:val="19"/>
              </w:rPr>
              <w:t>GDP per capita (CNY/person)</w:t>
            </w:r>
          </w:p>
        </w:tc>
        <w:tc>
          <w:tcPr>
            <w:tcW w:w="2160" w:type="dxa"/>
          </w:tcPr>
          <w:p w14:paraId="37D043CF" w14:textId="77777777" w:rsidR="008979BD" w:rsidRDefault="008979BD" w:rsidP="008429FD">
            <w:pPr>
              <w:jc w:val="center"/>
            </w:pPr>
            <w:r>
              <w:rPr>
                <w:sz w:val="19"/>
              </w:rPr>
              <w:t>GDP / year-end population</w:t>
            </w:r>
          </w:p>
        </w:tc>
        <w:tc>
          <w:tcPr>
            <w:tcW w:w="2160" w:type="dxa"/>
          </w:tcPr>
          <w:p w14:paraId="4BC61E49" w14:textId="77777777" w:rsidR="008979BD" w:rsidRDefault="008979BD" w:rsidP="008429FD">
            <w:pPr>
              <w:jc w:val="center"/>
            </w:pPr>
            <w:r>
              <w:rPr>
                <w:sz w:val="19"/>
              </w:rPr>
              <w:t>Positive</w:t>
            </w:r>
          </w:p>
        </w:tc>
      </w:tr>
      <w:tr w:rsidR="008979BD" w14:paraId="40967E42" w14:textId="77777777" w:rsidTr="008429FD">
        <w:trPr>
          <w:jc w:val="center"/>
        </w:trPr>
        <w:tc>
          <w:tcPr>
            <w:tcW w:w="2160" w:type="dxa"/>
          </w:tcPr>
          <w:p w14:paraId="209F3D63" w14:textId="77777777" w:rsidR="008979BD" w:rsidRDefault="008979BD" w:rsidP="008429FD">
            <w:r>
              <w:rPr>
                <w:sz w:val="19"/>
              </w:rPr>
              <w:t>Development environment</w:t>
            </w:r>
          </w:p>
        </w:tc>
        <w:tc>
          <w:tcPr>
            <w:tcW w:w="2160" w:type="dxa"/>
          </w:tcPr>
          <w:p w14:paraId="1802C985" w14:textId="77777777" w:rsidR="008979BD" w:rsidRDefault="008979BD" w:rsidP="008429FD">
            <w:pPr>
              <w:jc w:val="center"/>
            </w:pPr>
            <w:r>
              <w:rPr>
                <w:sz w:val="19"/>
              </w:rPr>
              <w:t>Logistics fixed-asset investment intensity (CNY/km²)</w:t>
            </w:r>
          </w:p>
        </w:tc>
        <w:tc>
          <w:tcPr>
            <w:tcW w:w="2160" w:type="dxa"/>
          </w:tcPr>
          <w:p w14:paraId="3DF9C2E4" w14:textId="77777777" w:rsidR="008979BD" w:rsidRDefault="008979BD" w:rsidP="008429FD">
            <w:pPr>
              <w:jc w:val="center"/>
            </w:pPr>
            <w:r>
              <w:rPr>
                <w:sz w:val="19"/>
              </w:rPr>
              <w:t>Fixed-asset investment in transport, storage and postal services / administrative area</w:t>
            </w:r>
          </w:p>
        </w:tc>
        <w:tc>
          <w:tcPr>
            <w:tcW w:w="2160" w:type="dxa"/>
          </w:tcPr>
          <w:p w14:paraId="31B67AEC" w14:textId="77777777" w:rsidR="008979BD" w:rsidRDefault="008979BD" w:rsidP="008429FD">
            <w:pPr>
              <w:jc w:val="center"/>
            </w:pPr>
            <w:r>
              <w:rPr>
                <w:sz w:val="19"/>
              </w:rPr>
              <w:t>Positive</w:t>
            </w:r>
          </w:p>
        </w:tc>
      </w:tr>
      <w:tr w:rsidR="008979BD" w14:paraId="5659CF39" w14:textId="77777777" w:rsidTr="008429FD">
        <w:trPr>
          <w:jc w:val="center"/>
        </w:trPr>
        <w:tc>
          <w:tcPr>
            <w:tcW w:w="2160" w:type="dxa"/>
          </w:tcPr>
          <w:p w14:paraId="6876919A" w14:textId="77777777" w:rsidR="008979BD" w:rsidRDefault="008979BD" w:rsidP="008429FD">
            <w:r>
              <w:rPr>
                <w:sz w:val="19"/>
              </w:rPr>
              <w:t>Development environment</w:t>
            </w:r>
          </w:p>
        </w:tc>
        <w:tc>
          <w:tcPr>
            <w:tcW w:w="2160" w:type="dxa"/>
          </w:tcPr>
          <w:p w14:paraId="27BCA2CE" w14:textId="77777777" w:rsidR="008979BD" w:rsidRDefault="008979BD" w:rsidP="008429FD">
            <w:pPr>
              <w:jc w:val="center"/>
            </w:pPr>
            <w:r>
              <w:rPr>
                <w:sz w:val="19"/>
              </w:rPr>
              <w:t>E-commerce penetration of enterprises (%)</w:t>
            </w:r>
          </w:p>
        </w:tc>
        <w:tc>
          <w:tcPr>
            <w:tcW w:w="2160" w:type="dxa"/>
          </w:tcPr>
          <w:p w14:paraId="0ABE74DB" w14:textId="77777777" w:rsidR="008979BD" w:rsidRDefault="008979BD" w:rsidP="008429FD">
            <w:pPr>
              <w:jc w:val="center"/>
            </w:pPr>
            <w:r>
              <w:rPr>
                <w:sz w:val="19"/>
              </w:rPr>
              <w:t>Number of enterprises with e-commerce transactions / all legal-person enterprises</w:t>
            </w:r>
          </w:p>
        </w:tc>
        <w:tc>
          <w:tcPr>
            <w:tcW w:w="2160" w:type="dxa"/>
          </w:tcPr>
          <w:p w14:paraId="4795BBFE" w14:textId="77777777" w:rsidR="008979BD" w:rsidRDefault="008979BD" w:rsidP="008429FD">
            <w:pPr>
              <w:jc w:val="center"/>
            </w:pPr>
            <w:r>
              <w:rPr>
                <w:sz w:val="19"/>
              </w:rPr>
              <w:t>Positive</w:t>
            </w:r>
          </w:p>
        </w:tc>
      </w:tr>
      <w:tr w:rsidR="008979BD" w14:paraId="63F6C133" w14:textId="77777777" w:rsidTr="008429FD">
        <w:trPr>
          <w:jc w:val="center"/>
        </w:trPr>
        <w:tc>
          <w:tcPr>
            <w:tcW w:w="2160" w:type="dxa"/>
          </w:tcPr>
          <w:p w14:paraId="4E6F9047" w14:textId="77777777" w:rsidR="008979BD" w:rsidRDefault="008979BD" w:rsidP="008429FD">
            <w:r>
              <w:rPr>
                <w:sz w:val="19"/>
              </w:rPr>
              <w:t>Development environment</w:t>
            </w:r>
          </w:p>
        </w:tc>
        <w:tc>
          <w:tcPr>
            <w:tcW w:w="2160" w:type="dxa"/>
          </w:tcPr>
          <w:p w14:paraId="28FED414" w14:textId="77777777" w:rsidR="008979BD" w:rsidRDefault="008979BD" w:rsidP="008429FD">
            <w:pPr>
              <w:jc w:val="center"/>
            </w:pPr>
            <w:r>
              <w:rPr>
                <w:sz w:val="19"/>
              </w:rPr>
              <w:t>Share of fiscal expenditure on logistics (%)</w:t>
            </w:r>
          </w:p>
        </w:tc>
        <w:tc>
          <w:tcPr>
            <w:tcW w:w="2160" w:type="dxa"/>
          </w:tcPr>
          <w:p w14:paraId="531AC667" w14:textId="77777777" w:rsidR="008979BD" w:rsidRDefault="008979BD" w:rsidP="008429FD">
            <w:pPr>
              <w:jc w:val="center"/>
            </w:pPr>
            <w:r>
              <w:rPr>
                <w:sz w:val="19"/>
              </w:rPr>
              <w:t>Fiscal expenditure on transport and postal services / local general public budget expenditure</w:t>
            </w:r>
          </w:p>
        </w:tc>
        <w:tc>
          <w:tcPr>
            <w:tcW w:w="2160" w:type="dxa"/>
          </w:tcPr>
          <w:p w14:paraId="453A2DAB" w14:textId="77777777" w:rsidR="008979BD" w:rsidRDefault="008979BD" w:rsidP="008429FD">
            <w:pPr>
              <w:jc w:val="center"/>
            </w:pPr>
            <w:r>
              <w:rPr>
                <w:sz w:val="19"/>
              </w:rPr>
              <w:t>Positive</w:t>
            </w:r>
          </w:p>
        </w:tc>
      </w:tr>
      <w:tr w:rsidR="008979BD" w14:paraId="7E51FA11" w14:textId="77777777" w:rsidTr="008429FD">
        <w:trPr>
          <w:jc w:val="center"/>
        </w:trPr>
        <w:tc>
          <w:tcPr>
            <w:tcW w:w="2160" w:type="dxa"/>
          </w:tcPr>
          <w:p w14:paraId="0C5EB7B1" w14:textId="77777777" w:rsidR="008979BD" w:rsidRDefault="008979BD" w:rsidP="008429FD">
            <w:r>
              <w:rPr>
                <w:sz w:val="19"/>
              </w:rPr>
              <w:t>Development environment</w:t>
            </w:r>
          </w:p>
        </w:tc>
        <w:tc>
          <w:tcPr>
            <w:tcW w:w="2160" w:type="dxa"/>
          </w:tcPr>
          <w:p w14:paraId="28B9C5F0" w14:textId="77777777" w:rsidR="008979BD" w:rsidRDefault="008979BD" w:rsidP="008429FD">
            <w:pPr>
              <w:jc w:val="center"/>
            </w:pPr>
            <w:r>
              <w:rPr>
                <w:sz w:val="19"/>
              </w:rPr>
              <w:t>Regional human capital level (%)</w:t>
            </w:r>
          </w:p>
        </w:tc>
        <w:tc>
          <w:tcPr>
            <w:tcW w:w="2160" w:type="dxa"/>
          </w:tcPr>
          <w:p w14:paraId="79EB4A59" w14:textId="77777777" w:rsidR="008979BD" w:rsidRDefault="008979BD" w:rsidP="008429FD">
            <w:pPr>
              <w:jc w:val="center"/>
            </w:pPr>
            <w:r>
              <w:rPr>
                <w:sz w:val="19"/>
              </w:rPr>
              <w:t>Students enrolled in regular higher education / year-end population</w:t>
            </w:r>
          </w:p>
        </w:tc>
        <w:tc>
          <w:tcPr>
            <w:tcW w:w="2160" w:type="dxa"/>
          </w:tcPr>
          <w:p w14:paraId="52902115" w14:textId="77777777" w:rsidR="008979BD" w:rsidRDefault="008979BD" w:rsidP="008429FD">
            <w:pPr>
              <w:jc w:val="center"/>
            </w:pPr>
            <w:r>
              <w:rPr>
                <w:sz w:val="19"/>
              </w:rPr>
              <w:t>Positive</w:t>
            </w:r>
          </w:p>
        </w:tc>
      </w:tr>
      <w:tr w:rsidR="008979BD" w14:paraId="1010D33E" w14:textId="77777777" w:rsidTr="008429FD">
        <w:trPr>
          <w:jc w:val="center"/>
        </w:trPr>
        <w:tc>
          <w:tcPr>
            <w:tcW w:w="2160" w:type="dxa"/>
          </w:tcPr>
          <w:p w14:paraId="29F35D68" w14:textId="77777777" w:rsidR="008979BD" w:rsidRDefault="008979BD" w:rsidP="008429FD">
            <w:r>
              <w:rPr>
                <w:sz w:val="19"/>
              </w:rPr>
              <w:t>Infrastructure</w:t>
            </w:r>
          </w:p>
        </w:tc>
        <w:tc>
          <w:tcPr>
            <w:tcW w:w="2160" w:type="dxa"/>
          </w:tcPr>
          <w:p w14:paraId="785322BD" w14:textId="77777777" w:rsidR="008979BD" w:rsidRDefault="008979BD" w:rsidP="008429FD">
            <w:pPr>
              <w:jc w:val="center"/>
            </w:pPr>
            <w:r>
              <w:rPr>
                <w:sz w:val="19"/>
              </w:rPr>
              <w:t>Road network density (km/km²)</w:t>
            </w:r>
          </w:p>
        </w:tc>
        <w:tc>
          <w:tcPr>
            <w:tcW w:w="2160" w:type="dxa"/>
          </w:tcPr>
          <w:p w14:paraId="2868A333" w14:textId="77777777" w:rsidR="008979BD" w:rsidRDefault="008979BD" w:rsidP="008429FD">
            <w:pPr>
              <w:jc w:val="center"/>
            </w:pPr>
            <w:r>
              <w:rPr>
                <w:sz w:val="19"/>
              </w:rPr>
              <w:t>Total road mileage / administrative area</w:t>
            </w:r>
          </w:p>
        </w:tc>
        <w:tc>
          <w:tcPr>
            <w:tcW w:w="2160" w:type="dxa"/>
          </w:tcPr>
          <w:p w14:paraId="51499CCA" w14:textId="77777777" w:rsidR="008979BD" w:rsidRDefault="008979BD" w:rsidP="008429FD">
            <w:pPr>
              <w:jc w:val="center"/>
            </w:pPr>
            <w:r>
              <w:rPr>
                <w:sz w:val="19"/>
              </w:rPr>
              <w:t>Positive</w:t>
            </w:r>
          </w:p>
        </w:tc>
      </w:tr>
      <w:tr w:rsidR="008979BD" w14:paraId="6EA1EBC3" w14:textId="77777777" w:rsidTr="008429FD">
        <w:trPr>
          <w:jc w:val="center"/>
        </w:trPr>
        <w:tc>
          <w:tcPr>
            <w:tcW w:w="2160" w:type="dxa"/>
          </w:tcPr>
          <w:p w14:paraId="7084AD8A" w14:textId="77777777" w:rsidR="008979BD" w:rsidRDefault="008979BD" w:rsidP="008429FD">
            <w:r>
              <w:rPr>
                <w:sz w:val="19"/>
              </w:rPr>
              <w:t>Infrastructure</w:t>
            </w:r>
          </w:p>
        </w:tc>
        <w:tc>
          <w:tcPr>
            <w:tcW w:w="2160" w:type="dxa"/>
          </w:tcPr>
          <w:p w14:paraId="2D0273EE" w14:textId="77777777" w:rsidR="008979BD" w:rsidRDefault="008979BD" w:rsidP="008429FD">
            <w:pPr>
              <w:jc w:val="center"/>
            </w:pPr>
            <w:r>
              <w:rPr>
                <w:sz w:val="19"/>
              </w:rPr>
              <w:t>Railway network density (km/km²)</w:t>
            </w:r>
          </w:p>
        </w:tc>
        <w:tc>
          <w:tcPr>
            <w:tcW w:w="2160" w:type="dxa"/>
          </w:tcPr>
          <w:p w14:paraId="52264169" w14:textId="77777777" w:rsidR="008979BD" w:rsidRDefault="008979BD" w:rsidP="008429FD">
            <w:pPr>
              <w:jc w:val="center"/>
            </w:pPr>
            <w:r>
              <w:rPr>
                <w:sz w:val="19"/>
              </w:rPr>
              <w:t>Railway mileage in operation / administrative area</w:t>
            </w:r>
          </w:p>
        </w:tc>
        <w:tc>
          <w:tcPr>
            <w:tcW w:w="2160" w:type="dxa"/>
          </w:tcPr>
          <w:p w14:paraId="20A82BB8" w14:textId="77777777" w:rsidR="008979BD" w:rsidRDefault="008979BD" w:rsidP="008429FD">
            <w:pPr>
              <w:jc w:val="center"/>
            </w:pPr>
            <w:r>
              <w:rPr>
                <w:sz w:val="19"/>
              </w:rPr>
              <w:t>Positive</w:t>
            </w:r>
          </w:p>
        </w:tc>
      </w:tr>
      <w:tr w:rsidR="008979BD" w14:paraId="2FC1B3B1" w14:textId="77777777" w:rsidTr="008429FD">
        <w:trPr>
          <w:jc w:val="center"/>
        </w:trPr>
        <w:tc>
          <w:tcPr>
            <w:tcW w:w="2160" w:type="dxa"/>
          </w:tcPr>
          <w:p w14:paraId="54DE8157" w14:textId="77777777" w:rsidR="008979BD" w:rsidRDefault="008979BD" w:rsidP="008429FD">
            <w:r>
              <w:rPr>
                <w:sz w:val="19"/>
              </w:rPr>
              <w:t>Infrastructure</w:t>
            </w:r>
          </w:p>
        </w:tc>
        <w:tc>
          <w:tcPr>
            <w:tcW w:w="2160" w:type="dxa"/>
          </w:tcPr>
          <w:p w14:paraId="7714B6DA" w14:textId="77777777" w:rsidR="008979BD" w:rsidRDefault="008979BD" w:rsidP="008429FD">
            <w:pPr>
              <w:jc w:val="center"/>
            </w:pPr>
            <w:r>
              <w:rPr>
                <w:sz w:val="19"/>
              </w:rPr>
              <w:t>Service outlet density (per 10,000 km²)</w:t>
            </w:r>
          </w:p>
        </w:tc>
        <w:tc>
          <w:tcPr>
            <w:tcW w:w="2160" w:type="dxa"/>
          </w:tcPr>
          <w:p w14:paraId="70B7B7A3" w14:textId="77777777" w:rsidR="008979BD" w:rsidRDefault="008979BD" w:rsidP="008429FD">
            <w:pPr>
              <w:jc w:val="center"/>
            </w:pPr>
            <w:r>
              <w:rPr>
                <w:sz w:val="19"/>
              </w:rPr>
              <w:t>Number of logistics outlets / administrative area</w:t>
            </w:r>
          </w:p>
        </w:tc>
        <w:tc>
          <w:tcPr>
            <w:tcW w:w="2160" w:type="dxa"/>
          </w:tcPr>
          <w:p w14:paraId="530CDE87" w14:textId="77777777" w:rsidR="008979BD" w:rsidRDefault="008979BD" w:rsidP="008429FD">
            <w:pPr>
              <w:jc w:val="center"/>
            </w:pPr>
            <w:r>
              <w:rPr>
                <w:sz w:val="19"/>
              </w:rPr>
              <w:t>Positive</w:t>
            </w:r>
          </w:p>
        </w:tc>
      </w:tr>
      <w:tr w:rsidR="008979BD" w14:paraId="1A36D938" w14:textId="77777777" w:rsidTr="008429FD">
        <w:trPr>
          <w:jc w:val="center"/>
        </w:trPr>
        <w:tc>
          <w:tcPr>
            <w:tcW w:w="2160" w:type="dxa"/>
          </w:tcPr>
          <w:p w14:paraId="35174E31" w14:textId="77777777" w:rsidR="008979BD" w:rsidRDefault="008979BD" w:rsidP="008429FD">
            <w:r>
              <w:rPr>
                <w:sz w:val="19"/>
              </w:rPr>
              <w:lastRenderedPageBreak/>
              <w:t>Infrastructure</w:t>
            </w:r>
          </w:p>
        </w:tc>
        <w:tc>
          <w:tcPr>
            <w:tcW w:w="2160" w:type="dxa"/>
          </w:tcPr>
          <w:p w14:paraId="5A1F6CD0" w14:textId="77777777" w:rsidR="008979BD" w:rsidRDefault="008979BD" w:rsidP="008429FD">
            <w:pPr>
              <w:jc w:val="center"/>
            </w:pPr>
            <w:r>
              <w:rPr>
                <w:sz w:val="19"/>
              </w:rPr>
              <w:t>Broadband access port density (per 10,000 persons)</w:t>
            </w:r>
          </w:p>
        </w:tc>
        <w:tc>
          <w:tcPr>
            <w:tcW w:w="2160" w:type="dxa"/>
          </w:tcPr>
          <w:p w14:paraId="029E5E8D" w14:textId="77777777" w:rsidR="008979BD" w:rsidRDefault="008979BD" w:rsidP="008429FD">
            <w:pPr>
              <w:jc w:val="center"/>
            </w:pPr>
            <w:r>
              <w:rPr>
                <w:sz w:val="19"/>
              </w:rPr>
              <w:t>Internet broadband access ports / year-end population</w:t>
            </w:r>
          </w:p>
        </w:tc>
        <w:tc>
          <w:tcPr>
            <w:tcW w:w="2160" w:type="dxa"/>
          </w:tcPr>
          <w:p w14:paraId="109E0BC9" w14:textId="77777777" w:rsidR="008979BD" w:rsidRDefault="008979BD" w:rsidP="008429FD">
            <w:pPr>
              <w:jc w:val="center"/>
            </w:pPr>
            <w:r>
              <w:rPr>
                <w:sz w:val="19"/>
              </w:rPr>
              <w:t>Positive</w:t>
            </w:r>
          </w:p>
        </w:tc>
      </w:tr>
      <w:tr w:rsidR="008979BD" w14:paraId="1B4E5D3A" w14:textId="77777777" w:rsidTr="008429FD">
        <w:trPr>
          <w:jc w:val="center"/>
        </w:trPr>
        <w:tc>
          <w:tcPr>
            <w:tcW w:w="2160" w:type="dxa"/>
          </w:tcPr>
          <w:p w14:paraId="4537F07E" w14:textId="77777777" w:rsidR="008979BD" w:rsidRDefault="008979BD" w:rsidP="008429FD">
            <w:r>
              <w:rPr>
                <w:sz w:val="19"/>
              </w:rPr>
              <w:t>Infrastructure</w:t>
            </w:r>
          </w:p>
        </w:tc>
        <w:tc>
          <w:tcPr>
            <w:tcW w:w="2160" w:type="dxa"/>
          </w:tcPr>
          <w:p w14:paraId="0E11DFA1" w14:textId="77777777" w:rsidR="008979BD" w:rsidRDefault="008979BD" w:rsidP="008429FD">
            <w:pPr>
              <w:jc w:val="center"/>
            </w:pPr>
            <w:r>
              <w:rPr>
                <w:sz w:val="19"/>
              </w:rPr>
              <w:t>Mobile internet base-station density (per 10,000 persons)</w:t>
            </w:r>
          </w:p>
        </w:tc>
        <w:tc>
          <w:tcPr>
            <w:tcW w:w="2160" w:type="dxa"/>
          </w:tcPr>
          <w:p w14:paraId="5EBCCC66" w14:textId="77777777" w:rsidR="008979BD" w:rsidRDefault="008979BD" w:rsidP="008429FD">
            <w:pPr>
              <w:jc w:val="center"/>
            </w:pPr>
            <w:r>
              <w:rPr>
                <w:sz w:val="19"/>
              </w:rPr>
              <w:t>Mobile phone users / year-end population</w:t>
            </w:r>
          </w:p>
        </w:tc>
        <w:tc>
          <w:tcPr>
            <w:tcW w:w="2160" w:type="dxa"/>
          </w:tcPr>
          <w:p w14:paraId="0BFA45A4" w14:textId="77777777" w:rsidR="008979BD" w:rsidRDefault="008979BD" w:rsidP="008429FD">
            <w:pPr>
              <w:jc w:val="center"/>
            </w:pPr>
            <w:r>
              <w:rPr>
                <w:sz w:val="19"/>
              </w:rPr>
              <w:t>Positive</w:t>
            </w:r>
          </w:p>
        </w:tc>
      </w:tr>
      <w:tr w:rsidR="008979BD" w14:paraId="18A1CA83" w14:textId="77777777" w:rsidTr="008429FD">
        <w:trPr>
          <w:jc w:val="center"/>
        </w:trPr>
        <w:tc>
          <w:tcPr>
            <w:tcW w:w="2160" w:type="dxa"/>
          </w:tcPr>
          <w:p w14:paraId="285B39D6" w14:textId="77777777" w:rsidR="008979BD" w:rsidRDefault="008979BD" w:rsidP="008429FD">
            <w:r>
              <w:rPr>
                <w:sz w:val="19"/>
              </w:rPr>
              <w:t>Technology application</w:t>
            </w:r>
          </w:p>
        </w:tc>
        <w:tc>
          <w:tcPr>
            <w:tcW w:w="2160" w:type="dxa"/>
          </w:tcPr>
          <w:p w14:paraId="4EC69052" w14:textId="77777777" w:rsidR="008979BD" w:rsidRDefault="008979BD" w:rsidP="008429FD">
            <w:pPr>
              <w:jc w:val="center"/>
            </w:pPr>
            <w:r>
              <w:rPr>
                <w:sz w:val="19"/>
              </w:rPr>
              <w:t>Digital input intensity of logistics (10,000 CNY per 100 million CNY)</w:t>
            </w:r>
          </w:p>
        </w:tc>
        <w:tc>
          <w:tcPr>
            <w:tcW w:w="2160" w:type="dxa"/>
          </w:tcPr>
          <w:p w14:paraId="329B81DE" w14:textId="77777777" w:rsidR="008979BD" w:rsidRDefault="008979BD" w:rsidP="008429FD">
            <w:pPr>
              <w:jc w:val="center"/>
            </w:pPr>
            <w:r>
              <w:rPr>
                <w:sz w:val="19"/>
              </w:rPr>
              <w:t>Fiscal expenditure on transport and postal services / e-commerce sales revenue</w:t>
            </w:r>
          </w:p>
        </w:tc>
        <w:tc>
          <w:tcPr>
            <w:tcW w:w="2160" w:type="dxa"/>
          </w:tcPr>
          <w:p w14:paraId="12D1E097" w14:textId="77777777" w:rsidR="008979BD" w:rsidRDefault="008979BD" w:rsidP="008429FD">
            <w:pPr>
              <w:jc w:val="center"/>
            </w:pPr>
            <w:r>
              <w:rPr>
                <w:sz w:val="19"/>
              </w:rPr>
              <w:t>Positive</w:t>
            </w:r>
          </w:p>
        </w:tc>
      </w:tr>
      <w:tr w:rsidR="008979BD" w14:paraId="4881B001" w14:textId="77777777" w:rsidTr="008429FD">
        <w:trPr>
          <w:jc w:val="center"/>
        </w:trPr>
        <w:tc>
          <w:tcPr>
            <w:tcW w:w="2160" w:type="dxa"/>
          </w:tcPr>
          <w:p w14:paraId="11E2CC46" w14:textId="77777777" w:rsidR="008979BD" w:rsidRDefault="008979BD" w:rsidP="008429FD">
            <w:r>
              <w:rPr>
                <w:sz w:val="19"/>
              </w:rPr>
              <w:t>Technology application</w:t>
            </w:r>
          </w:p>
        </w:tc>
        <w:tc>
          <w:tcPr>
            <w:tcW w:w="2160" w:type="dxa"/>
          </w:tcPr>
          <w:p w14:paraId="44C35440" w14:textId="77777777" w:rsidR="008979BD" w:rsidRDefault="008979BD" w:rsidP="008429FD">
            <w:pPr>
              <w:jc w:val="center"/>
            </w:pPr>
            <w:r>
              <w:rPr>
                <w:sz w:val="19"/>
              </w:rPr>
              <w:t>Freight platform penetration (%)</w:t>
            </w:r>
          </w:p>
        </w:tc>
        <w:tc>
          <w:tcPr>
            <w:tcW w:w="2160" w:type="dxa"/>
          </w:tcPr>
          <w:p w14:paraId="1483E548" w14:textId="77777777" w:rsidR="008979BD" w:rsidRDefault="008979BD" w:rsidP="008429FD">
            <w:pPr>
              <w:jc w:val="center"/>
            </w:pPr>
            <w:r>
              <w:rPr>
                <w:sz w:val="19"/>
              </w:rPr>
              <w:t>Road freight turnover / total freight turnover</w:t>
            </w:r>
          </w:p>
        </w:tc>
        <w:tc>
          <w:tcPr>
            <w:tcW w:w="2160" w:type="dxa"/>
          </w:tcPr>
          <w:p w14:paraId="22FFC051" w14:textId="77777777" w:rsidR="008979BD" w:rsidRDefault="008979BD" w:rsidP="008429FD">
            <w:pPr>
              <w:jc w:val="center"/>
            </w:pPr>
            <w:r>
              <w:rPr>
                <w:sz w:val="19"/>
              </w:rPr>
              <w:t>Positive</w:t>
            </w:r>
          </w:p>
        </w:tc>
      </w:tr>
      <w:tr w:rsidR="008979BD" w14:paraId="1DF9DA85" w14:textId="77777777" w:rsidTr="008429FD">
        <w:trPr>
          <w:jc w:val="center"/>
        </w:trPr>
        <w:tc>
          <w:tcPr>
            <w:tcW w:w="2160" w:type="dxa"/>
          </w:tcPr>
          <w:p w14:paraId="3249E244" w14:textId="77777777" w:rsidR="008979BD" w:rsidRDefault="008979BD" w:rsidP="008429FD">
            <w:r>
              <w:rPr>
                <w:sz w:val="19"/>
              </w:rPr>
              <w:t>Technology application</w:t>
            </w:r>
          </w:p>
        </w:tc>
        <w:tc>
          <w:tcPr>
            <w:tcW w:w="2160" w:type="dxa"/>
          </w:tcPr>
          <w:p w14:paraId="577A249E" w14:textId="77777777" w:rsidR="008979BD" w:rsidRDefault="008979BD" w:rsidP="008429FD">
            <w:pPr>
              <w:jc w:val="center"/>
            </w:pPr>
            <w:r>
              <w:rPr>
                <w:sz w:val="19"/>
              </w:rPr>
              <w:t>E-commerce logistics activity</w:t>
            </w:r>
          </w:p>
        </w:tc>
        <w:tc>
          <w:tcPr>
            <w:tcW w:w="2160" w:type="dxa"/>
          </w:tcPr>
          <w:p w14:paraId="03DB9A0B" w14:textId="77777777" w:rsidR="008979BD" w:rsidRDefault="008979BD" w:rsidP="008429FD">
            <w:pPr>
              <w:jc w:val="center"/>
            </w:pPr>
            <w:r>
              <w:rPr>
                <w:sz w:val="19"/>
              </w:rPr>
              <w:t>ln(parcel business volume / online retail sales)</w:t>
            </w:r>
          </w:p>
        </w:tc>
        <w:tc>
          <w:tcPr>
            <w:tcW w:w="2160" w:type="dxa"/>
          </w:tcPr>
          <w:p w14:paraId="1AB146E7" w14:textId="77777777" w:rsidR="008979BD" w:rsidRDefault="008979BD" w:rsidP="008429FD">
            <w:pPr>
              <w:jc w:val="center"/>
            </w:pPr>
            <w:r>
              <w:rPr>
                <w:sz w:val="19"/>
              </w:rPr>
              <w:t>Positive</w:t>
            </w:r>
          </w:p>
        </w:tc>
      </w:tr>
      <w:tr w:rsidR="008979BD" w14:paraId="2266AD62" w14:textId="77777777" w:rsidTr="008429FD">
        <w:trPr>
          <w:jc w:val="center"/>
        </w:trPr>
        <w:tc>
          <w:tcPr>
            <w:tcW w:w="2160" w:type="dxa"/>
          </w:tcPr>
          <w:p w14:paraId="1540E88D" w14:textId="77777777" w:rsidR="008979BD" w:rsidRDefault="008979BD" w:rsidP="008429FD">
            <w:r>
              <w:rPr>
                <w:sz w:val="19"/>
              </w:rPr>
              <w:t>Technology application</w:t>
            </w:r>
          </w:p>
        </w:tc>
        <w:tc>
          <w:tcPr>
            <w:tcW w:w="2160" w:type="dxa"/>
          </w:tcPr>
          <w:p w14:paraId="76262097" w14:textId="77777777" w:rsidR="008979BD" w:rsidRDefault="008979BD" w:rsidP="008429FD">
            <w:pPr>
              <w:jc w:val="center"/>
            </w:pPr>
            <w:r>
              <w:rPr>
                <w:sz w:val="19"/>
              </w:rPr>
              <w:t>Cold-chain intelligence rate (%)</w:t>
            </w:r>
          </w:p>
        </w:tc>
        <w:tc>
          <w:tcPr>
            <w:tcW w:w="2160" w:type="dxa"/>
          </w:tcPr>
          <w:p w14:paraId="2FBD49FA" w14:textId="77777777" w:rsidR="008979BD" w:rsidRDefault="008979BD" w:rsidP="008429FD">
            <w:pPr>
              <w:jc w:val="center"/>
            </w:pPr>
            <w:r>
              <w:rPr>
                <w:sz w:val="19"/>
              </w:rPr>
              <w:t>Special-purpose cargo trucks in operation / total cargo trucks in operation</w:t>
            </w:r>
          </w:p>
        </w:tc>
        <w:tc>
          <w:tcPr>
            <w:tcW w:w="2160" w:type="dxa"/>
          </w:tcPr>
          <w:p w14:paraId="0BCBBEE2" w14:textId="77777777" w:rsidR="008979BD" w:rsidRDefault="008979BD" w:rsidP="008429FD">
            <w:pPr>
              <w:jc w:val="center"/>
            </w:pPr>
            <w:r>
              <w:rPr>
                <w:sz w:val="19"/>
              </w:rPr>
              <w:t>Positive</w:t>
            </w:r>
          </w:p>
        </w:tc>
      </w:tr>
      <w:tr w:rsidR="008979BD" w14:paraId="747FE6AA" w14:textId="77777777" w:rsidTr="008429FD">
        <w:trPr>
          <w:jc w:val="center"/>
        </w:trPr>
        <w:tc>
          <w:tcPr>
            <w:tcW w:w="2160" w:type="dxa"/>
          </w:tcPr>
          <w:p w14:paraId="581654CD" w14:textId="77777777" w:rsidR="008979BD" w:rsidRDefault="008979BD" w:rsidP="008429FD">
            <w:r>
              <w:rPr>
                <w:sz w:val="19"/>
              </w:rPr>
              <w:t>Technology application</w:t>
            </w:r>
          </w:p>
        </w:tc>
        <w:tc>
          <w:tcPr>
            <w:tcW w:w="2160" w:type="dxa"/>
          </w:tcPr>
          <w:p w14:paraId="6BC03242" w14:textId="77777777" w:rsidR="008979BD" w:rsidRDefault="008979BD" w:rsidP="008429FD">
            <w:pPr>
              <w:jc w:val="center"/>
            </w:pPr>
            <w:r>
              <w:rPr>
                <w:sz w:val="19"/>
              </w:rPr>
              <w:t>Logistics technology-innovation density (patents per 10,000 persons)</w:t>
            </w:r>
          </w:p>
        </w:tc>
        <w:tc>
          <w:tcPr>
            <w:tcW w:w="2160" w:type="dxa"/>
          </w:tcPr>
          <w:p w14:paraId="4754FC7F" w14:textId="77777777" w:rsidR="008979BD" w:rsidRDefault="008979BD" w:rsidP="008429FD">
            <w:pPr>
              <w:jc w:val="center"/>
            </w:pPr>
            <w:r>
              <w:rPr>
                <w:sz w:val="19"/>
              </w:rPr>
              <w:t>Total domestic patent grants / employment in transport, storage and postal services</w:t>
            </w:r>
          </w:p>
        </w:tc>
        <w:tc>
          <w:tcPr>
            <w:tcW w:w="2160" w:type="dxa"/>
          </w:tcPr>
          <w:p w14:paraId="22676AFB" w14:textId="77777777" w:rsidR="008979BD" w:rsidRDefault="008979BD" w:rsidP="008429FD">
            <w:pPr>
              <w:jc w:val="center"/>
            </w:pPr>
            <w:r>
              <w:rPr>
                <w:sz w:val="19"/>
              </w:rPr>
              <w:t>Positive</w:t>
            </w:r>
          </w:p>
        </w:tc>
      </w:tr>
      <w:tr w:rsidR="008979BD" w14:paraId="34382FC3" w14:textId="77777777" w:rsidTr="008429FD">
        <w:trPr>
          <w:jc w:val="center"/>
        </w:trPr>
        <w:tc>
          <w:tcPr>
            <w:tcW w:w="2160" w:type="dxa"/>
          </w:tcPr>
          <w:p w14:paraId="69C0EC89" w14:textId="77777777" w:rsidR="008979BD" w:rsidRDefault="008979BD" w:rsidP="008429FD">
            <w:r>
              <w:rPr>
                <w:sz w:val="19"/>
              </w:rPr>
              <w:t>Technology application</w:t>
            </w:r>
          </w:p>
        </w:tc>
        <w:tc>
          <w:tcPr>
            <w:tcW w:w="2160" w:type="dxa"/>
          </w:tcPr>
          <w:p w14:paraId="293F2973" w14:textId="77777777" w:rsidR="008979BD" w:rsidRDefault="008979BD" w:rsidP="008429FD">
            <w:pPr>
              <w:jc w:val="center"/>
            </w:pPr>
            <w:r>
              <w:rPr>
                <w:sz w:val="19"/>
              </w:rPr>
              <w:t>Digital infrastructure support for logistics (%)</w:t>
            </w:r>
          </w:p>
        </w:tc>
        <w:tc>
          <w:tcPr>
            <w:tcW w:w="2160" w:type="dxa"/>
          </w:tcPr>
          <w:p w14:paraId="7725E6E8" w14:textId="77777777" w:rsidR="008979BD" w:rsidRDefault="008979BD" w:rsidP="008429FD">
            <w:pPr>
              <w:jc w:val="center"/>
            </w:pPr>
            <w:r>
              <w:rPr>
                <w:sz w:val="19"/>
              </w:rPr>
              <w:t>Fixed-asset investment in information transmission, software and IT services / fixed-asset investment in transport, storage and postal services</w:t>
            </w:r>
          </w:p>
        </w:tc>
        <w:tc>
          <w:tcPr>
            <w:tcW w:w="2160" w:type="dxa"/>
          </w:tcPr>
          <w:p w14:paraId="04185316" w14:textId="77777777" w:rsidR="008979BD" w:rsidRDefault="008979BD" w:rsidP="008429FD">
            <w:pPr>
              <w:jc w:val="center"/>
            </w:pPr>
            <w:r>
              <w:rPr>
                <w:sz w:val="19"/>
              </w:rPr>
              <w:t>Positive</w:t>
            </w:r>
          </w:p>
        </w:tc>
      </w:tr>
      <w:tr w:rsidR="008979BD" w14:paraId="20B01A80" w14:textId="77777777" w:rsidTr="008429FD">
        <w:trPr>
          <w:jc w:val="center"/>
        </w:trPr>
        <w:tc>
          <w:tcPr>
            <w:tcW w:w="2160" w:type="dxa"/>
          </w:tcPr>
          <w:p w14:paraId="6A8D0B3A" w14:textId="77777777" w:rsidR="008979BD" w:rsidRDefault="008979BD" w:rsidP="008429FD">
            <w:r>
              <w:rPr>
                <w:sz w:val="19"/>
              </w:rPr>
              <w:t>Operational efficiency</w:t>
            </w:r>
          </w:p>
        </w:tc>
        <w:tc>
          <w:tcPr>
            <w:tcW w:w="2160" w:type="dxa"/>
          </w:tcPr>
          <w:p w14:paraId="3FF4A389" w14:textId="77777777" w:rsidR="008979BD" w:rsidRDefault="008979BD" w:rsidP="008429FD">
            <w:pPr>
              <w:jc w:val="center"/>
            </w:pPr>
            <w:r>
              <w:rPr>
                <w:sz w:val="19"/>
              </w:rPr>
              <w:t>Labor productivity of logistics (10,000 CNY/person)</w:t>
            </w:r>
          </w:p>
        </w:tc>
        <w:tc>
          <w:tcPr>
            <w:tcW w:w="2160" w:type="dxa"/>
          </w:tcPr>
          <w:p w14:paraId="27329517" w14:textId="77777777" w:rsidR="008979BD" w:rsidRDefault="008979BD" w:rsidP="008429FD">
            <w:pPr>
              <w:jc w:val="center"/>
            </w:pPr>
            <w:r>
              <w:rPr>
                <w:sz w:val="19"/>
              </w:rPr>
              <w:t>Value added of transport, storage and postal services / employment in the sector</w:t>
            </w:r>
          </w:p>
        </w:tc>
        <w:tc>
          <w:tcPr>
            <w:tcW w:w="2160" w:type="dxa"/>
          </w:tcPr>
          <w:p w14:paraId="5A8E506C" w14:textId="77777777" w:rsidR="008979BD" w:rsidRDefault="008979BD" w:rsidP="008429FD">
            <w:pPr>
              <w:jc w:val="center"/>
            </w:pPr>
            <w:r>
              <w:rPr>
                <w:sz w:val="19"/>
              </w:rPr>
              <w:t>Positive</w:t>
            </w:r>
          </w:p>
        </w:tc>
      </w:tr>
      <w:tr w:rsidR="008979BD" w14:paraId="304E16D1" w14:textId="77777777" w:rsidTr="008429FD">
        <w:trPr>
          <w:jc w:val="center"/>
        </w:trPr>
        <w:tc>
          <w:tcPr>
            <w:tcW w:w="2160" w:type="dxa"/>
          </w:tcPr>
          <w:p w14:paraId="1EF55D1F" w14:textId="77777777" w:rsidR="008979BD" w:rsidRDefault="008979BD" w:rsidP="008429FD">
            <w:r>
              <w:rPr>
                <w:sz w:val="19"/>
              </w:rPr>
              <w:t>Operational efficiency</w:t>
            </w:r>
          </w:p>
        </w:tc>
        <w:tc>
          <w:tcPr>
            <w:tcW w:w="2160" w:type="dxa"/>
          </w:tcPr>
          <w:p w14:paraId="46021FB7" w14:textId="77777777" w:rsidR="008979BD" w:rsidRDefault="008979BD" w:rsidP="008429FD">
            <w:pPr>
              <w:jc w:val="center"/>
            </w:pPr>
            <w:r>
              <w:rPr>
                <w:sz w:val="19"/>
              </w:rPr>
              <w:t>Courier revenue efficiency (CNY/parcel)</w:t>
            </w:r>
          </w:p>
        </w:tc>
        <w:tc>
          <w:tcPr>
            <w:tcW w:w="2160" w:type="dxa"/>
          </w:tcPr>
          <w:p w14:paraId="5A8784D3" w14:textId="77777777" w:rsidR="008979BD" w:rsidRDefault="008979BD" w:rsidP="008429FD">
            <w:pPr>
              <w:jc w:val="center"/>
            </w:pPr>
            <w:r>
              <w:rPr>
                <w:sz w:val="19"/>
              </w:rPr>
              <w:t>Courier business revenue / parcel business volume</w:t>
            </w:r>
          </w:p>
        </w:tc>
        <w:tc>
          <w:tcPr>
            <w:tcW w:w="2160" w:type="dxa"/>
          </w:tcPr>
          <w:p w14:paraId="1BFF6839" w14:textId="77777777" w:rsidR="008979BD" w:rsidRDefault="008979BD" w:rsidP="008429FD">
            <w:pPr>
              <w:jc w:val="center"/>
            </w:pPr>
            <w:r>
              <w:rPr>
                <w:sz w:val="19"/>
              </w:rPr>
              <w:t>Positive</w:t>
            </w:r>
          </w:p>
        </w:tc>
      </w:tr>
      <w:tr w:rsidR="008979BD" w14:paraId="4DC237BF" w14:textId="77777777" w:rsidTr="008429FD">
        <w:trPr>
          <w:jc w:val="center"/>
        </w:trPr>
        <w:tc>
          <w:tcPr>
            <w:tcW w:w="2160" w:type="dxa"/>
          </w:tcPr>
          <w:p w14:paraId="3ECE2E09" w14:textId="77777777" w:rsidR="008979BD" w:rsidRDefault="008979BD" w:rsidP="008429FD">
            <w:r>
              <w:rPr>
                <w:sz w:val="19"/>
              </w:rPr>
              <w:t>Operational efficiency</w:t>
            </w:r>
          </w:p>
        </w:tc>
        <w:tc>
          <w:tcPr>
            <w:tcW w:w="2160" w:type="dxa"/>
          </w:tcPr>
          <w:p w14:paraId="06C8EE82" w14:textId="77777777" w:rsidR="008979BD" w:rsidRDefault="008979BD" w:rsidP="008429FD">
            <w:pPr>
              <w:jc w:val="center"/>
            </w:pPr>
            <w:r>
              <w:rPr>
                <w:sz w:val="19"/>
              </w:rPr>
              <w:t>Freight turnover per logistics firm (10,000 ton-km per firm)</w:t>
            </w:r>
          </w:p>
        </w:tc>
        <w:tc>
          <w:tcPr>
            <w:tcW w:w="2160" w:type="dxa"/>
          </w:tcPr>
          <w:p w14:paraId="65729F88" w14:textId="77777777" w:rsidR="008979BD" w:rsidRDefault="008979BD" w:rsidP="008429FD">
            <w:pPr>
              <w:jc w:val="center"/>
            </w:pPr>
            <w:r>
              <w:rPr>
                <w:sz w:val="19"/>
              </w:rPr>
              <w:t>Total freight turnover / number of transport, storage and postal legal-person units</w:t>
            </w:r>
          </w:p>
        </w:tc>
        <w:tc>
          <w:tcPr>
            <w:tcW w:w="2160" w:type="dxa"/>
          </w:tcPr>
          <w:p w14:paraId="795F07FC" w14:textId="77777777" w:rsidR="008979BD" w:rsidRDefault="008979BD" w:rsidP="008429FD">
            <w:pPr>
              <w:jc w:val="center"/>
            </w:pPr>
            <w:r>
              <w:rPr>
                <w:sz w:val="19"/>
              </w:rPr>
              <w:t>Positive</w:t>
            </w:r>
          </w:p>
        </w:tc>
      </w:tr>
      <w:tr w:rsidR="008979BD" w14:paraId="7FF1A079" w14:textId="77777777" w:rsidTr="008429FD">
        <w:trPr>
          <w:jc w:val="center"/>
        </w:trPr>
        <w:tc>
          <w:tcPr>
            <w:tcW w:w="2160" w:type="dxa"/>
          </w:tcPr>
          <w:p w14:paraId="2EE17520" w14:textId="77777777" w:rsidR="008979BD" w:rsidRDefault="008979BD" w:rsidP="008429FD">
            <w:r>
              <w:rPr>
                <w:sz w:val="19"/>
              </w:rPr>
              <w:lastRenderedPageBreak/>
              <w:t>Operational efficiency</w:t>
            </w:r>
          </w:p>
        </w:tc>
        <w:tc>
          <w:tcPr>
            <w:tcW w:w="2160" w:type="dxa"/>
          </w:tcPr>
          <w:p w14:paraId="1A572531" w14:textId="77777777" w:rsidR="008979BD" w:rsidRDefault="008979BD" w:rsidP="008429FD">
            <w:pPr>
              <w:jc w:val="center"/>
            </w:pPr>
            <w:r>
              <w:rPr>
                <w:sz w:val="19"/>
              </w:rPr>
              <w:t>Intensive use of the road network (10,000 parcels per km)</w:t>
            </w:r>
          </w:p>
        </w:tc>
        <w:tc>
          <w:tcPr>
            <w:tcW w:w="2160" w:type="dxa"/>
          </w:tcPr>
          <w:p w14:paraId="1C3A971A" w14:textId="77777777" w:rsidR="008979BD" w:rsidRDefault="008979BD" w:rsidP="008429FD">
            <w:pPr>
              <w:jc w:val="center"/>
            </w:pPr>
            <w:r>
              <w:rPr>
                <w:sz w:val="19"/>
              </w:rPr>
              <w:t>Parcel business volume / total road mileage</w:t>
            </w:r>
          </w:p>
        </w:tc>
        <w:tc>
          <w:tcPr>
            <w:tcW w:w="2160" w:type="dxa"/>
          </w:tcPr>
          <w:p w14:paraId="0EC3932B" w14:textId="77777777" w:rsidR="008979BD" w:rsidRDefault="008979BD" w:rsidP="008429FD">
            <w:pPr>
              <w:jc w:val="center"/>
            </w:pPr>
            <w:r>
              <w:rPr>
                <w:sz w:val="19"/>
              </w:rPr>
              <w:t>Positive</w:t>
            </w:r>
          </w:p>
        </w:tc>
      </w:tr>
      <w:tr w:rsidR="008979BD" w14:paraId="26612500" w14:textId="77777777" w:rsidTr="008429FD">
        <w:trPr>
          <w:jc w:val="center"/>
        </w:trPr>
        <w:tc>
          <w:tcPr>
            <w:tcW w:w="2160" w:type="dxa"/>
          </w:tcPr>
          <w:p w14:paraId="73A64993" w14:textId="77777777" w:rsidR="008979BD" w:rsidRDefault="008979BD" w:rsidP="008429FD">
            <w:r>
              <w:rPr>
                <w:sz w:val="19"/>
              </w:rPr>
              <w:t>Development benefits</w:t>
            </w:r>
          </w:p>
        </w:tc>
        <w:tc>
          <w:tcPr>
            <w:tcW w:w="2160" w:type="dxa"/>
          </w:tcPr>
          <w:p w14:paraId="4D6183EA" w14:textId="77777777" w:rsidR="008979BD" w:rsidRDefault="008979BD" w:rsidP="008429FD">
            <w:pPr>
              <w:jc w:val="center"/>
            </w:pPr>
            <w:r>
              <w:rPr>
                <w:sz w:val="19"/>
              </w:rPr>
              <w:t>Economic contribution of logistics (%)</w:t>
            </w:r>
          </w:p>
        </w:tc>
        <w:tc>
          <w:tcPr>
            <w:tcW w:w="2160" w:type="dxa"/>
          </w:tcPr>
          <w:p w14:paraId="310E770F" w14:textId="77777777" w:rsidR="008979BD" w:rsidRDefault="008979BD" w:rsidP="008429FD">
            <w:pPr>
              <w:jc w:val="center"/>
            </w:pPr>
            <w:r>
              <w:rPr>
                <w:sz w:val="19"/>
              </w:rPr>
              <w:t>Value added of transport, storage and postal services / regional GDP</w:t>
            </w:r>
          </w:p>
        </w:tc>
        <w:tc>
          <w:tcPr>
            <w:tcW w:w="2160" w:type="dxa"/>
          </w:tcPr>
          <w:p w14:paraId="12FA4621" w14:textId="77777777" w:rsidR="008979BD" w:rsidRDefault="008979BD" w:rsidP="008429FD">
            <w:pPr>
              <w:jc w:val="center"/>
            </w:pPr>
            <w:r>
              <w:rPr>
                <w:sz w:val="19"/>
              </w:rPr>
              <w:t>Positive</w:t>
            </w:r>
          </w:p>
        </w:tc>
      </w:tr>
      <w:tr w:rsidR="008979BD" w14:paraId="3D27F02C" w14:textId="77777777" w:rsidTr="008429FD">
        <w:trPr>
          <w:jc w:val="center"/>
        </w:trPr>
        <w:tc>
          <w:tcPr>
            <w:tcW w:w="2160" w:type="dxa"/>
          </w:tcPr>
          <w:p w14:paraId="77D52FA3" w14:textId="77777777" w:rsidR="008979BD" w:rsidRDefault="008979BD" w:rsidP="008429FD">
            <w:r>
              <w:rPr>
                <w:sz w:val="19"/>
              </w:rPr>
              <w:t>Development benefits</w:t>
            </w:r>
          </w:p>
        </w:tc>
        <w:tc>
          <w:tcPr>
            <w:tcW w:w="2160" w:type="dxa"/>
          </w:tcPr>
          <w:p w14:paraId="48917AB9" w14:textId="77777777" w:rsidR="008979BD" w:rsidRDefault="008979BD" w:rsidP="008429FD">
            <w:pPr>
              <w:jc w:val="center"/>
            </w:pPr>
            <w:r>
              <w:rPr>
                <w:sz w:val="19"/>
              </w:rPr>
              <w:t>Output efficiency of logistics fixed-asset investment (%)</w:t>
            </w:r>
          </w:p>
        </w:tc>
        <w:tc>
          <w:tcPr>
            <w:tcW w:w="2160" w:type="dxa"/>
          </w:tcPr>
          <w:p w14:paraId="101DE473" w14:textId="77777777" w:rsidR="008979BD" w:rsidRDefault="008979BD" w:rsidP="008429FD">
            <w:pPr>
              <w:jc w:val="center"/>
            </w:pPr>
            <w:r>
              <w:rPr>
                <w:sz w:val="19"/>
              </w:rPr>
              <w:t>Value added of transport, storage and postal services / fixed-asset investment in the sector</w:t>
            </w:r>
          </w:p>
        </w:tc>
        <w:tc>
          <w:tcPr>
            <w:tcW w:w="2160" w:type="dxa"/>
          </w:tcPr>
          <w:p w14:paraId="65D1D010" w14:textId="77777777" w:rsidR="008979BD" w:rsidRDefault="008979BD" w:rsidP="008429FD">
            <w:pPr>
              <w:jc w:val="center"/>
            </w:pPr>
            <w:r>
              <w:rPr>
                <w:sz w:val="19"/>
              </w:rPr>
              <w:t>Positive</w:t>
            </w:r>
          </w:p>
        </w:tc>
      </w:tr>
      <w:tr w:rsidR="008979BD" w14:paraId="7F954400" w14:textId="77777777" w:rsidTr="008429FD">
        <w:trPr>
          <w:jc w:val="center"/>
        </w:trPr>
        <w:tc>
          <w:tcPr>
            <w:tcW w:w="2160" w:type="dxa"/>
          </w:tcPr>
          <w:p w14:paraId="40359336" w14:textId="77777777" w:rsidR="008979BD" w:rsidRDefault="008979BD" w:rsidP="008429FD">
            <w:r>
              <w:rPr>
                <w:sz w:val="19"/>
              </w:rPr>
              <w:t>Development benefits</w:t>
            </w:r>
          </w:p>
        </w:tc>
        <w:tc>
          <w:tcPr>
            <w:tcW w:w="2160" w:type="dxa"/>
          </w:tcPr>
          <w:p w14:paraId="625D668A" w14:textId="77777777" w:rsidR="008979BD" w:rsidRDefault="008979BD" w:rsidP="008429FD">
            <w:pPr>
              <w:jc w:val="center"/>
            </w:pPr>
            <w:r>
              <w:rPr>
                <w:sz w:val="19"/>
              </w:rPr>
              <w:t>Logistics carbon-emission intensity (tce per 10,000 CNY)</w:t>
            </w:r>
          </w:p>
        </w:tc>
        <w:tc>
          <w:tcPr>
            <w:tcW w:w="2160" w:type="dxa"/>
          </w:tcPr>
          <w:p w14:paraId="3433B9DD" w14:textId="77777777" w:rsidR="008979BD" w:rsidRDefault="008979BD" w:rsidP="008429FD">
            <w:pPr>
              <w:jc w:val="center"/>
            </w:pPr>
            <w:r>
              <w:rPr>
                <w:sz w:val="19"/>
              </w:rPr>
              <w:t>Energy consumption of transport, storage and postal services / value added of the sector</w:t>
            </w:r>
          </w:p>
        </w:tc>
        <w:tc>
          <w:tcPr>
            <w:tcW w:w="2160" w:type="dxa"/>
          </w:tcPr>
          <w:p w14:paraId="3F6E252F" w14:textId="77777777" w:rsidR="008979BD" w:rsidRDefault="008979BD" w:rsidP="008429FD">
            <w:pPr>
              <w:jc w:val="center"/>
            </w:pPr>
            <w:r>
              <w:rPr>
                <w:sz w:val="19"/>
              </w:rPr>
              <w:t>Negative</w:t>
            </w:r>
          </w:p>
        </w:tc>
      </w:tr>
      <w:tr w:rsidR="008979BD" w14:paraId="6099EFF1" w14:textId="77777777" w:rsidTr="008429FD">
        <w:trPr>
          <w:jc w:val="center"/>
        </w:trPr>
        <w:tc>
          <w:tcPr>
            <w:tcW w:w="2160" w:type="dxa"/>
          </w:tcPr>
          <w:p w14:paraId="1C5EC297" w14:textId="77777777" w:rsidR="008979BD" w:rsidRDefault="008979BD" w:rsidP="008429FD">
            <w:r>
              <w:rPr>
                <w:sz w:val="19"/>
              </w:rPr>
              <w:t>Development benefits</w:t>
            </w:r>
          </w:p>
        </w:tc>
        <w:tc>
          <w:tcPr>
            <w:tcW w:w="2160" w:type="dxa"/>
          </w:tcPr>
          <w:p w14:paraId="7A5BE7CE" w14:textId="77777777" w:rsidR="008979BD" w:rsidRDefault="008979BD" w:rsidP="008429FD">
            <w:pPr>
              <w:jc w:val="center"/>
            </w:pPr>
            <w:r>
              <w:rPr>
                <w:sz w:val="19"/>
              </w:rPr>
              <w:t>Employment contribution of logistics (%)</w:t>
            </w:r>
          </w:p>
        </w:tc>
        <w:tc>
          <w:tcPr>
            <w:tcW w:w="2160" w:type="dxa"/>
          </w:tcPr>
          <w:p w14:paraId="32D8B895" w14:textId="77777777" w:rsidR="008979BD" w:rsidRDefault="008979BD" w:rsidP="008429FD">
            <w:pPr>
              <w:jc w:val="center"/>
            </w:pPr>
            <w:r>
              <w:rPr>
                <w:sz w:val="19"/>
              </w:rPr>
              <w:t>Employment in transport, storage and postal services / total regional employment</w:t>
            </w:r>
          </w:p>
        </w:tc>
        <w:tc>
          <w:tcPr>
            <w:tcW w:w="2160" w:type="dxa"/>
          </w:tcPr>
          <w:p w14:paraId="3F2DF196" w14:textId="77777777" w:rsidR="008979BD" w:rsidRDefault="008979BD" w:rsidP="008429FD">
            <w:pPr>
              <w:jc w:val="center"/>
            </w:pPr>
            <w:r>
              <w:rPr>
                <w:sz w:val="19"/>
              </w:rPr>
              <w:t>Positive</w:t>
            </w:r>
          </w:p>
        </w:tc>
      </w:tr>
    </w:tbl>
    <w:p w14:paraId="0C96D256" w14:textId="77777777" w:rsidR="008979BD" w:rsidRDefault="008979BD" w:rsidP="008979BD">
      <w:pPr>
        <w:spacing w:before="60"/>
      </w:pPr>
      <w:r>
        <w:rPr>
          <w:sz w:val="18"/>
        </w:rPr>
        <w:t>Note: The composite smart logistics development level is synthesized by entropy weighting over the 24 indicators above; logistics carbon-emission intensity enters negatively and all other indicators enter positively.</w:t>
      </w:r>
    </w:p>
    <w:p w14:paraId="0E656562" w14:textId="77777777" w:rsidR="00EB4A2D" w:rsidRDefault="00EB4A2D"/>
    <w:sectPr w:rsidR="00EB4A2D" w:rsidSect="008979B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9BD"/>
    <w:rsid w:val="001D3053"/>
    <w:rsid w:val="001E3A92"/>
    <w:rsid w:val="00217E67"/>
    <w:rsid w:val="002C7D54"/>
    <w:rsid w:val="0033371E"/>
    <w:rsid w:val="005C0D39"/>
    <w:rsid w:val="0070406C"/>
    <w:rsid w:val="00724754"/>
    <w:rsid w:val="007B36B1"/>
    <w:rsid w:val="008979BD"/>
    <w:rsid w:val="00C321FA"/>
    <w:rsid w:val="00C877D6"/>
    <w:rsid w:val="00C97210"/>
    <w:rsid w:val="00EB4A2D"/>
    <w:rsid w:val="00EE513F"/>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900EC"/>
  <w15:chartTrackingRefBased/>
  <w15:docId w15:val="{CDB702CE-8C58-4F56-A557-FB0C411E3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9BD"/>
    <w:pPr>
      <w:spacing w:after="200" w:line="276" w:lineRule="auto"/>
    </w:pPr>
    <w:rPr>
      <w:rFonts w:ascii="Times New Roman" w:eastAsia="Times New Roman" w:hAnsi="Times New Roman"/>
      <w:kern w:val="0"/>
      <w:szCs w:val="22"/>
      <w:lang w:val="en-US"/>
      <w14:ligatures w14:val="none"/>
    </w:rPr>
  </w:style>
  <w:style w:type="paragraph" w:styleId="Heading1">
    <w:name w:val="heading 1"/>
    <w:basedOn w:val="Normal"/>
    <w:next w:val="Normal"/>
    <w:link w:val="Heading1Char"/>
    <w:uiPriority w:val="9"/>
    <w:qFormat/>
    <w:rsid w:val="008979B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8979B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8979B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8979BD"/>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en-IN"/>
      <w14:ligatures w14:val="standardContextual"/>
    </w:rPr>
  </w:style>
  <w:style w:type="paragraph" w:styleId="Heading5">
    <w:name w:val="heading 5"/>
    <w:basedOn w:val="Normal"/>
    <w:next w:val="Normal"/>
    <w:link w:val="Heading5Char"/>
    <w:uiPriority w:val="9"/>
    <w:semiHidden/>
    <w:unhideWhenUsed/>
    <w:qFormat/>
    <w:rsid w:val="008979BD"/>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en-IN"/>
      <w14:ligatures w14:val="standardContextual"/>
    </w:rPr>
  </w:style>
  <w:style w:type="paragraph" w:styleId="Heading6">
    <w:name w:val="heading 6"/>
    <w:basedOn w:val="Normal"/>
    <w:next w:val="Normal"/>
    <w:link w:val="Heading6Char"/>
    <w:uiPriority w:val="9"/>
    <w:semiHidden/>
    <w:unhideWhenUsed/>
    <w:qFormat/>
    <w:rsid w:val="008979BD"/>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IN"/>
      <w14:ligatures w14:val="standardContextual"/>
    </w:rPr>
  </w:style>
  <w:style w:type="paragraph" w:styleId="Heading7">
    <w:name w:val="heading 7"/>
    <w:basedOn w:val="Normal"/>
    <w:next w:val="Normal"/>
    <w:link w:val="Heading7Char"/>
    <w:uiPriority w:val="9"/>
    <w:semiHidden/>
    <w:unhideWhenUsed/>
    <w:qFormat/>
    <w:rsid w:val="008979BD"/>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IN"/>
      <w14:ligatures w14:val="standardContextual"/>
    </w:rPr>
  </w:style>
  <w:style w:type="paragraph" w:styleId="Heading8">
    <w:name w:val="heading 8"/>
    <w:basedOn w:val="Normal"/>
    <w:next w:val="Normal"/>
    <w:link w:val="Heading8Char"/>
    <w:uiPriority w:val="9"/>
    <w:semiHidden/>
    <w:unhideWhenUsed/>
    <w:qFormat/>
    <w:rsid w:val="008979BD"/>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IN"/>
      <w14:ligatures w14:val="standardContextual"/>
    </w:rPr>
  </w:style>
  <w:style w:type="paragraph" w:styleId="Heading9">
    <w:name w:val="heading 9"/>
    <w:basedOn w:val="Normal"/>
    <w:next w:val="Normal"/>
    <w:link w:val="Heading9Char"/>
    <w:uiPriority w:val="9"/>
    <w:semiHidden/>
    <w:unhideWhenUsed/>
    <w:qFormat/>
    <w:rsid w:val="008979BD"/>
    <w:pPr>
      <w:keepNext/>
      <w:keepLines/>
      <w:spacing w:after="0" w:line="278" w:lineRule="auto"/>
      <w:outlineLvl w:val="8"/>
    </w:pPr>
    <w:rPr>
      <w:rFonts w:asciiTheme="minorHAnsi" w:eastAsiaTheme="majorEastAsia" w:hAnsiTheme="minorHAnsi" w:cstheme="majorBidi"/>
      <w:color w:val="272727" w:themeColor="text1" w:themeTint="D8"/>
      <w:kern w:val="2"/>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9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9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9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9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9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9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9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9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9BD"/>
    <w:rPr>
      <w:rFonts w:eastAsiaTheme="majorEastAsia" w:cstheme="majorBidi"/>
      <w:color w:val="272727" w:themeColor="text1" w:themeTint="D8"/>
    </w:rPr>
  </w:style>
  <w:style w:type="paragraph" w:styleId="Title">
    <w:name w:val="Title"/>
    <w:basedOn w:val="Normal"/>
    <w:next w:val="Normal"/>
    <w:link w:val="TitleChar"/>
    <w:uiPriority w:val="10"/>
    <w:qFormat/>
    <w:rsid w:val="008979BD"/>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8979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9B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8979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9BD"/>
    <w:pPr>
      <w:spacing w:before="160" w:after="160" w:line="278" w:lineRule="auto"/>
      <w:jc w:val="center"/>
    </w:pPr>
    <w:rPr>
      <w:rFonts w:asciiTheme="minorHAnsi" w:eastAsiaTheme="minorHAnsi" w:hAnsiTheme="minorHAnsi"/>
      <w:i/>
      <w:iCs/>
      <w:color w:val="404040" w:themeColor="text1" w:themeTint="BF"/>
      <w:kern w:val="2"/>
      <w:szCs w:val="24"/>
      <w:lang w:val="en-IN"/>
      <w14:ligatures w14:val="standardContextual"/>
    </w:rPr>
  </w:style>
  <w:style w:type="character" w:customStyle="1" w:styleId="QuoteChar">
    <w:name w:val="Quote Char"/>
    <w:basedOn w:val="DefaultParagraphFont"/>
    <w:link w:val="Quote"/>
    <w:uiPriority w:val="29"/>
    <w:rsid w:val="008979BD"/>
    <w:rPr>
      <w:i/>
      <w:iCs/>
      <w:color w:val="404040" w:themeColor="text1" w:themeTint="BF"/>
    </w:rPr>
  </w:style>
  <w:style w:type="paragraph" w:styleId="ListParagraph">
    <w:name w:val="List Paragraph"/>
    <w:basedOn w:val="Normal"/>
    <w:uiPriority w:val="34"/>
    <w:qFormat/>
    <w:rsid w:val="008979BD"/>
    <w:pPr>
      <w:spacing w:after="160" w:line="278" w:lineRule="auto"/>
      <w:ind w:left="720"/>
      <w:contextualSpacing/>
    </w:pPr>
    <w:rPr>
      <w:rFonts w:asciiTheme="minorHAnsi" w:eastAsiaTheme="minorHAnsi" w:hAnsiTheme="minorHAnsi"/>
      <w:kern w:val="2"/>
      <w:szCs w:val="24"/>
      <w:lang w:val="en-IN"/>
      <w14:ligatures w14:val="standardContextual"/>
    </w:rPr>
  </w:style>
  <w:style w:type="character" w:styleId="IntenseEmphasis">
    <w:name w:val="Intense Emphasis"/>
    <w:basedOn w:val="DefaultParagraphFont"/>
    <w:uiPriority w:val="21"/>
    <w:qFormat/>
    <w:rsid w:val="008979BD"/>
    <w:rPr>
      <w:i/>
      <w:iCs/>
      <w:color w:val="0F4761" w:themeColor="accent1" w:themeShade="BF"/>
    </w:rPr>
  </w:style>
  <w:style w:type="paragraph" w:styleId="IntenseQuote">
    <w:name w:val="Intense Quote"/>
    <w:basedOn w:val="Normal"/>
    <w:next w:val="Normal"/>
    <w:link w:val="IntenseQuoteChar"/>
    <w:uiPriority w:val="30"/>
    <w:qFormat/>
    <w:rsid w:val="008979B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Cs w:val="24"/>
      <w:lang w:val="en-IN"/>
      <w14:ligatures w14:val="standardContextual"/>
    </w:rPr>
  </w:style>
  <w:style w:type="character" w:customStyle="1" w:styleId="IntenseQuoteChar">
    <w:name w:val="Intense Quote Char"/>
    <w:basedOn w:val="DefaultParagraphFont"/>
    <w:link w:val="IntenseQuote"/>
    <w:uiPriority w:val="30"/>
    <w:rsid w:val="008979BD"/>
    <w:rPr>
      <w:i/>
      <w:iCs/>
      <w:color w:val="0F4761" w:themeColor="accent1" w:themeShade="BF"/>
    </w:rPr>
  </w:style>
  <w:style w:type="character" w:styleId="IntenseReference">
    <w:name w:val="Intense Reference"/>
    <w:basedOn w:val="DefaultParagraphFont"/>
    <w:uiPriority w:val="32"/>
    <w:qFormat/>
    <w:rsid w:val="008979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650</Words>
  <Characters>3707</Characters>
  <Application>Microsoft Office Word</Application>
  <DocSecurity>0</DocSecurity>
  <Lines>30</Lines>
  <Paragraphs>8</Paragraphs>
  <ScaleCrop>false</ScaleCrop>
  <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2026-10-13T10:24:00Z</dcterms:created>
  <dcterms:modified xsi:type="dcterms:W3CDTF">2026-10-13T10:25:00Z</dcterms:modified>
</cp:coreProperties>
</file>