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E744E" w14:textId="77777777" w:rsidR="005D7695" w:rsidRPr="005D7695" w:rsidRDefault="005D7695" w:rsidP="005D7695">
      <w:pPr>
        <w:rPr>
          <w:lang w:val="en"/>
        </w:rPr>
      </w:pPr>
      <w:sdt>
        <w:sdtPr>
          <w:rPr>
            <w:lang w:val="en"/>
          </w:rPr>
          <w:tag w:val="goog_rdk_1"/>
          <w:id w:val="-767348163"/>
        </w:sdtPr>
        <w:sdtContent>
          <w:r w:rsidRPr="005D7695">
            <w:rPr>
              <w:b/>
              <w:bCs/>
              <w:lang w:val="en"/>
            </w:rPr>
            <w:t>Table 1: Patient demographic and clinical parameters by COVID-19 severity groups for patients with first sample at DPSO≤11</w:t>
          </w:r>
        </w:sdtContent>
      </w:sdt>
      <w:r w:rsidRPr="005D7695">
        <w:rPr>
          <w:lang w:val="en"/>
        </w:rPr>
        <w:t>.</w:t>
      </w:r>
    </w:p>
    <w:p w14:paraId="5C0093A6" w14:textId="1E0062FA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drawing>
          <wp:inline distT="0" distB="0" distL="0" distR="0" wp14:anchorId="1C30D415" wp14:editId="53C09426">
            <wp:extent cx="5731510" cy="2448560"/>
            <wp:effectExtent l="0" t="0" r="2540" b="8890"/>
            <wp:docPr id="8767120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D33CE" w14:textId="77777777" w:rsidR="005D7695" w:rsidRPr="005D7695" w:rsidRDefault="005D7695" w:rsidP="005D7695">
      <w:pPr>
        <w:rPr>
          <w:lang w:val="en"/>
        </w:rPr>
      </w:pPr>
      <w:bookmarkStart w:id="0" w:name="_heading=h.6scukrb0g503"/>
      <w:bookmarkEnd w:id="0"/>
      <w:r w:rsidRPr="005D7695">
        <w:rPr>
          <w:lang w:val="en"/>
        </w:rPr>
        <w:t>(1) Hospitalized patients are patients being hospitalized due to their SARS-CoV-2 infection while non-hospitalized patients were recovering at home,</w:t>
      </w:r>
    </w:p>
    <w:p w14:paraId="6A2919E9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>(2</w:t>
      </w:r>
      <w:proofErr w:type="gramStart"/>
      <w:r w:rsidRPr="005D7695">
        <w:rPr>
          <w:lang w:val="en"/>
        </w:rPr>
        <w:t>)  N</w:t>
      </w:r>
      <w:proofErr w:type="gramEnd"/>
      <w:r w:rsidRPr="005D7695">
        <w:rPr>
          <w:lang w:val="en"/>
        </w:rPr>
        <w:t>=5 asymptomatic patients included here within the Mild group.</w:t>
      </w:r>
    </w:p>
    <w:p w14:paraId="45D3E2B3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>(3) Patients included in Augsburg from the Early-</w:t>
      </w:r>
      <w:proofErr w:type="spellStart"/>
      <w:r w:rsidRPr="005D7695">
        <w:rPr>
          <w:lang w:val="en"/>
        </w:rPr>
        <w:t>Opt</w:t>
      </w:r>
      <w:proofErr w:type="spellEnd"/>
      <w:r w:rsidRPr="005D7695">
        <w:rPr>
          <w:lang w:val="en"/>
        </w:rPr>
        <w:t xml:space="preserve"> (n=83), </w:t>
      </w:r>
      <w:proofErr w:type="spellStart"/>
      <w:r w:rsidRPr="005D7695">
        <w:rPr>
          <w:lang w:val="en"/>
        </w:rPr>
        <w:t>CoVaKo</w:t>
      </w:r>
      <w:proofErr w:type="spellEnd"/>
      <w:r w:rsidRPr="005D7695">
        <w:rPr>
          <w:lang w:val="en"/>
        </w:rPr>
        <w:t>-Augsburg (n=9)</w:t>
      </w:r>
      <w:r w:rsidRPr="005D7695">
        <w:rPr>
          <w:vertAlign w:val="superscript"/>
          <w:lang w:val="en"/>
        </w:rPr>
        <w:t>35</w:t>
      </w:r>
      <w:r w:rsidRPr="005D7695">
        <w:rPr>
          <w:lang w:val="en"/>
        </w:rPr>
        <w:t xml:space="preserve"> and University Hospital Augsburg (n=23) cohorts.</w:t>
      </w:r>
    </w:p>
    <w:p w14:paraId="6CACCBCF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 xml:space="preserve">(4) Patients included in Paris from our </w:t>
      </w:r>
      <w:proofErr w:type="spellStart"/>
      <w:r w:rsidRPr="005D7695">
        <w:rPr>
          <w:lang w:val="en"/>
        </w:rPr>
        <w:t>Dorgham</w:t>
      </w:r>
      <w:proofErr w:type="spellEnd"/>
      <w:r w:rsidRPr="005D7695">
        <w:rPr>
          <w:lang w:val="en"/>
        </w:rPr>
        <w:t xml:space="preserve"> et al</w:t>
      </w:r>
      <w:r w:rsidRPr="005D7695">
        <w:rPr>
          <w:vertAlign w:val="superscript"/>
          <w:lang w:val="en"/>
        </w:rPr>
        <w:t>32</w:t>
      </w:r>
      <w:r w:rsidRPr="005D7695">
        <w:rPr>
          <w:lang w:val="en"/>
        </w:rPr>
        <w:t xml:space="preserve"> study.</w:t>
      </w:r>
    </w:p>
    <w:p w14:paraId="3C13BBC9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>(5) Past medical history given here concisely only for the 2 most prevalent conditions, more details in Supplementary Methods section.</w:t>
      </w:r>
    </w:p>
    <w:p w14:paraId="5C17E3F6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 xml:space="preserve">(6) Hospitalized versus non-hospitalized and mild versus moderate patients were compared using Mann-Whitney or Fisher Exact tests as mentioned in methods. </w:t>
      </w:r>
    </w:p>
    <w:p w14:paraId="1B913B52" w14:textId="77777777" w:rsidR="005D7695" w:rsidRPr="005D7695" w:rsidRDefault="005D7695" w:rsidP="005D7695">
      <w:pPr>
        <w:rPr>
          <w:b/>
          <w:bCs/>
          <w:lang w:val="en"/>
        </w:rPr>
      </w:pPr>
      <w:r w:rsidRPr="005D7695">
        <w:rPr>
          <w:lang w:val="en"/>
        </w:rPr>
        <w:br w:type="page"/>
      </w:r>
    </w:p>
    <w:p w14:paraId="2D9D824C" w14:textId="77777777" w:rsidR="005D7695" w:rsidRPr="005D7695" w:rsidRDefault="005D7695" w:rsidP="005D7695">
      <w:pPr>
        <w:rPr>
          <w:b/>
          <w:bCs/>
          <w:lang w:val="en"/>
        </w:rPr>
      </w:pPr>
      <w:sdt>
        <w:sdtPr>
          <w:rPr>
            <w:lang w:val="en"/>
          </w:rPr>
          <w:tag w:val="goog_rdk_2"/>
          <w:id w:val="61760081"/>
        </w:sdtPr>
        <w:sdtContent>
          <w:r w:rsidRPr="005D7695">
            <w:rPr>
              <w:b/>
              <w:bCs/>
              <w:lang w:val="en"/>
            </w:rPr>
            <w:t>Table 2: Biomarkers and biomarker combinations allowing early accurate prediction of COVID-19 hospitalization risk (A, DPSO≤11)           and moderate versus mild disease in non-hospitalized patients (B, DPSO≤6).</w:t>
          </w:r>
        </w:sdtContent>
      </w:sdt>
    </w:p>
    <w:p w14:paraId="0E9C585B" w14:textId="1F6C0CC3" w:rsidR="005D7695" w:rsidRPr="005D7695" w:rsidRDefault="005D7695" w:rsidP="005D7695">
      <w:pPr>
        <w:rPr>
          <w:b/>
          <w:bCs/>
          <w:lang w:val="en"/>
        </w:rPr>
      </w:pPr>
      <w:r w:rsidRPr="005D7695">
        <w:rPr>
          <w:b/>
          <w:lang w:val="en"/>
        </w:rPr>
        <w:drawing>
          <wp:inline distT="0" distB="0" distL="0" distR="0" wp14:anchorId="1844FA2E" wp14:editId="5BCE9662">
            <wp:extent cx="5731510" cy="3300095"/>
            <wp:effectExtent l="0" t="0" r="2540" b="0"/>
            <wp:docPr id="19009322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65E1F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>(1) The threshold used for prediction was selected as the point with highest J-index on the corresponding ROC curve.</w:t>
      </w:r>
    </w:p>
    <w:p w14:paraId="6C85948A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 xml:space="preserve">(2) For prediction of Hospitalization risk, Balanced </w:t>
      </w:r>
      <w:proofErr w:type="gramStart"/>
      <w:r w:rsidRPr="005D7695">
        <w:rPr>
          <w:lang w:val="en"/>
        </w:rPr>
        <w:t>Accuracy ((</w:t>
      </w:r>
      <w:proofErr w:type="spellStart"/>
      <w:proofErr w:type="gramEnd"/>
      <w:r w:rsidRPr="005D7695">
        <w:rPr>
          <w:lang w:val="en"/>
        </w:rPr>
        <w:t>Sensitivity+Specificity</w:t>
      </w:r>
      <w:proofErr w:type="spellEnd"/>
      <w:r w:rsidRPr="005D7695">
        <w:rPr>
          <w:lang w:val="en"/>
        </w:rPr>
        <w:t xml:space="preserve">)/2) is used instead of Accuracy, since the ratio of hospitalized to non-hospitalized patient numbers in this study does not represent real world ratios. For the same reason, Odds Ratio, Positive Predictive Value and Negative Predictive Value were not given. </w:t>
      </w:r>
    </w:p>
    <w:p w14:paraId="5BA064B2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>(3) Youden J- Index (</w:t>
      </w:r>
      <w:proofErr w:type="spellStart"/>
      <w:r w:rsidRPr="005D7695">
        <w:rPr>
          <w:lang w:val="en"/>
        </w:rPr>
        <w:t>Informedness</w:t>
      </w:r>
      <w:proofErr w:type="spellEnd"/>
      <w:r w:rsidRPr="005D7695">
        <w:rPr>
          <w:lang w:val="en"/>
        </w:rPr>
        <w:t>, defined by Specificity + Sensitivity -1) was used to assess predictive value.</w:t>
      </w:r>
    </w:p>
    <w:p w14:paraId="3343F687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>(4</w:t>
      </w:r>
      <w:proofErr w:type="gramStart"/>
      <w:r w:rsidRPr="005D7695">
        <w:rPr>
          <w:lang w:val="en"/>
        </w:rPr>
        <w:t>)  Statistical</w:t>
      </w:r>
      <w:proofErr w:type="gramEnd"/>
      <w:r w:rsidRPr="005D7695">
        <w:rPr>
          <w:lang w:val="en"/>
        </w:rPr>
        <w:t xml:space="preserve"> significance of the prediction was assessed by Fisher-Exact Test on the confluence table.</w:t>
      </w:r>
    </w:p>
    <w:p w14:paraId="5155682B" w14:textId="77777777" w:rsidR="005D7695" w:rsidRPr="005D7695" w:rsidRDefault="005D7695" w:rsidP="005D7695">
      <w:pPr>
        <w:rPr>
          <w:lang w:val="en"/>
        </w:rPr>
      </w:pPr>
      <w:sdt>
        <w:sdtPr>
          <w:rPr>
            <w:lang w:val="en"/>
          </w:rPr>
          <w:tag w:val="goog_rdk_3"/>
          <w:id w:val="-592626027"/>
        </w:sdtPr>
        <w:sdtContent>
          <w:r w:rsidRPr="005D7695">
            <w:rPr>
              <w:lang w:val="en"/>
            </w:rPr>
            <w:t xml:space="preserve">(5) For the prediction of moderate disease course only patients with first sample at DPSO≤6 </w:t>
          </w:r>
          <w:proofErr w:type="gramStart"/>
          <w:r w:rsidRPr="005D7695">
            <w:rPr>
              <w:lang w:val="en"/>
            </w:rPr>
            <w:t>were</w:t>
          </w:r>
          <w:proofErr w:type="gramEnd"/>
          <w:r w:rsidRPr="005D7695">
            <w:rPr>
              <w:lang w:val="en"/>
            </w:rPr>
            <w:t xml:space="preserve"> used.</w:t>
          </w:r>
        </w:sdtContent>
      </w:sdt>
    </w:p>
    <w:p w14:paraId="548A0C44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 xml:space="preserve">LDH [log U/l]; CRP [log mg/dl]; All cytokines [log </w:t>
      </w:r>
      <w:proofErr w:type="spellStart"/>
      <w:r w:rsidRPr="005D7695">
        <w:rPr>
          <w:lang w:val="en"/>
        </w:rPr>
        <w:t>pg</w:t>
      </w:r>
      <w:proofErr w:type="spellEnd"/>
      <w:r w:rsidRPr="005D7695">
        <w:rPr>
          <w:lang w:val="en"/>
        </w:rPr>
        <w:t>/ml].</w:t>
      </w:r>
    </w:p>
    <w:p w14:paraId="4F0573F4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 xml:space="preserve">IFN-INF function is defined </w:t>
      </w:r>
      <w:proofErr w:type="gramStart"/>
      <w:r w:rsidRPr="005D7695">
        <w:rPr>
          <w:lang w:val="en"/>
        </w:rPr>
        <w:t>by:</w:t>
      </w:r>
      <w:proofErr w:type="gramEnd"/>
      <w:r w:rsidRPr="005D7695">
        <w:rPr>
          <w:lang w:val="en"/>
        </w:rPr>
        <w:t xml:space="preserve"> log(2*IL-6*IL-10*TNF-α/IFN-α)</w:t>
      </w:r>
    </w:p>
    <w:p w14:paraId="1F3E3D05" w14:textId="77777777" w:rsidR="005D7695" w:rsidRPr="005D7695" w:rsidRDefault="005D7695" w:rsidP="005D7695">
      <w:pPr>
        <w:rPr>
          <w:lang w:val="en"/>
        </w:rPr>
      </w:pPr>
      <w:r w:rsidRPr="005D7695">
        <w:rPr>
          <w:lang w:val="en"/>
        </w:rPr>
        <w:t>IMM-INF function is defined by: (</w:t>
      </w:r>
      <w:proofErr w:type="gramStart"/>
      <w:r w:rsidRPr="005D7695">
        <w:rPr>
          <w:lang w:val="en"/>
        </w:rPr>
        <w:t>log(</w:t>
      </w:r>
      <w:proofErr w:type="gramEnd"/>
      <w:r w:rsidRPr="005D7695">
        <w:rPr>
          <w:lang w:val="en"/>
        </w:rPr>
        <w:t>IL-</w:t>
      </w:r>
      <w:proofErr w:type="gramStart"/>
      <w:r w:rsidRPr="005D7695">
        <w:rPr>
          <w:lang w:val="en"/>
        </w:rPr>
        <w:t>6)+</w:t>
      </w:r>
      <w:proofErr w:type="gramEnd"/>
      <w:r w:rsidRPr="005D7695">
        <w:rPr>
          <w:lang w:val="en"/>
        </w:rPr>
        <w:t xml:space="preserve"> </w:t>
      </w:r>
      <w:proofErr w:type="gramStart"/>
      <w:r w:rsidRPr="005D7695">
        <w:rPr>
          <w:lang w:val="en"/>
        </w:rPr>
        <w:t>log(</w:t>
      </w:r>
      <w:proofErr w:type="gramEnd"/>
      <w:r w:rsidRPr="005D7695">
        <w:rPr>
          <w:lang w:val="en"/>
        </w:rPr>
        <w:t>IL-8) &gt;1.75) OR (</w:t>
      </w:r>
      <w:proofErr w:type="gramStart"/>
      <w:r w:rsidRPr="005D7695">
        <w:rPr>
          <w:lang w:val="en"/>
        </w:rPr>
        <w:t>log(</w:t>
      </w:r>
      <w:proofErr w:type="gramEnd"/>
      <w:r w:rsidRPr="005D7695">
        <w:rPr>
          <w:lang w:val="en"/>
        </w:rPr>
        <w:t>IFN-</w:t>
      </w:r>
      <w:proofErr w:type="gramStart"/>
      <w:r w:rsidRPr="005D7695">
        <w:rPr>
          <w:lang w:val="en"/>
        </w:rPr>
        <w:t>α)+</w:t>
      </w:r>
      <w:proofErr w:type="gramEnd"/>
      <w:r w:rsidRPr="005D7695">
        <w:rPr>
          <w:lang w:val="en"/>
        </w:rPr>
        <w:t xml:space="preserve"> </w:t>
      </w:r>
      <w:proofErr w:type="gramStart"/>
      <w:r w:rsidRPr="005D7695">
        <w:rPr>
          <w:lang w:val="en"/>
        </w:rPr>
        <w:t>log(</w:t>
      </w:r>
      <w:proofErr w:type="gramEnd"/>
      <w:r w:rsidRPr="005D7695">
        <w:rPr>
          <w:lang w:val="en"/>
        </w:rPr>
        <w:t>IFN-γ) &gt;-0.25)</w:t>
      </w:r>
    </w:p>
    <w:p w14:paraId="1666B338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95"/>
    <w:rsid w:val="002A4526"/>
    <w:rsid w:val="005D7695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55E58"/>
  <w15:chartTrackingRefBased/>
  <w15:docId w15:val="{BE4C624B-ADF2-4C5E-A189-93E5575F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6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6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2026-10-15T18:25:00Z</dcterms:created>
  <dcterms:modified xsi:type="dcterms:W3CDTF">2026-10-15T18:25:00Z</dcterms:modified>
</cp:coreProperties>
</file>