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How does the visual complexity of architectural signage affect wayfinding search efficiency? Nonlinear evidence from a semantic-computational dual-channel experiment</w:t>
      </w:r>
    </w:p>
    <w:p>
      <w:r>
        <w:t>Zonghui Wang a,*, Huadi Liu b,*</w:t>
      </w:r>
    </w:p>
    <w:p>
      <w:r>
        <w:t>a Department of Architecture, Restoration and Design, Engineering Academy, RUDN University, Moscow 117198, Russia.</w:t>
      </w:r>
    </w:p>
    <w:p>
      <w:r>
        <w:t>b Department of Visual Communication, School of Art and Design, Nanchang Hangkong University, Nanchang 330063, China.</w:t>
      </w:r>
    </w:p>
    <w:p>
      <w:r>
        <w:t>*Corresponding author.</w:t>
      </w:r>
    </w:p>
    <w:p>
      <w:r>
        <w:t>E-mail address: zonghui1128@outlook.com (Z. Wang); 531882202@qq.com (H. Liu)</w:t>
      </w:r>
    </w:p>
    <w:p/>
    <w:p>
      <w:r>
        <w:rPr>
          <w:b/>
        </w:rPr>
        <w:t>Supplementary Figure S1</w:t>
      </w:r>
    </w:p>
    <w:p>
      <w:r>
        <w:rPr>
          <w:b/>
        </w:rPr>
        <w:t xml:space="preserve"/>
      </w:r>
      <w:r>
        <w:t xml:space="preserve">Research framework.</w:t>
      </w:r>
    </w:p>
    <w:p>
      <w:r>
        <w:drawing>
          <wp:inline xmlns:a="http://schemas.openxmlformats.org/drawingml/2006/main" xmlns:pic="http://schemas.openxmlformats.org/drawingml/2006/picture">
            <wp:extent cx="5486400" cy="2705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5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Supplementary Note 1. Abbreviations and metric formulas</w:t>
      </w:r>
    </w:p>
    <w:p>
      <w:r>
        <w:t>This supplementary note summarizes all abbreviations used in this paper and provides calculation formulas for key metrics.</w:t>
      </w:r>
    </w:p>
    <w:p>
      <w:r>
        <w:t>Supplementary Table S1. Abbreviation reference table.</w:t>
      </w:r>
    </w:p>
    <w:p>
      <w:r>
        <w:t>Metric calculation formulas</w:t>
      </w:r>
    </w:p>
    <w:p>
      <w:r>
        <w:t>Texture Entropy (TEE): Shannon entropy of the V channel within the signage ROI, range [0, 8]:</w:t>
      </w:r>
    </w:p>
    <w:p>
      <w:r>
        <w:t>TEE = −Σ p_V(i) · log₂ p_V(i)</w:t>
      </w:r>
    </w:p>
    <w:p>
      <w:r>
        <w:t>where p_V(i) is the probability of the i-th gray level in the V channel histogram (Laplacian smoothed).</w:t>
      </w:r>
    </w:p>
    <w:p>
      <w:r>
        <w:t>Color Organization Entropy (COE): This metric is structurally identical to TEE but is based on the S (saturation) channel, capturing color distribution diversity:</w:t>
      </w:r>
    </w:p>
    <w:p>
      <w:r>
        <w:t>COE = −Σ p_S(i) · log₂ p_S(i)</w:t>
      </w:r>
    </w:p>
    <w:p>
      <w:r>
        <w:t>Background contrast entropy (BCE): The same formula is computed for the background region outside the ROI, which serves as a control variable to verify ROI isolation.</w:t>
      </w:r>
    </w:p>
    <w:p>
      <w:r>
        <w:t>Figure-Ground Index (FGI): Ratio of the mean saliency inside and outside the ROI from the U2-Net saliency map, range [−1, 1]:</w:t>
      </w:r>
    </w:p>
    <w:p>
      <w:r>
        <w:t>FGI = (S_figure − S_ground)/(S_figure + S_ground + ε)</w:t>
      </w:r>
    </w:p>
    <w:p>
      <w:r>
        <w:t>where S_figure and S_ground are the mean saliency within and outside the ROI, respectively, and ε = 10⁻⁸ prevents division by zero.</w:t>
      </w:r>
    </w:p>
    <w:p>
      <w:r>
        <w:t>Visual complexity index (VCI): Weighted fusion after min–max normalization:</w:t>
      </w:r>
    </w:p>
    <w:p>
      <w:r>
        <w:t>VCI = w₁ · TEE_norm + w₂ · COE_norm + w₃ · FGI_norm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Abbreviation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Full name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Description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AVST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Architectural Visual Search Toolkit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The architectural visual search toolkit developed in this study, containing the semantic-computational dual-channel evaluation framework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TEE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Texture Entropy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Shannon entropy of the V (luminance) channel within the signage ROI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COE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Color Organization Entropy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Shannon entropy of the S (saturation) channel within the signage ROI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BCE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Background Contrast Entropy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Shannon entropy of the background region outside the ROI, serving as a control variable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FGI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Figure-Ground Index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Index measuring the saliency contrast between signage and background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VCI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Visual Complexity Index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Weighted fusion metric of TEE, COE, and FGI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FC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Feature Congestion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Visual clutter quantification metric proposed by Rosenholtz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ROI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Region of Interest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The image region where signage is located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LLM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Large Language Model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This study employs a multimodal LLM for semantic scoring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RT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Reaction Time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Time interval from stimulus presentation to user click (ms)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SD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Standard Deviation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Statistical measure of data dispersion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LMM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Linear Mixed Model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Regression analysis handling nested random effects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ANOVA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Analysis of Variance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Statistical method testing between-group mean differences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ICC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Intraclass Correlation Coefficient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Coefficient assessing interr-rater reliability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CI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Confidence Interval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Confidence interval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R²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Coefficient of Determination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Conditional R² includes fixed + random effects; marginal R² includes only fixed effects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η²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Eta-squared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sz w:val="20"/>
              </w:rPr>
              <w:t>Effect size measuring the proportion of dependent variable variance explained by independent variables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