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widowControl/>
      </w:pPr>
      <w:r>
        <w:t>Additional file 1</w:t>
      </w:r>
    </w:p>
    <w:p>
      <w:pPr>
        <w:pStyle w:val="Heading2"/>
        <w:widowControl/>
      </w:pPr>
      <w:r>
        <w:t>Muscle Composition and Gas-Transfer Impairment in Idiopathic Pulmonary Fibrosis: A CT-Based Study</w:t>
      </w:r>
    </w:p>
    <w:p>
      <w:pPr>
        <w:widowControl/>
        <w:spacing w:line="269" w:lineRule="auto"/>
      </w:pPr>
      <w:r>
        <w:t>Supplementary methods and results</w:t>
      </w:r>
    </w:p>
    <w:p>
      <w:pPr>
        <w:pStyle w:val="Heading2"/>
      </w:pPr>
      <w:r>
        <w:t>S1. Cohort construction and record review</w:t>
      </w:r>
    </w:p>
    <w:p>
      <w:pPr>
        <w:spacing w:line="269" w:lineRule="auto"/>
      </w:pPr>
      <w:r>
        <w:t>The available source cohort comprised 87 adults with IPF and paired baseline and follow-up assessments. One record was excluded for an unresolved extreme baseline DLCO value and one for an unresolved longitudinal DLCO pattern. The locked cohort therefore contained 85 participants. The latter record was reinstated in a sensitivity analysis because its exclusion concerned longitudinal rather than baseline measurements; the expanded dataset contained 86 participants and yielded 79 complete cases for the primary model. The number screened before the requirement for paired assessments was not recoverable. Baseline and follow-up examinations were matched to pulmonary function tests within ±15 days.</w:t>
      </w:r>
    </w:p>
    <w:p>
      <w:pPr>
        <w:pStyle w:val="Heading2"/>
      </w:pPr>
      <w:r>
        <w:t>S2. Exposure definitions and terminology</w:t>
      </w:r>
    </w:p>
    <w:p>
      <w:pPr>
        <w:pStyle w:val="Heading3"/>
      </w:pPr>
      <w:r>
        <w:t>S2.1. Body-composition outputs</w:t>
      </w:r>
    </w:p>
    <w:p>
      <w:pPr>
        <w:spacing w:line="269" w:lineRule="auto"/>
      </w:pPr>
      <w:r>
        <w:t>The Myosteatosis Index was calculated as 100 × IMAT/(IMAT + SAT + VAT), using baseline exported adipose volumes. IMAT refers operationally to the muscle-associated adipose compartment. The export labels this field “intramuscular fat”, whereas the methodological literature describing the segmentation approach uses “intermuscular adipose tissue” [S1]. The present index is therefore defined by the specified volumetric outputs; it should not be equated with a direct intramyocellular lipid measurement or a muscle attenuation measurement. A higher index may reflect greater IMAT, smaller SAT or VAT, or both. No sex-specific or cohort-derived diagnostic thresholds were applied.</w:t>
      </w:r>
    </w:p>
    <w:p>
      <w:pPr>
        <w:spacing w:line="269" w:lineRule="auto"/>
      </w:pPr>
      <w:r>
        <w:t>ESMI was the baseline erector spinae muscle volume in litres divided by height in metres squared; the regression exposure was ESMI/0.01. Primary analyses used the original exported baseline adipose-compartment columns without the alternate “_x” suffix. All field mappings are explicit in the analysis code.</w:t>
      </w:r>
    </w:p>
    <w:p>
      <w:pPr>
        <w:pStyle w:val="Heading3"/>
      </w:pPr>
      <w:r>
        <w:t>S2.2. ILD-specific model and pulmonary volume definitions</w:t>
      </w:r>
    </w:p>
    <w:p>
      <w:pPr>
        <w:spacing w:line="269" w:lineRule="auto"/>
      </w:pPr>
      <w:r>
        <w:t>The ILD-specific model was developed by the University of Pittsburgh group with contributions from JP and NSG. The model developer (JP) confirmed that training used 100 ILD cases and that all ILD abnormalities were segmented as a single class. Individual radiological patterns were not differentiated. The resulting volume is an aggregate measure of interstitial abnormality, not an isolated volume of irreversible fibrosis. The ILD-specific model had not been separately published at the time of the developer’s clarification.</w:t>
      </w:r>
    </w:p>
    <w:p>
      <w:pPr>
        <w:spacing w:line="269" w:lineRule="auto"/>
      </w:pPr>
      <w:r>
        <w:t>The exported ILD_ratio was defined as ILD_volume/lung_volume. This dimensionless ratio was multiplied by 100 for reporting and regression modelling. Emphysema fraction was calculated as 100 × emphysema_volume/lung_volume. Each denominator was the total lung volume from the corresponding CT examination. The pulmonary outputs and body-composition measurements used in the primary analysis came from the same baseline examination.</w:t>
      </w:r>
    </w:p>
    <w:p>
      <w:pPr>
        <w:pStyle w:val="Heading3"/>
      </w:pPr>
      <w:r>
        <w:t>S2.3. Relationship to the cited pulmonary-analysis methods</w:t>
      </w:r>
    </w:p>
    <w:p>
      <w:pPr>
        <w:spacing w:line="269" w:lineRule="auto"/>
      </w:pPr>
      <w:r>
        <w:t>Pu and colleagues’ CT quantification study [S2] described a combined deep-learning and computer-vision workflow. U-Net-based methods segmented the lung boundaries and central pulmonary vessels; additional image processing identified parenchymal abnormalities after vascular structures were excluded. The reported lung/vessel development and evaluation dataset comprised 120 CT examinations across several pulmonary conditions, including 31 with ILD. The separate pneumonia-analysis component was developed and tested using serial COVID-19 examinations. These are the development datasets described in that publication; the 100-case ILD training-set description for the present implementation was provided separately by JP.</w:t>
      </w:r>
    </w:p>
    <w:p>
      <w:pPr>
        <w:spacing w:line="269" w:lineRule="auto"/>
      </w:pPr>
      <w:r>
        <w:t>In the companion study [S3], three-dimensional convolutional neural networks were used to classify CT examinations as COVID-19 or community-acquired pneumonia. It provides background on volumetric deep-learning analysis of infiltrative lung patterns, rather than an ILD segmentation-accuracy assessment.</w:t>
      </w:r>
    </w:p>
    <w:p>
      <w:pPr>
        <w:spacing w:line="269" w:lineRule="auto"/>
      </w:pPr>
      <w:r>
        <w:t>The published studies are cited as methodological background, as recommended by the model developer. Their training parameters and performance estimates belong to their respective datasets and are not assigned to the ILD-specific model. The present clinical analyses used the exported ILD and emphysema volumes; longitudinal registration and heatmap-derived change metrics were not analysis variables.</w:t>
      </w:r>
    </w:p>
    <w:p>
      <w:pPr>
        <w:pStyle w:val="Heading2"/>
      </w:pPr>
      <w:r>
        <w:t>S3. Regression and sensitivity specifications</w:t>
      </w:r>
    </w:p>
    <w:p>
      <w:pPr>
        <w:spacing w:line="269" w:lineRule="auto"/>
      </w:pPr>
      <w:r>
        <w:t>The primary analysis used 78 complete cases for baseline DLCO, Myosteatosis Index, baseline CT age, sex, ILD extent, emphysema fraction, BMI and pack-years. The index mean was 10.747748% and sample SD was 2.631856 percentage points. The same mean and SD were retained in all models and leave-one-out or bootstrap iterations of this population. In the expanded sensitivity population, the SD was recalculated before the model was fitted. Female sex was coded 1 and male sex 0. Ordinary least-squares coefficients used HC3 covariance estimates and t-based inference with residual degrees of freedom.</w:t>
      </w:r>
    </w:p>
    <w:p>
      <w:pPr>
        <w:spacing w:line="269" w:lineRule="auto"/>
      </w:pPr>
      <w:r>
        <w:t>For the percentile bootstrap, 5,000 participant-level samples were drawn with replacement using NumPy random seed 20260919. The 2.5th and 97.5th percentiles of the coefficient distribution formed the 95% interval. All 5,000 resampled models were estimable. The leave-one-out analysis refitted the fully adjusted model after omitting each participant in turn. The additional FVC model retained all primary covariates and added baseline FVC percent predicted.</w:t>
      </w:r>
    </w:p>
    <w:p>
      <w:pPr>
        <w:spacing w:line="269" w:lineRule="auto"/>
      </w:pPr>
      <w:r>
        <w:t>The acquisition-adjusted sensitivity model added two examination-level export variables: slice thickness (ct_index_slice_thickness) and the number of contributing CT series (ct_index_n_ct_rows_collapsed). These describe the historical examination-level outputs and do not imply uniform acquisition protocols. This explicitly specified model was included as a sensitivity analysis, not as an alternative primary model. The deployed algorithm version was not retained in the historical exports, and a cohort-specific segmentation-accuracy study was not available.</w:t>
      </w:r>
    </w:p>
    <w:p>
      <w:pPr>
        <w:pStyle w:val="Heading2"/>
      </w:pPr>
      <w:r>
        <w:t>S4. Primary sensitivity results</w:t>
      </w:r>
    </w:p>
    <w:p>
      <w:pPr>
        <w:pStyle w:val="Heading3"/>
      </w:pPr>
      <w:r>
        <w:t>Table S1. Fully adjusted primary and sensitivity estimates</w:t>
      </w:r>
    </w:p>
    <w:tbl>
      <w:tblPr>
        <w:tblW w:type="auto" w:w="0"/>
        <w:tblLayout w:type="fixed"/>
        <w:tblLook w:firstColumn="1" w:firstRow="1" w:lastColumn="0" w:lastRow="0" w:noHBand="0" w:noVBand="1" w:val="04A0"/>
      </w:tblPr>
      <w:tblGrid>
        <w:gridCol w:w="3960"/>
        <w:gridCol w:w="504"/>
        <w:gridCol w:w="1267"/>
        <w:gridCol w:w="2261"/>
        <w:gridCol w:w="936"/>
      </w:tblGrid>
      <w:tr>
        <w:trPr>
          <w:cantSplit/>
          <w:tblHeader w:val="true"/>
        </w:trPr>
        <w:tc>
          <w:tcPr>
            <w:tcW w:type="dxa" w:w="3960"/>
            <w:tcMar>
              <w:top w:w="45" w:type="dxa"/>
              <w:bottom w:w="45" w:type="dxa"/>
              <w:left w:w="70" w:type="dxa"/>
              <w:right w:w="70" w:type="dxa"/>
            </w:tcMar>
            <w:tcBorders>
              <w:top w:val="single" w:sz="6"/>
              <w:bottom w:val="single" w:sz="6"/>
              <w:left w:val="nil" w:sz="6"/>
              <w:right w:val="nil" w:sz="6"/>
            </w:tcBorders>
          </w:tcPr>
          <w:p>
            <w:pPr>
              <w:spacing w:line="264" w:lineRule="auto" w:before="0" w:after="40"/>
            </w:pPr>
            <w:r>
              <w:rPr>
                <w:b/>
                <w:sz w:val="20"/>
              </w:rPr>
              <w:t>Analysis</w:t>
            </w:r>
          </w:p>
        </w:tc>
        <w:tc>
          <w:tcPr>
            <w:tcW w:type="dxa" w:w="504"/>
            <w:tcMar>
              <w:top w:w="45" w:type="dxa"/>
              <w:bottom w:w="45" w:type="dxa"/>
              <w:left w:w="70" w:type="dxa"/>
              <w:right w:w="70" w:type="dxa"/>
            </w:tcMar>
            <w:tcBorders>
              <w:top w:val="single" w:sz="6"/>
              <w:bottom w:val="single" w:sz="6"/>
              <w:left w:val="nil" w:sz="6"/>
              <w:right w:val="nil" w:sz="6"/>
            </w:tcBorders>
          </w:tcPr>
          <w:p>
            <w:pPr>
              <w:spacing w:line="264" w:lineRule="auto" w:before="0" w:after="40"/>
            </w:pPr>
            <w:r>
              <w:rPr>
                <w:b/>
                <w:sz w:val="20"/>
              </w:rPr>
              <w:t>n</w:t>
            </w:r>
          </w:p>
        </w:tc>
        <w:tc>
          <w:tcPr>
            <w:tcW w:type="dxa" w:w="1267"/>
            <w:tcMar>
              <w:top w:w="45" w:type="dxa"/>
              <w:bottom w:w="45" w:type="dxa"/>
              <w:left w:w="70" w:type="dxa"/>
              <w:right w:w="70" w:type="dxa"/>
            </w:tcMar>
            <w:tcBorders>
              <w:top w:val="single" w:sz="6"/>
              <w:bottom w:val="single" w:sz="6"/>
              <w:left w:val="nil" w:sz="6"/>
              <w:right w:val="nil" w:sz="6"/>
            </w:tcBorders>
          </w:tcPr>
          <w:p>
            <w:pPr>
              <w:spacing w:line="264" w:lineRule="auto" w:before="0" w:after="40"/>
            </w:pPr>
            <w:r>
              <w:rPr>
                <w:b/>
                <w:sz w:val="20"/>
              </w:rPr>
              <w:t>Difference¹</w:t>
            </w:r>
          </w:p>
        </w:tc>
        <w:tc>
          <w:tcPr>
            <w:tcW w:type="dxa" w:w="2261"/>
            <w:tcMar>
              <w:top w:w="45" w:type="dxa"/>
              <w:bottom w:w="45" w:type="dxa"/>
              <w:left w:w="70" w:type="dxa"/>
              <w:right w:w="70" w:type="dxa"/>
            </w:tcMar>
            <w:tcBorders>
              <w:top w:val="single" w:sz="6"/>
              <w:bottom w:val="single" w:sz="6"/>
              <w:left w:val="nil" w:sz="6"/>
              <w:right w:val="nil" w:sz="6"/>
            </w:tcBorders>
          </w:tcPr>
          <w:p>
            <w:pPr>
              <w:spacing w:line="264" w:lineRule="auto" w:before="0" w:after="40"/>
            </w:pPr>
            <w:r>
              <w:rPr>
                <w:b/>
                <w:sz w:val="20"/>
              </w:rPr>
              <w:t>95% CI</w:t>
            </w:r>
          </w:p>
        </w:tc>
        <w:tc>
          <w:tcPr>
            <w:tcW w:type="dxa" w:w="936"/>
            <w:tcMar>
              <w:top w:w="45" w:type="dxa"/>
              <w:bottom w:w="45" w:type="dxa"/>
              <w:left w:w="70" w:type="dxa"/>
              <w:right w:w="70" w:type="dxa"/>
            </w:tcMar>
            <w:tcBorders>
              <w:top w:val="single" w:sz="6"/>
              <w:bottom w:val="single" w:sz="6"/>
              <w:left w:val="nil" w:sz="6"/>
              <w:right w:val="nil" w:sz="6"/>
            </w:tcBorders>
          </w:tcPr>
          <w:p>
            <w:pPr>
              <w:spacing w:line="264" w:lineRule="auto" w:before="0" w:after="40"/>
            </w:pPr>
            <w:r>
              <w:rPr>
                <w:b/>
                <w:sz w:val="20"/>
              </w:rPr>
              <w:t>p value</w:t>
            </w:r>
          </w:p>
        </w:tc>
      </w:tr>
      <w:tr>
        <w:trPr>
          <w:cantSplit/>
        </w:trPr>
        <w:tc>
          <w:tcPr>
            <w:tcW w:type="dxa" w:w="3960"/>
            <w:tcMar>
              <w:top w:w="45" w:type="dxa"/>
              <w:bottom w:w="45" w:type="dxa"/>
              <w:left w:w="70" w:type="dxa"/>
              <w:right w:w="70" w:type="dxa"/>
            </w:tcMar>
            <w:tcBorders>
              <w:top w:val="nil" w:sz="6"/>
              <w:bottom w:val="nil" w:sz="6"/>
              <w:left w:val="nil" w:sz="6"/>
              <w:right w:val="nil" w:sz="6"/>
            </w:tcBorders>
          </w:tcPr>
          <w:p>
            <w:pPr>
              <w:spacing w:line="264" w:lineRule="auto" w:before="0" w:after="40"/>
            </w:pPr>
            <w:r>
              <w:rPr>
                <w:b w:val="0"/>
                <w:sz w:val="20"/>
              </w:rPr>
              <w:t>Primary Model 3</w:t>
            </w:r>
          </w:p>
        </w:tc>
        <w:tc>
          <w:tcPr>
            <w:tcW w:type="dxa" w:w="504"/>
            <w:tcMar>
              <w:top w:w="45" w:type="dxa"/>
              <w:bottom w:w="45" w:type="dxa"/>
              <w:left w:w="70" w:type="dxa"/>
              <w:right w:w="70" w:type="dxa"/>
            </w:tcMar>
            <w:tcBorders>
              <w:top w:val="nil" w:sz="6"/>
              <w:bottom w:val="nil" w:sz="6"/>
              <w:left w:val="nil" w:sz="6"/>
              <w:right w:val="nil" w:sz="6"/>
            </w:tcBorders>
          </w:tcPr>
          <w:p>
            <w:pPr>
              <w:spacing w:line="264" w:lineRule="auto" w:before="0" w:after="40"/>
            </w:pPr>
            <w:r>
              <w:rPr>
                <w:b w:val="0"/>
                <w:sz w:val="20"/>
              </w:rPr>
              <w:t>78</w:t>
            </w:r>
          </w:p>
        </w:tc>
        <w:tc>
          <w:tcPr>
            <w:tcW w:type="dxa" w:w="1267"/>
            <w:tcMar>
              <w:top w:w="45" w:type="dxa"/>
              <w:bottom w:w="45" w:type="dxa"/>
              <w:left w:w="70" w:type="dxa"/>
              <w:right w:w="70" w:type="dxa"/>
            </w:tcMar>
            <w:tcBorders>
              <w:top w:val="nil" w:sz="6"/>
              <w:bottom w:val="nil" w:sz="6"/>
              <w:left w:val="nil" w:sz="6"/>
              <w:right w:val="nil" w:sz="6"/>
            </w:tcBorders>
          </w:tcPr>
          <w:p>
            <w:pPr>
              <w:spacing w:line="264" w:lineRule="auto" w:before="0" w:after="40"/>
            </w:pPr>
            <w:r>
              <w:rPr>
                <w:b w:val="0"/>
                <w:sz w:val="20"/>
              </w:rPr>
              <w:t>−4.99</w:t>
            </w:r>
          </w:p>
        </w:tc>
        <w:tc>
          <w:tcPr>
            <w:tcW w:type="dxa" w:w="2261"/>
            <w:tcMar>
              <w:top w:w="45" w:type="dxa"/>
              <w:bottom w:w="45" w:type="dxa"/>
              <w:left w:w="70" w:type="dxa"/>
              <w:right w:w="70" w:type="dxa"/>
            </w:tcMar>
            <w:tcBorders>
              <w:top w:val="nil" w:sz="6"/>
              <w:bottom w:val="nil" w:sz="6"/>
              <w:left w:val="nil" w:sz="6"/>
              <w:right w:val="nil" w:sz="6"/>
            </w:tcBorders>
          </w:tcPr>
          <w:p>
            <w:pPr>
              <w:spacing w:line="264" w:lineRule="auto" w:before="0" w:after="40"/>
            </w:pPr>
            <w:r>
              <w:rPr>
                <w:b w:val="0"/>
                <w:sz w:val="20"/>
              </w:rPr>
              <w:t>−9.30 to −0.69</w:t>
            </w:r>
          </w:p>
        </w:tc>
        <w:tc>
          <w:tcPr>
            <w:tcW w:type="dxa" w:w="936"/>
            <w:tcMar>
              <w:top w:w="45" w:type="dxa"/>
              <w:bottom w:w="45" w:type="dxa"/>
              <w:left w:w="70" w:type="dxa"/>
              <w:right w:w="70" w:type="dxa"/>
            </w:tcMar>
            <w:tcBorders>
              <w:top w:val="nil" w:sz="6"/>
              <w:bottom w:val="nil" w:sz="6"/>
              <w:left w:val="nil" w:sz="6"/>
              <w:right w:val="nil" w:sz="6"/>
            </w:tcBorders>
          </w:tcPr>
          <w:p>
            <w:pPr>
              <w:spacing w:line="264" w:lineRule="auto" w:before="0" w:after="40"/>
            </w:pPr>
            <w:r>
              <w:rPr>
                <w:b w:val="0"/>
                <w:sz w:val="20"/>
              </w:rPr>
              <w:t>0.024</w:t>
            </w:r>
          </w:p>
        </w:tc>
      </w:tr>
      <w:tr>
        <w:trPr>
          <w:cantSplit/>
        </w:trPr>
        <w:tc>
          <w:tcPr>
            <w:tcW w:type="dxa" w:w="3960"/>
            <w:tcMar>
              <w:top w:w="45" w:type="dxa"/>
              <w:bottom w:w="45" w:type="dxa"/>
              <w:left w:w="70" w:type="dxa"/>
              <w:right w:w="70" w:type="dxa"/>
            </w:tcMar>
            <w:tcBorders>
              <w:top w:val="nil" w:sz="6"/>
              <w:bottom w:val="nil" w:sz="6"/>
              <w:left w:val="nil" w:sz="6"/>
              <w:right w:val="nil" w:sz="6"/>
            </w:tcBorders>
          </w:tcPr>
          <w:p>
            <w:pPr>
              <w:spacing w:line="264" w:lineRule="auto" w:before="0" w:after="40"/>
            </w:pPr>
            <w:r>
              <w:rPr>
                <w:b w:val="0"/>
                <w:sz w:val="20"/>
              </w:rPr>
              <w:t>5,000-resample percentile bootstrap</w:t>
            </w:r>
          </w:p>
        </w:tc>
        <w:tc>
          <w:tcPr>
            <w:tcW w:type="dxa" w:w="504"/>
            <w:tcMar>
              <w:top w:w="45" w:type="dxa"/>
              <w:bottom w:w="45" w:type="dxa"/>
              <w:left w:w="70" w:type="dxa"/>
              <w:right w:w="70" w:type="dxa"/>
            </w:tcMar>
            <w:tcBorders>
              <w:top w:val="nil" w:sz="6"/>
              <w:bottom w:val="nil" w:sz="6"/>
              <w:left w:val="nil" w:sz="6"/>
              <w:right w:val="nil" w:sz="6"/>
            </w:tcBorders>
          </w:tcPr>
          <w:p>
            <w:pPr>
              <w:spacing w:line="264" w:lineRule="auto" w:before="0" w:after="40"/>
            </w:pPr>
            <w:r>
              <w:rPr>
                <w:b w:val="0"/>
                <w:sz w:val="20"/>
              </w:rPr>
              <w:t>78</w:t>
            </w:r>
          </w:p>
        </w:tc>
        <w:tc>
          <w:tcPr>
            <w:tcW w:type="dxa" w:w="1267"/>
            <w:tcMar>
              <w:top w:w="45" w:type="dxa"/>
              <w:bottom w:w="45" w:type="dxa"/>
              <w:left w:w="70" w:type="dxa"/>
              <w:right w:w="70" w:type="dxa"/>
            </w:tcMar>
            <w:tcBorders>
              <w:top w:val="nil" w:sz="6"/>
              <w:bottom w:val="nil" w:sz="6"/>
              <w:left w:val="nil" w:sz="6"/>
              <w:right w:val="nil" w:sz="6"/>
            </w:tcBorders>
          </w:tcPr>
          <w:p>
            <w:pPr>
              <w:spacing w:line="264" w:lineRule="auto" w:before="0" w:after="40"/>
            </w:pPr>
            <w:r>
              <w:rPr>
                <w:b w:val="0"/>
                <w:sz w:val="20"/>
              </w:rPr>
              <w:t>−4.99</w:t>
            </w:r>
          </w:p>
        </w:tc>
        <w:tc>
          <w:tcPr>
            <w:tcW w:type="dxa" w:w="2261"/>
            <w:tcMar>
              <w:top w:w="45" w:type="dxa"/>
              <w:bottom w:w="45" w:type="dxa"/>
              <w:left w:w="70" w:type="dxa"/>
              <w:right w:w="70" w:type="dxa"/>
            </w:tcMar>
            <w:tcBorders>
              <w:top w:val="nil" w:sz="6"/>
              <w:bottom w:val="nil" w:sz="6"/>
              <w:left w:val="nil" w:sz="6"/>
              <w:right w:val="nil" w:sz="6"/>
            </w:tcBorders>
          </w:tcPr>
          <w:p>
            <w:pPr>
              <w:spacing w:line="264" w:lineRule="auto" w:before="0" w:after="40"/>
            </w:pPr>
            <w:r>
              <w:rPr>
                <w:b w:val="0"/>
                <w:sz w:val="20"/>
              </w:rPr>
              <w:t>−9.22 to −1.11</w:t>
            </w:r>
          </w:p>
        </w:tc>
        <w:tc>
          <w:tcPr>
            <w:tcW w:type="dxa" w:w="936"/>
            <w:tcMar>
              <w:top w:w="45" w:type="dxa"/>
              <w:bottom w:w="45" w:type="dxa"/>
              <w:left w:w="70" w:type="dxa"/>
              <w:right w:w="70" w:type="dxa"/>
            </w:tcMar>
            <w:tcBorders>
              <w:top w:val="nil" w:sz="6"/>
              <w:bottom w:val="nil" w:sz="6"/>
              <w:left w:val="nil" w:sz="6"/>
              <w:right w:val="nil" w:sz="6"/>
            </w:tcBorders>
          </w:tcPr>
          <w:p>
            <w:pPr>
              <w:spacing w:line="264" w:lineRule="auto" w:before="0" w:after="40"/>
            </w:pPr>
            <w:r>
              <w:rPr>
                <w:b w:val="0"/>
                <w:sz w:val="20"/>
              </w:rPr>
              <w:t>—</w:t>
            </w:r>
          </w:p>
        </w:tc>
      </w:tr>
      <w:tr>
        <w:trPr>
          <w:cantSplit/>
        </w:trPr>
        <w:tc>
          <w:tcPr>
            <w:tcW w:type="dxa" w:w="3960"/>
            <w:tcMar>
              <w:top w:w="45" w:type="dxa"/>
              <w:bottom w:w="45" w:type="dxa"/>
              <w:left w:w="70" w:type="dxa"/>
              <w:right w:w="70" w:type="dxa"/>
            </w:tcMar>
            <w:tcBorders>
              <w:top w:val="nil" w:sz="6"/>
              <w:bottom w:val="nil" w:sz="6"/>
              <w:left w:val="nil" w:sz="6"/>
              <w:right w:val="nil" w:sz="6"/>
            </w:tcBorders>
          </w:tcPr>
          <w:p>
            <w:pPr>
              <w:spacing w:line="264" w:lineRule="auto" w:before="0" w:after="40"/>
            </w:pPr>
            <w:r>
              <w:rPr>
                <w:b w:val="0"/>
                <w:sz w:val="20"/>
              </w:rPr>
              <w:t>Model 3 + baseline FVC</w:t>
            </w:r>
          </w:p>
        </w:tc>
        <w:tc>
          <w:tcPr>
            <w:tcW w:type="dxa" w:w="504"/>
            <w:tcMar>
              <w:top w:w="45" w:type="dxa"/>
              <w:bottom w:w="45" w:type="dxa"/>
              <w:left w:w="70" w:type="dxa"/>
              <w:right w:w="70" w:type="dxa"/>
            </w:tcMar>
            <w:tcBorders>
              <w:top w:val="nil" w:sz="6"/>
              <w:bottom w:val="nil" w:sz="6"/>
              <w:left w:val="nil" w:sz="6"/>
              <w:right w:val="nil" w:sz="6"/>
            </w:tcBorders>
          </w:tcPr>
          <w:p>
            <w:pPr>
              <w:spacing w:line="264" w:lineRule="auto" w:before="0" w:after="40"/>
            </w:pPr>
            <w:r>
              <w:rPr>
                <w:b w:val="0"/>
                <w:sz w:val="20"/>
              </w:rPr>
              <w:t>78</w:t>
            </w:r>
          </w:p>
        </w:tc>
        <w:tc>
          <w:tcPr>
            <w:tcW w:type="dxa" w:w="1267"/>
            <w:tcMar>
              <w:top w:w="45" w:type="dxa"/>
              <w:bottom w:w="45" w:type="dxa"/>
              <w:left w:w="70" w:type="dxa"/>
              <w:right w:w="70" w:type="dxa"/>
            </w:tcMar>
            <w:tcBorders>
              <w:top w:val="nil" w:sz="6"/>
              <w:bottom w:val="nil" w:sz="6"/>
              <w:left w:val="nil" w:sz="6"/>
              <w:right w:val="nil" w:sz="6"/>
            </w:tcBorders>
          </w:tcPr>
          <w:p>
            <w:pPr>
              <w:spacing w:line="264" w:lineRule="auto" w:before="0" w:after="40"/>
            </w:pPr>
            <w:r>
              <w:rPr>
                <w:b w:val="0"/>
                <w:sz w:val="20"/>
              </w:rPr>
              <w:t>−4.99</w:t>
            </w:r>
          </w:p>
        </w:tc>
        <w:tc>
          <w:tcPr>
            <w:tcW w:type="dxa" w:w="2261"/>
            <w:tcMar>
              <w:top w:w="45" w:type="dxa"/>
              <w:bottom w:w="45" w:type="dxa"/>
              <w:left w:w="70" w:type="dxa"/>
              <w:right w:w="70" w:type="dxa"/>
            </w:tcMar>
            <w:tcBorders>
              <w:top w:val="nil" w:sz="6"/>
              <w:bottom w:val="nil" w:sz="6"/>
              <w:left w:val="nil" w:sz="6"/>
              <w:right w:val="nil" w:sz="6"/>
            </w:tcBorders>
          </w:tcPr>
          <w:p>
            <w:pPr>
              <w:spacing w:line="264" w:lineRule="auto" w:before="0" w:after="40"/>
            </w:pPr>
            <w:r>
              <w:rPr>
                <w:b w:val="0"/>
                <w:sz w:val="20"/>
              </w:rPr>
              <w:t>−9.36 to −0.63</w:t>
            </w:r>
          </w:p>
        </w:tc>
        <w:tc>
          <w:tcPr>
            <w:tcW w:type="dxa" w:w="936"/>
            <w:tcMar>
              <w:top w:w="45" w:type="dxa"/>
              <w:bottom w:w="45" w:type="dxa"/>
              <w:left w:w="70" w:type="dxa"/>
              <w:right w:w="70" w:type="dxa"/>
            </w:tcMar>
            <w:tcBorders>
              <w:top w:val="nil" w:sz="6"/>
              <w:bottom w:val="nil" w:sz="6"/>
              <w:left w:val="nil" w:sz="6"/>
              <w:right w:val="nil" w:sz="6"/>
            </w:tcBorders>
          </w:tcPr>
          <w:p>
            <w:pPr>
              <w:spacing w:line="264" w:lineRule="auto" w:before="0" w:after="40"/>
            </w:pPr>
            <w:r>
              <w:rPr>
                <w:b w:val="0"/>
                <w:sz w:val="20"/>
              </w:rPr>
              <w:t>0.026</w:t>
            </w:r>
          </w:p>
        </w:tc>
      </w:tr>
      <w:tr>
        <w:trPr>
          <w:cantSplit/>
        </w:trPr>
        <w:tc>
          <w:tcPr>
            <w:tcW w:type="dxa" w:w="3960"/>
            <w:tcMar>
              <w:top w:w="45" w:type="dxa"/>
              <w:bottom w:w="45" w:type="dxa"/>
              <w:left w:w="70" w:type="dxa"/>
              <w:right w:w="70" w:type="dxa"/>
            </w:tcMar>
            <w:tcBorders>
              <w:top w:val="nil" w:sz="6"/>
              <w:bottom w:val="nil" w:sz="6"/>
              <w:left w:val="nil" w:sz="6"/>
              <w:right w:val="nil" w:sz="6"/>
            </w:tcBorders>
          </w:tcPr>
          <w:p>
            <w:pPr>
              <w:spacing w:line="264" w:lineRule="auto" w:before="0" w:after="40"/>
            </w:pPr>
            <w:r>
              <w:rPr>
                <w:b w:val="0"/>
                <w:sz w:val="20"/>
              </w:rPr>
              <w:t>Model 3 + acquisition indicators</w:t>
            </w:r>
          </w:p>
        </w:tc>
        <w:tc>
          <w:tcPr>
            <w:tcW w:type="dxa" w:w="504"/>
            <w:tcMar>
              <w:top w:w="45" w:type="dxa"/>
              <w:bottom w:w="45" w:type="dxa"/>
              <w:left w:w="70" w:type="dxa"/>
              <w:right w:w="70" w:type="dxa"/>
            </w:tcMar>
            <w:tcBorders>
              <w:top w:val="nil" w:sz="6"/>
              <w:bottom w:val="nil" w:sz="6"/>
              <w:left w:val="nil" w:sz="6"/>
              <w:right w:val="nil" w:sz="6"/>
            </w:tcBorders>
          </w:tcPr>
          <w:p>
            <w:pPr>
              <w:spacing w:line="264" w:lineRule="auto" w:before="0" w:after="40"/>
            </w:pPr>
            <w:r>
              <w:rPr>
                <w:b w:val="0"/>
                <w:sz w:val="20"/>
              </w:rPr>
              <w:t>78</w:t>
            </w:r>
          </w:p>
        </w:tc>
        <w:tc>
          <w:tcPr>
            <w:tcW w:type="dxa" w:w="1267"/>
            <w:tcMar>
              <w:top w:w="45" w:type="dxa"/>
              <w:bottom w:w="45" w:type="dxa"/>
              <w:left w:w="70" w:type="dxa"/>
              <w:right w:w="70" w:type="dxa"/>
            </w:tcMar>
            <w:tcBorders>
              <w:top w:val="nil" w:sz="6"/>
              <w:bottom w:val="nil" w:sz="6"/>
              <w:left w:val="nil" w:sz="6"/>
              <w:right w:val="nil" w:sz="6"/>
            </w:tcBorders>
          </w:tcPr>
          <w:p>
            <w:pPr>
              <w:spacing w:line="264" w:lineRule="auto" w:before="0" w:after="40"/>
            </w:pPr>
            <w:r>
              <w:rPr>
                <w:b w:val="0"/>
                <w:sz w:val="20"/>
              </w:rPr>
              <w:t>−6.15</w:t>
            </w:r>
          </w:p>
        </w:tc>
        <w:tc>
          <w:tcPr>
            <w:tcW w:type="dxa" w:w="2261"/>
            <w:tcMar>
              <w:top w:w="45" w:type="dxa"/>
              <w:bottom w:w="45" w:type="dxa"/>
              <w:left w:w="70" w:type="dxa"/>
              <w:right w:w="70" w:type="dxa"/>
            </w:tcMar>
            <w:tcBorders>
              <w:top w:val="nil" w:sz="6"/>
              <w:bottom w:val="nil" w:sz="6"/>
              <w:left w:val="nil" w:sz="6"/>
              <w:right w:val="nil" w:sz="6"/>
            </w:tcBorders>
          </w:tcPr>
          <w:p>
            <w:pPr>
              <w:spacing w:line="264" w:lineRule="auto" w:before="0" w:after="40"/>
            </w:pPr>
            <w:r>
              <w:rPr>
                <w:b w:val="0"/>
                <w:sz w:val="20"/>
              </w:rPr>
              <w:t>−11.26 to −1.04</w:t>
            </w:r>
          </w:p>
        </w:tc>
        <w:tc>
          <w:tcPr>
            <w:tcW w:type="dxa" w:w="936"/>
            <w:tcMar>
              <w:top w:w="45" w:type="dxa"/>
              <w:bottom w:w="45" w:type="dxa"/>
              <w:left w:w="70" w:type="dxa"/>
              <w:right w:w="70" w:type="dxa"/>
            </w:tcMar>
            <w:tcBorders>
              <w:top w:val="nil" w:sz="6"/>
              <w:bottom w:val="nil" w:sz="6"/>
              <w:left w:val="nil" w:sz="6"/>
              <w:right w:val="nil" w:sz="6"/>
            </w:tcBorders>
          </w:tcPr>
          <w:p>
            <w:pPr>
              <w:spacing w:line="264" w:lineRule="auto" w:before="0" w:after="40"/>
            </w:pPr>
            <w:r>
              <w:rPr>
                <w:b w:val="0"/>
                <w:sz w:val="20"/>
              </w:rPr>
              <w:t>0.019</w:t>
            </w:r>
          </w:p>
        </w:tc>
      </w:tr>
      <w:tr>
        <w:trPr>
          <w:cantSplit/>
        </w:trPr>
        <w:tc>
          <w:tcPr>
            <w:tcW w:type="dxa" w:w="3960"/>
            <w:tcMar>
              <w:top w:w="45" w:type="dxa"/>
              <w:bottom w:w="45" w:type="dxa"/>
              <w:left w:w="70" w:type="dxa"/>
              <w:right w:w="70" w:type="dxa"/>
            </w:tcMar>
            <w:tcBorders>
              <w:top w:val="nil" w:sz="6"/>
              <w:bottom w:val="single" w:sz="6"/>
              <w:left w:val="nil" w:sz="6"/>
              <w:right w:val="nil" w:sz="6"/>
            </w:tcBorders>
          </w:tcPr>
          <w:p>
            <w:pPr>
              <w:spacing w:line="264" w:lineRule="auto" w:before="0" w:after="40"/>
            </w:pPr>
            <w:r>
              <w:rPr>
                <w:b w:val="0"/>
                <w:sz w:val="20"/>
              </w:rPr>
              <w:t>One excluded record reinstated</w:t>
            </w:r>
          </w:p>
        </w:tc>
        <w:tc>
          <w:tcPr>
            <w:tcW w:type="dxa" w:w="504"/>
            <w:tcMar>
              <w:top w:w="45" w:type="dxa"/>
              <w:bottom w:w="45" w:type="dxa"/>
              <w:left w:w="70" w:type="dxa"/>
              <w:right w:w="70" w:type="dxa"/>
            </w:tcMar>
            <w:tcBorders>
              <w:top w:val="nil" w:sz="6"/>
              <w:bottom w:val="single" w:sz="6"/>
              <w:left w:val="nil" w:sz="6"/>
              <w:right w:val="nil" w:sz="6"/>
            </w:tcBorders>
          </w:tcPr>
          <w:p>
            <w:pPr>
              <w:spacing w:line="264" w:lineRule="auto" w:before="0" w:after="40"/>
            </w:pPr>
            <w:r>
              <w:rPr>
                <w:b w:val="0"/>
                <w:sz w:val="20"/>
              </w:rPr>
              <w:t>79</w:t>
            </w:r>
          </w:p>
        </w:tc>
        <w:tc>
          <w:tcPr>
            <w:tcW w:type="dxa" w:w="1267"/>
            <w:tcMar>
              <w:top w:w="45" w:type="dxa"/>
              <w:bottom w:w="45" w:type="dxa"/>
              <w:left w:w="70" w:type="dxa"/>
              <w:right w:w="70" w:type="dxa"/>
            </w:tcMar>
            <w:tcBorders>
              <w:top w:val="nil" w:sz="6"/>
              <w:bottom w:val="single" w:sz="6"/>
              <w:left w:val="nil" w:sz="6"/>
              <w:right w:val="nil" w:sz="6"/>
            </w:tcBorders>
          </w:tcPr>
          <w:p>
            <w:pPr>
              <w:spacing w:line="264" w:lineRule="auto" w:before="0" w:after="40"/>
            </w:pPr>
            <w:r>
              <w:rPr>
                <w:b w:val="0"/>
                <w:sz w:val="20"/>
              </w:rPr>
              <w:t>−5.22</w:t>
            </w:r>
          </w:p>
        </w:tc>
        <w:tc>
          <w:tcPr>
            <w:tcW w:type="dxa" w:w="2261"/>
            <w:tcMar>
              <w:top w:w="45" w:type="dxa"/>
              <w:bottom w:w="45" w:type="dxa"/>
              <w:left w:w="70" w:type="dxa"/>
              <w:right w:w="70" w:type="dxa"/>
            </w:tcMar>
            <w:tcBorders>
              <w:top w:val="nil" w:sz="6"/>
              <w:bottom w:val="single" w:sz="6"/>
              <w:left w:val="nil" w:sz="6"/>
              <w:right w:val="nil" w:sz="6"/>
            </w:tcBorders>
          </w:tcPr>
          <w:p>
            <w:pPr>
              <w:spacing w:line="264" w:lineRule="auto" w:before="0" w:after="40"/>
            </w:pPr>
            <w:r>
              <w:rPr>
                <w:b w:val="0"/>
                <w:sz w:val="20"/>
              </w:rPr>
              <w:t>−9.48 to −0.95</w:t>
            </w:r>
          </w:p>
        </w:tc>
        <w:tc>
          <w:tcPr>
            <w:tcW w:type="dxa" w:w="936"/>
            <w:tcMar>
              <w:top w:w="45" w:type="dxa"/>
              <w:bottom w:w="45" w:type="dxa"/>
              <w:left w:w="70" w:type="dxa"/>
              <w:right w:w="70" w:type="dxa"/>
            </w:tcMar>
            <w:tcBorders>
              <w:top w:val="nil" w:sz="6"/>
              <w:bottom w:val="single" w:sz="6"/>
              <w:left w:val="nil" w:sz="6"/>
              <w:right w:val="nil" w:sz="6"/>
            </w:tcBorders>
          </w:tcPr>
          <w:p>
            <w:pPr>
              <w:spacing w:line="264" w:lineRule="auto" w:before="0" w:after="40"/>
            </w:pPr>
            <w:r>
              <w:rPr>
                <w:b w:val="0"/>
                <w:sz w:val="20"/>
              </w:rPr>
              <w:t>0.017</w:t>
            </w:r>
          </w:p>
        </w:tc>
      </w:tr>
    </w:tbl>
    <w:p>
      <w:pPr>
        <w:spacing w:line="269" w:lineRule="auto"/>
      </w:pPr>
      <w:r>
        <w:rPr>
          <w:sz w:val="20"/>
        </w:rPr>
        <w:t>¹ Baseline DLCO percentage-point difference per 1-SD higher Myosteatosis Index. Model 3 adjusts for age, sex, ILD extent, emphysema fraction, BMI and pack-years. Acquisition indicators are specified in S3. HC3 intervals are used except for the percentile bootstrap. Across 78 leave-one-out models, the coefficient ranged from −5.45 to −3.48 percentage points; all estimates were negative.</w:t>
      </w:r>
    </w:p>
    <w:p>
      <w:pPr>
        <w:pStyle w:val="Heading2"/>
      </w:pPr>
      <w:r>
        <w:t>S5. Exploratory ESMI and follow-up FVC models</w:t>
      </w:r>
    </w:p>
    <w:p>
      <w:pPr>
        <w:spacing w:line="269" w:lineRule="auto"/>
      </w:pPr>
      <w:r>
        <w:t>Follow-up FVC was available in all 85 patients, with a median of 73.0% predicted (IQR 60.0–85.0). The exploratory models included the 80 patients with valid baseline height and complete model variables.</w:t>
      </w:r>
    </w:p>
    <w:p>
      <w:pPr>
        <w:pStyle w:val="Heading3"/>
      </w:pPr>
      <w:r>
        <w:t>Table S2. Baseline ESMI and baseline-adjusted follow-up FVC</w:t>
      </w:r>
    </w:p>
    <w:tbl>
      <w:tblPr>
        <w:tblW w:type="auto" w:w="0"/>
        <w:tblLayout w:type="fixed"/>
        <w:tblLook w:firstColumn="1" w:firstRow="1" w:lastColumn="0" w:lastRow="0" w:noHBand="0" w:noVBand="1" w:val="04A0"/>
      </w:tblPr>
      <w:tblGrid>
        <w:gridCol w:w="3960"/>
        <w:gridCol w:w="504"/>
        <w:gridCol w:w="1267"/>
        <w:gridCol w:w="2261"/>
        <w:gridCol w:w="936"/>
      </w:tblGrid>
      <w:tr>
        <w:trPr>
          <w:cantSplit/>
          <w:tblHeader w:val="true"/>
        </w:trPr>
        <w:tc>
          <w:tcPr>
            <w:tcW w:type="dxa" w:w="3960"/>
            <w:tcMar>
              <w:top w:w="45" w:type="dxa"/>
              <w:bottom w:w="45" w:type="dxa"/>
              <w:left w:w="70" w:type="dxa"/>
              <w:right w:w="70" w:type="dxa"/>
            </w:tcMar>
            <w:tcBorders>
              <w:top w:val="single" w:sz="6"/>
              <w:bottom w:val="single" w:sz="6"/>
              <w:left w:val="nil" w:sz="6"/>
              <w:right w:val="nil" w:sz="6"/>
            </w:tcBorders>
          </w:tcPr>
          <w:p>
            <w:pPr>
              <w:spacing w:line="264" w:lineRule="auto" w:before="0" w:after="40"/>
            </w:pPr>
            <w:r>
              <w:rPr>
                <w:b/>
                <w:sz w:val="20"/>
              </w:rPr>
              <w:t>Model and adjustment</w:t>
            </w:r>
          </w:p>
        </w:tc>
        <w:tc>
          <w:tcPr>
            <w:tcW w:type="dxa" w:w="504"/>
            <w:tcMar>
              <w:top w:w="45" w:type="dxa"/>
              <w:bottom w:w="45" w:type="dxa"/>
              <w:left w:w="70" w:type="dxa"/>
              <w:right w:w="70" w:type="dxa"/>
            </w:tcMar>
            <w:tcBorders>
              <w:top w:val="single" w:sz="6"/>
              <w:bottom w:val="single" w:sz="6"/>
              <w:left w:val="nil" w:sz="6"/>
              <w:right w:val="nil" w:sz="6"/>
            </w:tcBorders>
          </w:tcPr>
          <w:p>
            <w:pPr>
              <w:spacing w:line="264" w:lineRule="auto" w:before="0" w:after="40"/>
            </w:pPr>
            <w:r>
              <w:rPr>
                <w:b/>
                <w:sz w:val="20"/>
              </w:rPr>
              <w:t>n</w:t>
            </w:r>
          </w:p>
        </w:tc>
        <w:tc>
          <w:tcPr>
            <w:tcW w:type="dxa" w:w="1267"/>
            <w:tcMar>
              <w:top w:w="45" w:type="dxa"/>
              <w:bottom w:w="45" w:type="dxa"/>
              <w:left w:w="70" w:type="dxa"/>
              <w:right w:w="70" w:type="dxa"/>
            </w:tcMar>
            <w:tcBorders>
              <w:top w:val="single" w:sz="6"/>
              <w:bottom w:val="single" w:sz="6"/>
              <w:left w:val="nil" w:sz="6"/>
              <w:right w:val="nil" w:sz="6"/>
            </w:tcBorders>
          </w:tcPr>
          <w:p>
            <w:pPr>
              <w:spacing w:line="264" w:lineRule="auto" w:before="0" w:after="40"/>
            </w:pPr>
            <w:r>
              <w:rPr>
                <w:b/>
                <w:sz w:val="20"/>
              </w:rPr>
              <w:t>Difference¹</w:t>
            </w:r>
          </w:p>
        </w:tc>
        <w:tc>
          <w:tcPr>
            <w:tcW w:type="dxa" w:w="2261"/>
            <w:tcMar>
              <w:top w:w="45" w:type="dxa"/>
              <w:bottom w:w="45" w:type="dxa"/>
              <w:left w:w="70" w:type="dxa"/>
              <w:right w:w="70" w:type="dxa"/>
            </w:tcMar>
            <w:tcBorders>
              <w:top w:val="single" w:sz="6"/>
              <w:bottom w:val="single" w:sz="6"/>
              <w:left w:val="nil" w:sz="6"/>
              <w:right w:val="nil" w:sz="6"/>
            </w:tcBorders>
          </w:tcPr>
          <w:p>
            <w:pPr>
              <w:spacing w:line="264" w:lineRule="auto" w:before="0" w:after="40"/>
            </w:pPr>
            <w:r>
              <w:rPr>
                <w:b/>
                <w:sz w:val="20"/>
              </w:rPr>
              <w:t>95% CI</w:t>
            </w:r>
          </w:p>
        </w:tc>
        <w:tc>
          <w:tcPr>
            <w:tcW w:type="dxa" w:w="936"/>
            <w:tcMar>
              <w:top w:w="45" w:type="dxa"/>
              <w:bottom w:w="45" w:type="dxa"/>
              <w:left w:w="70" w:type="dxa"/>
              <w:right w:w="70" w:type="dxa"/>
            </w:tcMar>
            <w:tcBorders>
              <w:top w:val="single" w:sz="6"/>
              <w:bottom w:val="single" w:sz="6"/>
              <w:left w:val="nil" w:sz="6"/>
              <w:right w:val="nil" w:sz="6"/>
            </w:tcBorders>
          </w:tcPr>
          <w:p>
            <w:pPr>
              <w:spacing w:line="264" w:lineRule="auto" w:before="0" w:after="40"/>
            </w:pPr>
            <w:r>
              <w:rPr>
                <w:b/>
                <w:sz w:val="20"/>
              </w:rPr>
              <w:t>p value</w:t>
            </w:r>
          </w:p>
        </w:tc>
      </w:tr>
      <w:tr>
        <w:trPr>
          <w:cantSplit/>
        </w:trPr>
        <w:tc>
          <w:tcPr>
            <w:tcW w:type="dxa" w:w="3960"/>
            <w:tcMar>
              <w:top w:w="45" w:type="dxa"/>
              <w:bottom w:w="45" w:type="dxa"/>
              <w:left w:w="70" w:type="dxa"/>
              <w:right w:w="70" w:type="dxa"/>
            </w:tcMar>
            <w:tcBorders>
              <w:top w:val="nil" w:sz="6"/>
              <w:bottom w:val="nil" w:sz="6"/>
              <w:left w:val="nil" w:sz="6"/>
              <w:right w:val="nil" w:sz="6"/>
            </w:tcBorders>
          </w:tcPr>
          <w:p>
            <w:pPr>
              <w:spacing w:line="264" w:lineRule="auto" w:before="0" w:after="40"/>
            </w:pPr>
            <w:r>
              <w:rPr>
                <w:b w:val="0"/>
                <w:sz w:val="20"/>
              </w:rPr>
              <w:t>Model E1: baseline FVC, follow-up duration, age, sex, initial antifibrotic</w:t>
            </w:r>
          </w:p>
        </w:tc>
        <w:tc>
          <w:tcPr>
            <w:tcW w:type="dxa" w:w="504"/>
            <w:tcMar>
              <w:top w:w="45" w:type="dxa"/>
              <w:bottom w:w="45" w:type="dxa"/>
              <w:left w:w="70" w:type="dxa"/>
              <w:right w:w="70" w:type="dxa"/>
            </w:tcMar>
            <w:tcBorders>
              <w:top w:val="nil" w:sz="6"/>
              <w:bottom w:val="nil" w:sz="6"/>
              <w:left w:val="nil" w:sz="6"/>
              <w:right w:val="nil" w:sz="6"/>
            </w:tcBorders>
          </w:tcPr>
          <w:p>
            <w:pPr>
              <w:spacing w:line="264" w:lineRule="auto" w:before="0" w:after="40"/>
            </w:pPr>
            <w:r>
              <w:rPr>
                <w:b w:val="0"/>
                <w:sz w:val="20"/>
              </w:rPr>
              <w:t>80</w:t>
            </w:r>
          </w:p>
        </w:tc>
        <w:tc>
          <w:tcPr>
            <w:tcW w:type="dxa" w:w="1267"/>
            <w:tcMar>
              <w:top w:w="45" w:type="dxa"/>
              <w:bottom w:w="45" w:type="dxa"/>
              <w:left w:w="70" w:type="dxa"/>
              <w:right w:w="70" w:type="dxa"/>
            </w:tcMar>
            <w:tcBorders>
              <w:top w:val="nil" w:sz="6"/>
              <w:bottom w:val="nil" w:sz="6"/>
              <w:left w:val="nil" w:sz="6"/>
              <w:right w:val="nil" w:sz="6"/>
            </w:tcBorders>
          </w:tcPr>
          <w:p>
            <w:pPr>
              <w:spacing w:line="264" w:lineRule="auto" w:before="0" w:after="40"/>
            </w:pPr>
            <w:r>
              <w:rPr>
                <w:b w:val="0"/>
                <w:sz w:val="20"/>
              </w:rPr>
              <w:t>−0.02</w:t>
            </w:r>
          </w:p>
        </w:tc>
        <w:tc>
          <w:tcPr>
            <w:tcW w:type="dxa" w:w="2261"/>
            <w:tcMar>
              <w:top w:w="45" w:type="dxa"/>
              <w:bottom w:w="45" w:type="dxa"/>
              <w:left w:w="70" w:type="dxa"/>
              <w:right w:w="70" w:type="dxa"/>
            </w:tcMar>
            <w:tcBorders>
              <w:top w:val="nil" w:sz="6"/>
              <w:bottom w:val="nil" w:sz="6"/>
              <w:left w:val="nil" w:sz="6"/>
              <w:right w:val="nil" w:sz="6"/>
            </w:tcBorders>
          </w:tcPr>
          <w:p>
            <w:pPr>
              <w:spacing w:line="264" w:lineRule="auto" w:before="0" w:after="40"/>
            </w:pPr>
            <w:r>
              <w:rPr>
                <w:b w:val="0"/>
                <w:sz w:val="20"/>
              </w:rPr>
              <w:t>−0.34 to 0.30</w:t>
            </w:r>
          </w:p>
        </w:tc>
        <w:tc>
          <w:tcPr>
            <w:tcW w:type="dxa" w:w="936"/>
            <w:tcMar>
              <w:top w:w="45" w:type="dxa"/>
              <w:bottom w:w="45" w:type="dxa"/>
              <w:left w:w="70" w:type="dxa"/>
              <w:right w:w="70" w:type="dxa"/>
            </w:tcMar>
            <w:tcBorders>
              <w:top w:val="nil" w:sz="6"/>
              <w:bottom w:val="nil" w:sz="6"/>
              <w:left w:val="nil" w:sz="6"/>
              <w:right w:val="nil" w:sz="6"/>
            </w:tcBorders>
          </w:tcPr>
          <w:p>
            <w:pPr>
              <w:spacing w:line="264" w:lineRule="auto" w:before="0" w:after="40"/>
            </w:pPr>
            <w:r>
              <w:rPr>
                <w:b w:val="0"/>
                <w:sz w:val="20"/>
              </w:rPr>
              <w:t>0.903</w:t>
            </w:r>
          </w:p>
        </w:tc>
      </w:tr>
      <w:tr>
        <w:trPr>
          <w:cantSplit/>
        </w:trPr>
        <w:tc>
          <w:tcPr>
            <w:tcW w:type="dxa" w:w="3960"/>
            <w:tcMar>
              <w:top w:w="45" w:type="dxa"/>
              <w:bottom w:w="45" w:type="dxa"/>
              <w:left w:w="70" w:type="dxa"/>
              <w:right w:w="70" w:type="dxa"/>
            </w:tcMar>
            <w:tcBorders>
              <w:top w:val="nil" w:sz="6"/>
              <w:bottom w:val="nil" w:sz="6"/>
              <w:left w:val="nil" w:sz="6"/>
              <w:right w:val="nil" w:sz="6"/>
            </w:tcBorders>
          </w:tcPr>
          <w:p>
            <w:pPr>
              <w:spacing w:line="264" w:lineRule="auto" w:before="0" w:after="40"/>
            </w:pPr>
            <w:r>
              <w:rPr>
                <w:b w:val="0"/>
                <w:sz w:val="20"/>
              </w:rPr>
              <w:t>Model E2: Model E1 + ILD extent</w:t>
            </w:r>
          </w:p>
        </w:tc>
        <w:tc>
          <w:tcPr>
            <w:tcW w:type="dxa" w:w="504"/>
            <w:tcMar>
              <w:top w:w="45" w:type="dxa"/>
              <w:bottom w:w="45" w:type="dxa"/>
              <w:left w:w="70" w:type="dxa"/>
              <w:right w:w="70" w:type="dxa"/>
            </w:tcMar>
            <w:tcBorders>
              <w:top w:val="nil" w:sz="6"/>
              <w:bottom w:val="nil" w:sz="6"/>
              <w:left w:val="nil" w:sz="6"/>
              <w:right w:val="nil" w:sz="6"/>
            </w:tcBorders>
          </w:tcPr>
          <w:p>
            <w:pPr>
              <w:spacing w:line="264" w:lineRule="auto" w:before="0" w:after="40"/>
            </w:pPr>
            <w:r>
              <w:rPr>
                <w:b w:val="0"/>
                <w:sz w:val="20"/>
              </w:rPr>
              <w:t>80</w:t>
            </w:r>
          </w:p>
        </w:tc>
        <w:tc>
          <w:tcPr>
            <w:tcW w:type="dxa" w:w="1267"/>
            <w:tcMar>
              <w:top w:w="45" w:type="dxa"/>
              <w:bottom w:w="45" w:type="dxa"/>
              <w:left w:w="70" w:type="dxa"/>
              <w:right w:w="70" w:type="dxa"/>
            </w:tcMar>
            <w:tcBorders>
              <w:top w:val="nil" w:sz="6"/>
              <w:bottom w:val="nil" w:sz="6"/>
              <w:left w:val="nil" w:sz="6"/>
              <w:right w:val="nil" w:sz="6"/>
            </w:tcBorders>
          </w:tcPr>
          <w:p>
            <w:pPr>
              <w:spacing w:line="264" w:lineRule="auto" w:before="0" w:after="40"/>
            </w:pPr>
            <w:r>
              <w:rPr>
                <w:b w:val="0"/>
                <w:sz w:val="20"/>
              </w:rPr>
              <w:t>−0.09</w:t>
            </w:r>
          </w:p>
        </w:tc>
        <w:tc>
          <w:tcPr>
            <w:tcW w:type="dxa" w:w="2261"/>
            <w:tcMar>
              <w:top w:w="45" w:type="dxa"/>
              <w:bottom w:w="45" w:type="dxa"/>
              <w:left w:w="70" w:type="dxa"/>
              <w:right w:w="70" w:type="dxa"/>
            </w:tcMar>
            <w:tcBorders>
              <w:top w:val="nil" w:sz="6"/>
              <w:bottom w:val="nil" w:sz="6"/>
              <w:left w:val="nil" w:sz="6"/>
              <w:right w:val="nil" w:sz="6"/>
            </w:tcBorders>
          </w:tcPr>
          <w:p>
            <w:pPr>
              <w:spacing w:line="264" w:lineRule="auto" w:before="0" w:after="40"/>
            </w:pPr>
            <w:r>
              <w:rPr>
                <w:b w:val="0"/>
                <w:sz w:val="20"/>
              </w:rPr>
              <w:t>−0.38 to 0.20</w:t>
            </w:r>
          </w:p>
        </w:tc>
        <w:tc>
          <w:tcPr>
            <w:tcW w:type="dxa" w:w="936"/>
            <w:tcMar>
              <w:top w:w="45" w:type="dxa"/>
              <w:bottom w:w="45" w:type="dxa"/>
              <w:left w:w="70" w:type="dxa"/>
              <w:right w:w="70" w:type="dxa"/>
            </w:tcMar>
            <w:tcBorders>
              <w:top w:val="nil" w:sz="6"/>
              <w:bottom w:val="nil" w:sz="6"/>
              <w:left w:val="nil" w:sz="6"/>
              <w:right w:val="nil" w:sz="6"/>
            </w:tcBorders>
          </w:tcPr>
          <w:p>
            <w:pPr>
              <w:spacing w:line="264" w:lineRule="auto" w:before="0" w:after="40"/>
            </w:pPr>
            <w:r>
              <w:rPr>
                <w:b w:val="0"/>
                <w:sz w:val="20"/>
              </w:rPr>
              <w:t>0.525</w:t>
            </w:r>
          </w:p>
        </w:tc>
      </w:tr>
      <w:tr>
        <w:trPr>
          <w:cantSplit/>
        </w:trPr>
        <w:tc>
          <w:tcPr>
            <w:tcW w:type="dxa" w:w="3960"/>
            <w:tcMar>
              <w:top w:w="45" w:type="dxa"/>
              <w:bottom w:w="45" w:type="dxa"/>
              <w:left w:w="70" w:type="dxa"/>
              <w:right w:w="70" w:type="dxa"/>
            </w:tcMar>
            <w:tcBorders>
              <w:top w:val="nil" w:sz="6"/>
              <w:bottom w:val="single" w:sz="6"/>
              <w:left w:val="nil" w:sz="6"/>
              <w:right w:val="nil" w:sz="6"/>
            </w:tcBorders>
          </w:tcPr>
          <w:p>
            <w:pPr>
              <w:spacing w:line="264" w:lineRule="auto" w:before="0" w:after="40"/>
            </w:pPr>
            <w:r>
              <w:rPr>
                <w:b w:val="0"/>
                <w:sz w:val="20"/>
              </w:rPr>
              <w:t>Model E3: Model E2 + emphysema fraction</w:t>
            </w:r>
          </w:p>
        </w:tc>
        <w:tc>
          <w:tcPr>
            <w:tcW w:type="dxa" w:w="504"/>
            <w:tcMar>
              <w:top w:w="45" w:type="dxa"/>
              <w:bottom w:w="45" w:type="dxa"/>
              <w:left w:w="70" w:type="dxa"/>
              <w:right w:w="70" w:type="dxa"/>
            </w:tcMar>
            <w:tcBorders>
              <w:top w:val="nil" w:sz="6"/>
              <w:bottom w:val="single" w:sz="6"/>
              <w:left w:val="nil" w:sz="6"/>
              <w:right w:val="nil" w:sz="6"/>
            </w:tcBorders>
          </w:tcPr>
          <w:p>
            <w:pPr>
              <w:spacing w:line="264" w:lineRule="auto" w:before="0" w:after="40"/>
            </w:pPr>
            <w:r>
              <w:rPr>
                <w:b w:val="0"/>
                <w:sz w:val="20"/>
              </w:rPr>
              <w:t>80</w:t>
            </w:r>
          </w:p>
        </w:tc>
        <w:tc>
          <w:tcPr>
            <w:tcW w:type="dxa" w:w="1267"/>
            <w:tcMar>
              <w:top w:w="45" w:type="dxa"/>
              <w:bottom w:w="45" w:type="dxa"/>
              <w:left w:w="70" w:type="dxa"/>
              <w:right w:w="70" w:type="dxa"/>
            </w:tcMar>
            <w:tcBorders>
              <w:top w:val="nil" w:sz="6"/>
              <w:bottom w:val="single" w:sz="6"/>
              <w:left w:val="nil" w:sz="6"/>
              <w:right w:val="nil" w:sz="6"/>
            </w:tcBorders>
          </w:tcPr>
          <w:p>
            <w:pPr>
              <w:spacing w:line="264" w:lineRule="auto" w:before="0" w:after="40"/>
            </w:pPr>
            <w:r>
              <w:rPr>
                <w:b w:val="0"/>
                <w:sz w:val="20"/>
              </w:rPr>
              <w:t>−0.09</w:t>
            </w:r>
          </w:p>
        </w:tc>
        <w:tc>
          <w:tcPr>
            <w:tcW w:type="dxa" w:w="2261"/>
            <w:tcMar>
              <w:top w:w="45" w:type="dxa"/>
              <w:bottom w:w="45" w:type="dxa"/>
              <w:left w:w="70" w:type="dxa"/>
              <w:right w:w="70" w:type="dxa"/>
            </w:tcMar>
            <w:tcBorders>
              <w:top w:val="nil" w:sz="6"/>
              <w:bottom w:val="single" w:sz="6"/>
              <w:left w:val="nil" w:sz="6"/>
              <w:right w:val="nil" w:sz="6"/>
            </w:tcBorders>
          </w:tcPr>
          <w:p>
            <w:pPr>
              <w:spacing w:line="264" w:lineRule="auto" w:before="0" w:after="40"/>
            </w:pPr>
            <w:r>
              <w:rPr>
                <w:b w:val="0"/>
                <w:sz w:val="20"/>
              </w:rPr>
              <w:t>−0.38 to 0.20</w:t>
            </w:r>
          </w:p>
        </w:tc>
        <w:tc>
          <w:tcPr>
            <w:tcW w:type="dxa" w:w="936"/>
            <w:tcMar>
              <w:top w:w="45" w:type="dxa"/>
              <w:bottom w:w="45" w:type="dxa"/>
              <w:left w:w="70" w:type="dxa"/>
              <w:right w:w="70" w:type="dxa"/>
            </w:tcMar>
            <w:tcBorders>
              <w:top w:val="nil" w:sz="6"/>
              <w:bottom w:val="single" w:sz="6"/>
              <w:left w:val="nil" w:sz="6"/>
              <w:right w:val="nil" w:sz="6"/>
            </w:tcBorders>
          </w:tcPr>
          <w:p>
            <w:pPr>
              <w:spacing w:line="264" w:lineRule="auto" w:before="0" w:after="40"/>
            </w:pPr>
            <w:r>
              <w:rPr>
                <w:b w:val="0"/>
                <w:sz w:val="20"/>
              </w:rPr>
              <w:t>0.528</w:t>
            </w:r>
          </w:p>
        </w:tc>
      </w:tr>
    </w:tbl>
    <w:p>
      <w:pPr>
        <w:spacing w:line="269" w:lineRule="auto"/>
      </w:pPr>
      <w:r>
        <w:rPr>
          <w:sz w:val="20"/>
        </w:rPr>
        <w:t>¹ Follow-up FVC percentage-point difference per 0.01 L/m² higher baseline ESMI. Initial antifibrotic treatment uses the exported binary coding: pirfenidone=0 and nintedanib=1. The follow-up interval was included as a continuous variable in years. Models estimate follow-up FVC conditional on baseline FVC, not annualised change. The 5,000-resample percentile interval for Model E2 was −0.34 to 0.21 percentage points. The Pearson correlation between baseline Myosteatosis Index and ESMI was −0.23.</w:t>
      </w:r>
    </w:p>
    <w:p>
      <w:pPr>
        <w:pStyle w:val="Heading2"/>
        <w:pageBreakBefore/>
      </w:pPr>
      <w:r>
        <w:t>S6. Complete coefficients of the primary model</w:t>
      </w:r>
    </w:p>
    <w:p>
      <w:pPr>
        <w:pStyle w:val="Heading3"/>
      </w:pPr>
      <w:r>
        <w:t>Table S3. All coefficients in Model 3 (n=78)</w:t>
      </w:r>
    </w:p>
    <w:tbl>
      <w:tblPr>
        <w:tblW w:type="auto" w:w="0"/>
        <w:tblLayout w:type="fixed"/>
        <w:tblLook w:firstColumn="1" w:firstRow="1" w:lastColumn="0" w:lastRow="0" w:noHBand="0" w:noVBand="1" w:val="04A0"/>
      </w:tblPr>
      <w:tblGrid>
        <w:gridCol w:w="4104"/>
        <w:gridCol w:w="1224"/>
        <w:gridCol w:w="2592"/>
        <w:gridCol w:w="1008"/>
      </w:tblGrid>
      <w:tr>
        <w:trPr>
          <w:cantSplit/>
          <w:tblHeader w:val="true"/>
        </w:trPr>
        <w:tc>
          <w:tcPr>
            <w:tcW w:type="dxa" w:w="4104"/>
            <w:tcMar>
              <w:top w:w="45" w:type="dxa"/>
              <w:bottom w:w="45" w:type="dxa"/>
              <w:left w:w="70" w:type="dxa"/>
              <w:right w:w="70" w:type="dxa"/>
            </w:tcMar>
            <w:tcBorders>
              <w:top w:val="single" w:sz="6"/>
              <w:bottom w:val="single" w:sz="6"/>
              <w:left w:val="nil" w:sz="6"/>
              <w:right w:val="nil" w:sz="6"/>
            </w:tcBorders>
          </w:tcPr>
          <w:p>
            <w:pPr>
              <w:keepNext/>
              <w:spacing w:line="264" w:lineRule="auto" w:before="0" w:after="40"/>
            </w:pPr>
            <w:r>
              <w:rPr>
                <w:b/>
                <w:sz w:val="20"/>
              </w:rPr>
              <w:t>Variable</w:t>
            </w:r>
          </w:p>
        </w:tc>
        <w:tc>
          <w:tcPr>
            <w:tcW w:type="dxa" w:w="1224"/>
            <w:tcMar>
              <w:top w:w="45" w:type="dxa"/>
              <w:bottom w:w="45" w:type="dxa"/>
              <w:left w:w="70" w:type="dxa"/>
              <w:right w:w="70" w:type="dxa"/>
            </w:tcMar>
            <w:tcBorders>
              <w:top w:val="single" w:sz="6"/>
              <w:bottom w:val="single" w:sz="6"/>
              <w:left w:val="nil" w:sz="6"/>
              <w:right w:val="nil" w:sz="6"/>
            </w:tcBorders>
          </w:tcPr>
          <w:p>
            <w:pPr>
              <w:keepNext/>
              <w:spacing w:line="264" w:lineRule="auto" w:before="0" w:after="40"/>
            </w:pPr>
            <w:r>
              <w:rPr>
                <w:b/>
                <w:sz w:val="20"/>
              </w:rPr>
              <w:t>Coefficient¹</w:t>
            </w:r>
          </w:p>
        </w:tc>
        <w:tc>
          <w:tcPr>
            <w:tcW w:type="dxa" w:w="2592"/>
            <w:tcMar>
              <w:top w:w="45" w:type="dxa"/>
              <w:bottom w:w="45" w:type="dxa"/>
              <w:left w:w="70" w:type="dxa"/>
              <w:right w:w="70" w:type="dxa"/>
            </w:tcMar>
            <w:tcBorders>
              <w:top w:val="single" w:sz="6"/>
              <w:bottom w:val="single" w:sz="6"/>
              <w:left w:val="nil" w:sz="6"/>
              <w:right w:val="nil" w:sz="6"/>
            </w:tcBorders>
          </w:tcPr>
          <w:p>
            <w:pPr>
              <w:keepNext/>
              <w:spacing w:line="264" w:lineRule="auto" w:before="0" w:after="40"/>
            </w:pPr>
            <w:r>
              <w:rPr>
                <w:b/>
                <w:sz w:val="20"/>
              </w:rPr>
              <w:t>95% CI</w:t>
            </w:r>
          </w:p>
        </w:tc>
        <w:tc>
          <w:tcPr>
            <w:tcW w:type="dxa" w:w="1008"/>
            <w:tcMar>
              <w:top w:w="45" w:type="dxa"/>
              <w:bottom w:w="45" w:type="dxa"/>
              <w:left w:w="70" w:type="dxa"/>
              <w:right w:w="70" w:type="dxa"/>
            </w:tcMar>
            <w:tcBorders>
              <w:top w:val="single" w:sz="6"/>
              <w:bottom w:val="single" w:sz="6"/>
              <w:left w:val="nil" w:sz="6"/>
              <w:right w:val="nil" w:sz="6"/>
            </w:tcBorders>
          </w:tcPr>
          <w:p>
            <w:pPr>
              <w:keepNext/>
              <w:spacing w:line="264" w:lineRule="auto" w:before="0" w:after="40"/>
            </w:pPr>
            <w:r>
              <w:rPr>
                <w:b/>
                <w:sz w:val="20"/>
              </w:rPr>
              <w:t>p value</w:t>
            </w:r>
          </w:p>
        </w:tc>
      </w:tr>
      <w:tr>
        <w:trPr>
          <w:cantSplit/>
        </w:trPr>
        <w:tc>
          <w:tcPr>
            <w:tcW w:type="dxa" w:w="4104"/>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0"/>
              </w:rPr>
              <w:t>Intercept</w:t>
            </w:r>
          </w:p>
        </w:tc>
        <w:tc>
          <w:tcPr>
            <w:tcW w:type="dxa" w:w="1224"/>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0"/>
              </w:rPr>
              <w:t>65.30</w:t>
            </w:r>
          </w:p>
        </w:tc>
        <w:tc>
          <w:tcPr>
            <w:tcW w:type="dxa" w:w="2592"/>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0"/>
              </w:rPr>
              <w:t>25.84 to 104.75</w:t>
            </w:r>
          </w:p>
        </w:tc>
        <w:tc>
          <w:tcPr>
            <w:tcW w:type="dxa" w:w="1008"/>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0"/>
              </w:rPr>
              <w:t>0.002</w:t>
            </w:r>
          </w:p>
        </w:tc>
      </w:tr>
      <w:tr>
        <w:trPr>
          <w:cantSplit/>
        </w:trPr>
        <w:tc>
          <w:tcPr>
            <w:tcW w:type="dxa" w:w="4104"/>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0"/>
              </w:rPr>
              <w:t>Myosteatosis Index, per 1 SD</w:t>
            </w:r>
          </w:p>
        </w:tc>
        <w:tc>
          <w:tcPr>
            <w:tcW w:type="dxa" w:w="1224"/>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0"/>
              </w:rPr>
              <w:t>−4.99</w:t>
            </w:r>
          </w:p>
        </w:tc>
        <w:tc>
          <w:tcPr>
            <w:tcW w:type="dxa" w:w="2592"/>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0"/>
              </w:rPr>
              <w:t>−9.30 to −0.69</w:t>
            </w:r>
          </w:p>
        </w:tc>
        <w:tc>
          <w:tcPr>
            <w:tcW w:type="dxa" w:w="1008"/>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0"/>
              </w:rPr>
              <w:t>0.024</w:t>
            </w:r>
          </w:p>
        </w:tc>
      </w:tr>
      <w:tr>
        <w:trPr>
          <w:cantSplit/>
        </w:trPr>
        <w:tc>
          <w:tcPr>
            <w:tcW w:type="dxa" w:w="4104"/>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0"/>
              </w:rPr>
              <w:t>Age, per year</w:t>
            </w:r>
          </w:p>
        </w:tc>
        <w:tc>
          <w:tcPr>
            <w:tcW w:type="dxa" w:w="1224"/>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0"/>
              </w:rPr>
              <w:t>0.18</w:t>
            </w:r>
          </w:p>
        </w:tc>
        <w:tc>
          <w:tcPr>
            <w:tcW w:type="dxa" w:w="2592"/>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0"/>
              </w:rPr>
              <w:t>−0.28 to 0.63</w:t>
            </w:r>
          </w:p>
        </w:tc>
        <w:tc>
          <w:tcPr>
            <w:tcW w:type="dxa" w:w="1008"/>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0"/>
              </w:rPr>
              <w:t>0.445</w:t>
            </w:r>
          </w:p>
        </w:tc>
      </w:tr>
      <w:tr>
        <w:trPr>
          <w:cantSplit/>
        </w:trPr>
        <w:tc>
          <w:tcPr>
            <w:tcW w:type="dxa" w:w="4104"/>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0"/>
              </w:rPr>
              <w:t>Female versus male</w:t>
            </w:r>
          </w:p>
        </w:tc>
        <w:tc>
          <w:tcPr>
            <w:tcW w:type="dxa" w:w="1224"/>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0"/>
              </w:rPr>
              <w:t>−5.56</w:t>
            </w:r>
          </w:p>
        </w:tc>
        <w:tc>
          <w:tcPr>
            <w:tcW w:type="dxa" w:w="2592"/>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0"/>
              </w:rPr>
              <w:t>−14.19 to 3.07</w:t>
            </w:r>
          </w:p>
        </w:tc>
        <w:tc>
          <w:tcPr>
            <w:tcW w:type="dxa" w:w="1008"/>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0"/>
              </w:rPr>
              <w:t>0.203</w:t>
            </w:r>
          </w:p>
        </w:tc>
      </w:tr>
      <w:tr>
        <w:trPr>
          <w:cantSplit/>
        </w:trPr>
        <w:tc>
          <w:tcPr>
            <w:tcW w:type="dxa" w:w="4104"/>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0"/>
              </w:rPr>
              <w:t>ILD extent, per percentage point</w:t>
            </w:r>
          </w:p>
        </w:tc>
        <w:tc>
          <w:tcPr>
            <w:tcW w:type="dxa" w:w="1224"/>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0"/>
              </w:rPr>
              <w:t>−0.34</w:t>
            </w:r>
          </w:p>
        </w:tc>
        <w:tc>
          <w:tcPr>
            <w:tcW w:type="dxa" w:w="2592"/>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0"/>
              </w:rPr>
              <w:t>−0.63 to −0.05</w:t>
            </w:r>
          </w:p>
        </w:tc>
        <w:tc>
          <w:tcPr>
            <w:tcW w:type="dxa" w:w="1008"/>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0"/>
              </w:rPr>
              <w:t>0.021</w:t>
            </w:r>
          </w:p>
        </w:tc>
      </w:tr>
      <w:tr>
        <w:trPr>
          <w:cantSplit/>
        </w:trPr>
        <w:tc>
          <w:tcPr>
            <w:tcW w:type="dxa" w:w="4104"/>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0"/>
              </w:rPr>
              <w:t>Emphysema, per percentage point</w:t>
            </w:r>
          </w:p>
        </w:tc>
        <w:tc>
          <w:tcPr>
            <w:tcW w:type="dxa" w:w="1224"/>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0"/>
              </w:rPr>
              <w:t>−0.34</w:t>
            </w:r>
          </w:p>
        </w:tc>
        <w:tc>
          <w:tcPr>
            <w:tcW w:type="dxa" w:w="2592"/>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0"/>
              </w:rPr>
              <w:t>−1.27 to 0.59</w:t>
            </w:r>
          </w:p>
        </w:tc>
        <w:tc>
          <w:tcPr>
            <w:tcW w:type="dxa" w:w="1008"/>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0"/>
              </w:rPr>
              <w:t>0.469</w:t>
            </w:r>
          </w:p>
        </w:tc>
      </w:tr>
      <w:tr>
        <w:trPr>
          <w:cantSplit/>
        </w:trPr>
        <w:tc>
          <w:tcPr>
            <w:tcW w:type="dxa" w:w="4104"/>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0"/>
              </w:rPr>
              <w:t>BMI, per kg/m²</w:t>
            </w:r>
          </w:p>
        </w:tc>
        <w:tc>
          <w:tcPr>
            <w:tcW w:type="dxa" w:w="1224"/>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0"/>
              </w:rPr>
              <w:t>−0.06</w:t>
            </w:r>
          </w:p>
        </w:tc>
        <w:tc>
          <w:tcPr>
            <w:tcW w:type="dxa" w:w="2592"/>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0"/>
              </w:rPr>
              <w:t>−0.85 to 0.74</w:t>
            </w:r>
          </w:p>
        </w:tc>
        <w:tc>
          <w:tcPr>
            <w:tcW w:type="dxa" w:w="1008"/>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0"/>
              </w:rPr>
              <w:t>0.885</w:t>
            </w:r>
          </w:p>
        </w:tc>
      </w:tr>
      <w:tr>
        <w:trPr>
          <w:cantSplit/>
        </w:trPr>
        <w:tc>
          <w:tcPr>
            <w:tcW w:type="dxa" w:w="4104"/>
            <w:tcMar>
              <w:top w:w="45" w:type="dxa"/>
              <w:bottom w:w="45" w:type="dxa"/>
              <w:left w:w="70" w:type="dxa"/>
              <w:right w:w="70" w:type="dxa"/>
            </w:tcMar>
            <w:tcBorders>
              <w:top w:val="nil" w:sz="6"/>
              <w:bottom w:val="single" w:sz="6"/>
              <w:left w:val="nil" w:sz="6"/>
              <w:right w:val="nil" w:sz="6"/>
            </w:tcBorders>
          </w:tcPr>
          <w:p>
            <w:pPr>
              <w:keepNext/>
              <w:spacing w:line="264" w:lineRule="auto" w:before="0" w:after="40"/>
            </w:pPr>
            <w:r>
              <w:rPr>
                <w:b w:val="0"/>
                <w:sz w:val="20"/>
              </w:rPr>
              <w:t>Smoking exposure, per pack-year</w:t>
            </w:r>
          </w:p>
        </w:tc>
        <w:tc>
          <w:tcPr>
            <w:tcW w:type="dxa" w:w="1224"/>
            <w:tcMar>
              <w:top w:w="45" w:type="dxa"/>
              <w:bottom w:w="45" w:type="dxa"/>
              <w:left w:w="70" w:type="dxa"/>
              <w:right w:w="70" w:type="dxa"/>
            </w:tcMar>
            <w:tcBorders>
              <w:top w:val="nil" w:sz="6"/>
              <w:bottom w:val="single" w:sz="6"/>
              <w:left w:val="nil" w:sz="6"/>
              <w:right w:val="nil" w:sz="6"/>
            </w:tcBorders>
          </w:tcPr>
          <w:p>
            <w:pPr>
              <w:keepNext/>
              <w:spacing w:line="264" w:lineRule="auto" w:before="0" w:after="40"/>
            </w:pPr>
            <w:r>
              <w:rPr>
                <w:b w:val="0"/>
                <w:sz w:val="20"/>
              </w:rPr>
              <w:t>−0.14</w:t>
            </w:r>
          </w:p>
        </w:tc>
        <w:tc>
          <w:tcPr>
            <w:tcW w:type="dxa" w:w="2592"/>
            <w:tcMar>
              <w:top w:w="45" w:type="dxa"/>
              <w:bottom w:w="45" w:type="dxa"/>
              <w:left w:w="70" w:type="dxa"/>
              <w:right w:w="70" w:type="dxa"/>
            </w:tcMar>
            <w:tcBorders>
              <w:top w:val="nil" w:sz="6"/>
              <w:bottom w:val="single" w:sz="6"/>
              <w:left w:val="nil" w:sz="6"/>
              <w:right w:val="nil" w:sz="6"/>
            </w:tcBorders>
          </w:tcPr>
          <w:p>
            <w:pPr>
              <w:keepNext/>
              <w:spacing w:line="264" w:lineRule="auto" w:before="0" w:after="40"/>
            </w:pPr>
            <w:r>
              <w:rPr>
                <w:b w:val="0"/>
                <w:sz w:val="20"/>
              </w:rPr>
              <w:t>−0.29 to 0.02</w:t>
            </w:r>
          </w:p>
        </w:tc>
        <w:tc>
          <w:tcPr>
            <w:tcW w:type="dxa" w:w="1008"/>
            <w:tcMar>
              <w:top w:w="45" w:type="dxa"/>
              <w:bottom w:w="45" w:type="dxa"/>
              <w:left w:w="70" w:type="dxa"/>
              <w:right w:w="70" w:type="dxa"/>
            </w:tcMar>
            <w:tcBorders>
              <w:top w:val="nil" w:sz="6"/>
              <w:bottom w:val="single" w:sz="6"/>
              <w:left w:val="nil" w:sz="6"/>
              <w:right w:val="nil" w:sz="6"/>
            </w:tcBorders>
          </w:tcPr>
          <w:p>
            <w:pPr>
              <w:keepNext/>
              <w:spacing w:line="264" w:lineRule="auto" w:before="0" w:after="40"/>
            </w:pPr>
            <w:r>
              <w:rPr>
                <w:b w:val="0"/>
                <w:sz w:val="20"/>
              </w:rPr>
              <w:t>0.078</w:t>
            </w:r>
          </w:p>
        </w:tc>
      </w:tr>
    </w:tbl>
    <w:p>
      <w:pPr>
        <w:keepLines/>
        <w:spacing w:line="269" w:lineRule="auto"/>
      </w:pPr>
      <w:r>
        <w:rPr>
          <w:sz w:val="20"/>
        </w:rPr>
        <w:t>¹ Baseline DLCO percentage-point difference. Myosteatosis Index was standardised; other continuous variables remain on their original scales. The intercept corresponds to zero values of the listed covariates and is not a clinically meaningful reference patient. HC3 confidence intervals; no automatic variable selection. Model R²=0.230. Covariate coefficients describe the fitted adjustment model and are not separate causal effect estimates.</w:t>
      </w:r>
    </w:p>
    <w:p>
      <w:pPr>
        <w:pStyle w:val="Heading2"/>
      </w:pPr>
      <w:r>
        <w:t>S7. Availability of analysis variables</w:t>
      </w:r>
    </w:p>
    <w:p>
      <w:pPr>
        <w:pStyle w:val="Heading3"/>
      </w:pPr>
      <w:r>
        <w:t>Table S4. Available and unavailable values in the 85-patient cohort</w:t>
      </w:r>
    </w:p>
    <w:tbl>
      <w:tblPr>
        <w:tblW w:type="auto" w:w="0"/>
        <w:tblLayout w:type="fixed"/>
        <w:tblLook w:firstColumn="1" w:firstRow="1" w:lastColumn="0" w:lastRow="0" w:noHBand="0" w:noVBand="1" w:val="04A0"/>
      </w:tblPr>
      <w:tblGrid>
        <w:gridCol w:w="6048"/>
        <w:gridCol w:w="1440"/>
        <w:gridCol w:w="1440"/>
      </w:tblGrid>
      <w:tr>
        <w:trPr>
          <w:cantSplit/>
          <w:tblHeader w:val="true"/>
        </w:trPr>
        <w:tc>
          <w:tcPr>
            <w:tcW w:type="dxa" w:w="6048"/>
            <w:tcMar>
              <w:top w:w="45" w:type="dxa"/>
              <w:bottom w:w="45" w:type="dxa"/>
              <w:left w:w="70" w:type="dxa"/>
              <w:right w:w="70" w:type="dxa"/>
            </w:tcMar>
            <w:tcBorders>
              <w:top w:val="single" w:sz="6"/>
              <w:bottom w:val="single" w:sz="6"/>
              <w:left w:val="nil" w:sz="6"/>
              <w:right w:val="nil" w:sz="6"/>
            </w:tcBorders>
          </w:tcPr>
          <w:p>
            <w:pPr>
              <w:keepNext/>
              <w:spacing w:line="264" w:lineRule="auto" w:before="0" w:after="40"/>
            </w:pPr>
            <w:r>
              <w:rPr>
                <w:b/>
                <w:sz w:val="21"/>
              </w:rPr>
              <w:t>Variable</w:t>
            </w:r>
          </w:p>
        </w:tc>
        <w:tc>
          <w:tcPr>
            <w:tcW w:type="dxa" w:w="1440"/>
            <w:tcMar>
              <w:top w:w="45" w:type="dxa"/>
              <w:bottom w:w="45" w:type="dxa"/>
              <w:left w:w="70" w:type="dxa"/>
              <w:right w:w="70" w:type="dxa"/>
            </w:tcMar>
            <w:tcBorders>
              <w:top w:val="single" w:sz="6"/>
              <w:bottom w:val="single" w:sz="6"/>
              <w:left w:val="nil" w:sz="6"/>
              <w:right w:val="nil" w:sz="6"/>
            </w:tcBorders>
          </w:tcPr>
          <w:p>
            <w:pPr>
              <w:keepNext/>
              <w:spacing w:line="264" w:lineRule="auto" w:before="0" w:after="40"/>
            </w:pPr>
            <w:r>
              <w:rPr>
                <w:b/>
                <w:sz w:val="21"/>
              </w:rPr>
              <w:t>Available n</w:t>
            </w:r>
          </w:p>
        </w:tc>
        <w:tc>
          <w:tcPr>
            <w:tcW w:type="dxa" w:w="1440"/>
            <w:tcMar>
              <w:top w:w="45" w:type="dxa"/>
              <w:bottom w:w="45" w:type="dxa"/>
              <w:left w:w="70" w:type="dxa"/>
              <w:right w:w="70" w:type="dxa"/>
            </w:tcMar>
            <w:tcBorders>
              <w:top w:val="single" w:sz="6"/>
              <w:bottom w:val="single" w:sz="6"/>
              <w:left w:val="nil" w:sz="6"/>
              <w:right w:val="nil" w:sz="6"/>
            </w:tcBorders>
          </w:tcPr>
          <w:p>
            <w:pPr>
              <w:keepNext/>
              <w:spacing w:line="264" w:lineRule="auto" w:before="0" w:after="40"/>
            </w:pPr>
            <w:r>
              <w:rPr>
                <w:b/>
                <w:sz w:val="21"/>
              </w:rPr>
              <w:t>Unavailable n</w:t>
            </w:r>
          </w:p>
        </w:tc>
      </w:tr>
      <w:tr>
        <w:trPr>
          <w:cantSplit/>
        </w:trPr>
        <w:tc>
          <w:tcPr>
            <w:tcW w:type="dxa" w:w="6048"/>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Baseline DLCO</w:t>
            </w:r>
          </w:p>
        </w:tc>
        <w:tc>
          <w:tcPr>
            <w:tcW w:type="dxa" w:w="1440"/>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78</w:t>
            </w:r>
          </w:p>
        </w:tc>
        <w:tc>
          <w:tcPr>
            <w:tcW w:type="dxa" w:w="1440"/>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7</w:t>
            </w:r>
          </w:p>
        </w:tc>
      </w:tr>
      <w:tr>
        <w:trPr>
          <w:cantSplit/>
        </w:trPr>
        <w:tc>
          <w:tcPr>
            <w:tcW w:type="dxa" w:w="6048"/>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Myosteatosis Index</w:t>
            </w:r>
          </w:p>
        </w:tc>
        <w:tc>
          <w:tcPr>
            <w:tcW w:type="dxa" w:w="1440"/>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85</w:t>
            </w:r>
          </w:p>
        </w:tc>
        <w:tc>
          <w:tcPr>
            <w:tcW w:type="dxa" w:w="1440"/>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0</w:t>
            </w:r>
          </w:p>
        </w:tc>
      </w:tr>
      <w:tr>
        <w:trPr>
          <w:cantSplit/>
        </w:trPr>
        <w:tc>
          <w:tcPr>
            <w:tcW w:type="dxa" w:w="6048"/>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Baseline age</w:t>
            </w:r>
          </w:p>
        </w:tc>
        <w:tc>
          <w:tcPr>
            <w:tcW w:type="dxa" w:w="1440"/>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85</w:t>
            </w:r>
          </w:p>
        </w:tc>
        <w:tc>
          <w:tcPr>
            <w:tcW w:type="dxa" w:w="1440"/>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0</w:t>
            </w:r>
          </w:p>
        </w:tc>
      </w:tr>
      <w:tr>
        <w:trPr>
          <w:cantSplit/>
        </w:trPr>
        <w:tc>
          <w:tcPr>
            <w:tcW w:type="dxa" w:w="6048"/>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Sex</w:t>
            </w:r>
          </w:p>
        </w:tc>
        <w:tc>
          <w:tcPr>
            <w:tcW w:type="dxa" w:w="1440"/>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85</w:t>
            </w:r>
          </w:p>
        </w:tc>
        <w:tc>
          <w:tcPr>
            <w:tcW w:type="dxa" w:w="1440"/>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0</w:t>
            </w:r>
          </w:p>
        </w:tc>
      </w:tr>
      <w:tr>
        <w:trPr>
          <w:cantSplit/>
        </w:trPr>
        <w:tc>
          <w:tcPr>
            <w:tcW w:type="dxa" w:w="6048"/>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ILD extent</w:t>
            </w:r>
          </w:p>
        </w:tc>
        <w:tc>
          <w:tcPr>
            <w:tcW w:type="dxa" w:w="1440"/>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85</w:t>
            </w:r>
          </w:p>
        </w:tc>
        <w:tc>
          <w:tcPr>
            <w:tcW w:type="dxa" w:w="1440"/>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0</w:t>
            </w:r>
          </w:p>
        </w:tc>
      </w:tr>
      <w:tr>
        <w:trPr>
          <w:cantSplit/>
        </w:trPr>
        <w:tc>
          <w:tcPr>
            <w:tcW w:type="dxa" w:w="6048"/>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Emphysema fraction</w:t>
            </w:r>
          </w:p>
        </w:tc>
        <w:tc>
          <w:tcPr>
            <w:tcW w:type="dxa" w:w="1440"/>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85</w:t>
            </w:r>
          </w:p>
        </w:tc>
        <w:tc>
          <w:tcPr>
            <w:tcW w:type="dxa" w:w="1440"/>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0</w:t>
            </w:r>
          </w:p>
        </w:tc>
      </w:tr>
      <w:tr>
        <w:trPr>
          <w:cantSplit/>
        </w:trPr>
        <w:tc>
          <w:tcPr>
            <w:tcW w:type="dxa" w:w="6048"/>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BMI</w:t>
            </w:r>
          </w:p>
        </w:tc>
        <w:tc>
          <w:tcPr>
            <w:tcW w:type="dxa" w:w="1440"/>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80</w:t>
            </w:r>
          </w:p>
        </w:tc>
        <w:tc>
          <w:tcPr>
            <w:tcW w:type="dxa" w:w="1440"/>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5</w:t>
            </w:r>
          </w:p>
        </w:tc>
      </w:tr>
      <w:tr>
        <w:trPr>
          <w:cantSplit/>
        </w:trPr>
        <w:tc>
          <w:tcPr>
            <w:tcW w:type="dxa" w:w="6048"/>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Pack-years</w:t>
            </w:r>
          </w:p>
        </w:tc>
        <w:tc>
          <w:tcPr>
            <w:tcW w:type="dxa" w:w="1440"/>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85</w:t>
            </w:r>
          </w:p>
        </w:tc>
        <w:tc>
          <w:tcPr>
            <w:tcW w:type="dxa" w:w="1440"/>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0</w:t>
            </w:r>
          </w:p>
        </w:tc>
      </w:tr>
      <w:tr>
        <w:trPr>
          <w:cantSplit/>
        </w:trPr>
        <w:tc>
          <w:tcPr>
            <w:tcW w:type="dxa" w:w="6048"/>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ESMI</w:t>
            </w:r>
          </w:p>
        </w:tc>
        <w:tc>
          <w:tcPr>
            <w:tcW w:type="dxa" w:w="1440"/>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80</w:t>
            </w:r>
          </w:p>
        </w:tc>
        <w:tc>
          <w:tcPr>
            <w:tcW w:type="dxa" w:w="1440"/>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5</w:t>
            </w:r>
          </w:p>
        </w:tc>
      </w:tr>
      <w:tr>
        <w:trPr>
          <w:cantSplit/>
        </w:trPr>
        <w:tc>
          <w:tcPr>
            <w:tcW w:type="dxa" w:w="6048"/>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Follow-up FVC</w:t>
            </w:r>
          </w:p>
        </w:tc>
        <w:tc>
          <w:tcPr>
            <w:tcW w:type="dxa" w:w="1440"/>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85</w:t>
            </w:r>
          </w:p>
        </w:tc>
        <w:tc>
          <w:tcPr>
            <w:tcW w:type="dxa" w:w="1440"/>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0</w:t>
            </w:r>
          </w:p>
        </w:tc>
      </w:tr>
      <w:tr>
        <w:trPr>
          <w:cantSplit/>
        </w:trPr>
        <w:tc>
          <w:tcPr>
            <w:tcW w:type="dxa" w:w="6048"/>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Baseline FVC</w:t>
            </w:r>
          </w:p>
        </w:tc>
        <w:tc>
          <w:tcPr>
            <w:tcW w:type="dxa" w:w="1440"/>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85</w:t>
            </w:r>
          </w:p>
        </w:tc>
        <w:tc>
          <w:tcPr>
            <w:tcW w:type="dxa" w:w="1440"/>
            <w:tcMar>
              <w:top w:w="45" w:type="dxa"/>
              <w:bottom w:w="45" w:type="dxa"/>
              <w:left w:w="70" w:type="dxa"/>
              <w:right w:w="70" w:type="dxa"/>
            </w:tcMar>
            <w:tcBorders>
              <w:top w:val="nil" w:sz="6"/>
              <w:bottom w:val="nil" w:sz="6"/>
              <w:left w:val="nil" w:sz="6"/>
              <w:right w:val="nil" w:sz="6"/>
            </w:tcBorders>
          </w:tcPr>
          <w:p>
            <w:pPr>
              <w:keepNext/>
              <w:spacing w:line="264" w:lineRule="auto" w:before="0" w:after="40"/>
            </w:pPr>
            <w:r>
              <w:rPr>
                <w:b w:val="0"/>
                <w:sz w:val="21"/>
              </w:rPr>
              <w:t>0</w:t>
            </w:r>
          </w:p>
        </w:tc>
      </w:tr>
      <w:tr>
        <w:trPr>
          <w:cantSplit/>
        </w:trPr>
        <w:tc>
          <w:tcPr>
            <w:tcW w:type="dxa" w:w="6048"/>
            <w:tcMar>
              <w:top w:w="45" w:type="dxa"/>
              <w:bottom w:w="45" w:type="dxa"/>
              <w:left w:w="70" w:type="dxa"/>
              <w:right w:w="70" w:type="dxa"/>
            </w:tcMar>
            <w:tcBorders>
              <w:top w:val="nil" w:sz="6"/>
              <w:left w:val="nil" w:sz="6"/>
              <w:right w:val="nil" w:sz="6"/>
            </w:tcBorders>
          </w:tcPr>
          <w:p>
            <w:pPr>
              <w:keepNext/>
              <w:spacing w:line="264" w:lineRule="auto" w:before="0" w:after="40"/>
            </w:pPr>
            <w:r>
              <w:rPr>
                <w:b w:val="0"/>
                <w:sz w:val="21"/>
              </w:rPr>
              <w:t>Follow-up interval</w:t>
            </w:r>
          </w:p>
        </w:tc>
        <w:tc>
          <w:tcPr>
            <w:tcW w:type="dxa" w:w="1440"/>
            <w:tcMar>
              <w:top w:w="45" w:type="dxa"/>
              <w:bottom w:w="45" w:type="dxa"/>
              <w:left w:w="70" w:type="dxa"/>
              <w:right w:w="70" w:type="dxa"/>
            </w:tcMar>
            <w:tcBorders>
              <w:top w:val="nil" w:sz="6"/>
              <w:left w:val="nil" w:sz="6"/>
              <w:right w:val="nil" w:sz="6"/>
            </w:tcBorders>
          </w:tcPr>
          <w:p>
            <w:pPr>
              <w:keepNext/>
              <w:spacing w:line="264" w:lineRule="auto" w:before="0" w:after="40"/>
            </w:pPr>
            <w:r>
              <w:rPr>
                <w:b w:val="0"/>
                <w:sz w:val="21"/>
              </w:rPr>
              <w:t>85</w:t>
            </w:r>
          </w:p>
        </w:tc>
        <w:tc>
          <w:tcPr>
            <w:tcW w:type="dxa" w:w="1440"/>
            <w:tcMar>
              <w:top w:w="45" w:type="dxa"/>
              <w:bottom w:w="45" w:type="dxa"/>
              <w:left w:w="70" w:type="dxa"/>
              <w:right w:w="70" w:type="dxa"/>
            </w:tcMar>
            <w:tcBorders>
              <w:top w:val="nil" w:sz="6"/>
              <w:left w:val="nil" w:sz="6"/>
              <w:right w:val="nil" w:sz="6"/>
            </w:tcBorders>
          </w:tcPr>
          <w:p>
            <w:pPr>
              <w:keepNext/>
              <w:spacing w:line="264" w:lineRule="auto" w:before="0" w:after="40"/>
            </w:pPr>
            <w:r>
              <w:rPr>
                <w:b w:val="0"/>
                <w:sz w:val="21"/>
              </w:rPr>
              <w:t>0</w:t>
            </w:r>
          </w:p>
        </w:tc>
      </w:tr>
      <w:tr>
        <w:trPr>
          <w:cantSplit/>
        </w:trPr>
        <w:tc>
          <w:tcPr>
            <w:tcW w:type="dxa" w:w="6048"/>
            <w:tcBorders>
              <w:bottom w:val="single" w:sz="6" w:color="000000"/>
            </w:tcBorders>
          </w:tcPr>
          <w:p>
            <w:pPr>
              <w:spacing w:after="40" w:before="40" w:line="264" w:lineRule="auto"/>
            </w:pPr>
            <w:r>
              <w:rPr>
                <w:sz w:val="18"/>
              </w:rPr>
              <w:t>Follow-up DLCO</w:t>
            </w:r>
          </w:p>
        </w:tc>
        <w:tc>
          <w:tcPr>
            <w:tcW w:type="dxa" w:w="1440"/>
            <w:tcBorders>
              <w:bottom w:val="single" w:sz="6" w:color="000000"/>
            </w:tcBorders>
          </w:tcPr>
          <w:p>
            <w:pPr>
              <w:spacing w:after="40" w:before="40" w:line="264" w:lineRule="auto"/>
            </w:pPr>
            <w:r>
              <w:rPr>
                <w:sz w:val="18"/>
              </w:rPr>
              <w:t>79</w:t>
            </w:r>
          </w:p>
        </w:tc>
        <w:tc>
          <w:tcPr>
            <w:tcW w:type="dxa" w:w="1440"/>
            <w:tcBorders>
              <w:bottom w:val="single" w:sz="6" w:color="000000"/>
            </w:tcBorders>
          </w:tcPr>
          <w:p>
            <w:pPr>
              <w:spacing w:after="40" w:before="40" w:line="264" w:lineRule="auto"/>
            </w:pPr>
            <w:r>
              <w:rPr>
                <w:sz w:val="18"/>
              </w:rPr>
              <w:t>6</w:t>
            </w:r>
          </w:p>
        </w:tc>
      </w:tr>
    </w:tbl>
    <w:p>
      <w:pPr>
        <w:spacing w:line="269" w:lineRule="auto"/>
      </w:pPr>
      <w:r>
        <w:rPr>
          <w:sz w:val="20"/>
        </w:rPr>
        <w:t>Zero-coded height and BMI were treated as missing, and zero-coded DLCO as unavailable. The five participants without valid height/BMI were among the seven without usable baseline DLCO, so BMI missingness did not further reduce the primary analysis population. Follow-up FVC was available in all 85 participants; valid height restricted the ESMI analysis to 80. Missing values were not imputed.</w:t>
      </w:r>
    </w:p>
    <w:p>
      <w:pPr>
        <w:pStyle w:val="Heading2"/>
        <w:widowControl/>
      </w:pPr>
      <w:r>
        <w:t>S8. Univariable models and body-composition correlations</w:t>
      </w:r>
    </w:p>
    <w:p>
      <w:pPr>
        <w:widowControl/>
        <w:spacing w:line="269" w:lineRule="auto"/>
      </w:pPr>
      <w:r>
        <w:t>The univariable models in main Table 3 used common complete-case populations of 78 for baseline DLCO and 80 for baseline FVC. Age and smoking exposure were scaled per 10 units, ILD extent per 10 percentage points, emphysema per 5 percentage points, BMI per kg/m² and ESMI per 0.01 L/m². Myosteatosis Index was standardised separately within each outcome-specific sample. Pearson correlations used the same participants; 95% intervals used Fisher’s z transformation. Correlation p values use the conventional Pearson test, whereas regression inference uses HC3 standard errors and may consequently differ.</w:t>
      </w:r>
    </w:p>
    <w:p>
      <w:pPr>
        <w:pStyle w:val="Heading3"/>
        <w:widowControl/>
      </w:pPr>
      <w:r>
        <w:t>Table S5. Correlations of body-composition measures with baseline pulmonary function</w:t>
      </w:r>
    </w:p>
    <w:tbl>
      <w:tblPr>
        <w:tblW w:type="auto" w:w="0"/>
        <w:tblLayout w:type="fixed"/>
        <w:tblLook w:firstColumn="1" w:firstRow="1" w:lastColumn="0" w:lastRow="0" w:noHBand="0" w:noVBand="1" w:val="04A0"/>
      </w:tblPr>
      <w:tblGrid>
        <w:gridCol w:w="1757"/>
        <w:gridCol w:w="2494"/>
        <w:gridCol w:w="567"/>
        <w:gridCol w:w="2948"/>
        <w:gridCol w:w="1020"/>
      </w:tblGrid>
      <w:tr>
        <w:trPr>
          <w:cantSplit/>
          <w:tblHeader/>
        </w:trPr>
        <w:tc>
          <w:tcPr>
            <w:tcW w:type="dxa" w:w="1757"/>
            <w:tcMar>
              <w:left w:w="70" w:type="dxa"/>
              <w:right w:w="70" w:type="dxa"/>
            </w:tcMar>
            <w:tcBorders>
              <w:top w:val="single" w:sz="6" w:color="000000"/>
              <w:bottom w:val="single" w:sz="6" w:color="000000"/>
            </w:tcBorders>
          </w:tcPr>
          <w:p>
            <w:pPr>
              <w:spacing w:line="264" w:lineRule="auto" w:before="60" w:after="60"/>
            </w:pPr>
            <w:r>
              <w:rPr>
                <w:rFonts w:ascii="Arial" w:hAnsi="Arial"/>
                <w:b/>
                <w:sz w:val="18"/>
              </w:rPr>
              <w:t>Outcome</w:t>
            </w:r>
          </w:p>
        </w:tc>
        <w:tc>
          <w:tcPr>
            <w:tcW w:type="dxa" w:w="2494"/>
            <w:tcMar>
              <w:left w:w="70" w:type="dxa"/>
              <w:right w:w="70" w:type="dxa"/>
            </w:tcMar>
            <w:tcBorders>
              <w:top w:val="single" w:sz="6" w:color="000000"/>
              <w:bottom w:val="single" w:sz="6" w:color="000000"/>
            </w:tcBorders>
          </w:tcPr>
          <w:p>
            <w:pPr>
              <w:spacing w:line="264" w:lineRule="auto" w:before="60" w:after="60"/>
            </w:pPr>
            <w:r>
              <w:rPr>
                <w:rFonts w:ascii="Arial" w:hAnsi="Arial"/>
                <w:b/>
                <w:sz w:val="18"/>
              </w:rPr>
              <w:t>Measure</w:t>
            </w:r>
          </w:p>
        </w:tc>
        <w:tc>
          <w:tcPr>
            <w:tcW w:type="dxa" w:w="567"/>
            <w:tcMar>
              <w:left w:w="70" w:type="dxa"/>
              <w:right w:w="70" w:type="dxa"/>
            </w:tcMar>
            <w:tcBorders>
              <w:top w:val="single" w:sz="6" w:color="000000"/>
              <w:bottom w:val="single" w:sz="6" w:color="000000"/>
            </w:tcBorders>
          </w:tcPr>
          <w:p>
            <w:pPr>
              <w:spacing w:line="264" w:lineRule="auto" w:before="60" w:after="60"/>
            </w:pPr>
            <w:r>
              <w:rPr>
                <w:rFonts w:ascii="Arial" w:hAnsi="Arial"/>
                <w:b/>
                <w:sz w:val="18"/>
              </w:rPr>
              <w:t>n</w:t>
            </w:r>
          </w:p>
        </w:tc>
        <w:tc>
          <w:tcPr>
            <w:tcW w:type="dxa" w:w="2948"/>
            <w:tcMar>
              <w:left w:w="70" w:type="dxa"/>
              <w:right w:w="70" w:type="dxa"/>
            </w:tcMar>
            <w:tcBorders>
              <w:top w:val="single" w:sz="6" w:color="000000"/>
              <w:bottom w:val="single" w:sz="6" w:color="000000"/>
            </w:tcBorders>
          </w:tcPr>
          <w:p>
            <w:pPr>
              <w:spacing w:line="264" w:lineRule="auto" w:before="60" w:after="60"/>
            </w:pPr>
            <w:r>
              <w:rPr>
                <w:rFonts w:ascii="Arial" w:hAnsi="Arial"/>
                <w:b/>
                <w:sz w:val="18"/>
              </w:rPr>
              <w:t>Pearson r (95% CI)</w:t>
            </w:r>
          </w:p>
        </w:tc>
        <w:tc>
          <w:tcPr>
            <w:tcW w:type="dxa" w:w="1020"/>
            <w:tcMar>
              <w:left w:w="70" w:type="dxa"/>
              <w:right w:w="70" w:type="dxa"/>
            </w:tcMar>
            <w:tcBorders>
              <w:top w:val="single" w:sz="6" w:color="000000"/>
              <w:bottom w:val="single" w:sz="6" w:color="000000"/>
            </w:tcBorders>
          </w:tcPr>
          <w:p>
            <w:pPr>
              <w:spacing w:line="264" w:lineRule="auto" w:before="60" w:after="60"/>
            </w:pPr>
            <w:r>
              <w:rPr>
                <w:rFonts w:ascii="Arial" w:hAnsi="Arial"/>
                <w:b/>
                <w:sz w:val="18"/>
              </w:rPr>
              <w:t>p value</w:t>
            </w:r>
          </w:p>
        </w:tc>
      </w:tr>
      <w:tr>
        <w:trPr>
          <w:cantSplit/>
        </w:trPr>
        <w:tc>
          <w:tcPr>
            <w:tcW w:type="dxa" w:w="1757"/>
            <w:tcMar>
              <w:left w:w="70" w:type="dxa"/>
              <w:right w:w="70" w:type="dxa"/>
            </w:tcMar>
            <w:tcBorders/>
          </w:tcPr>
          <w:p>
            <w:pPr>
              <w:spacing w:line="264" w:lineRule="auto" w:before="60" w:after="60"/>
            </w:pPr>
            <w:r>
              <w:rPr>
                <w:rFonts w:ascii="Arial" w:hAnsi="Arial"/>
                <w:b w:val="0"/>
                <w:sz w:val="18"/>
              </w:rPr>
              <w:t>Baseline DLCO</w:t>
            </w:r>
          </w:p>
        </w:tc>
        <w:tc>
          <w:tcPr>
            <w:tcW w:type="dxa" w:w="2494"/>
            <w:tcMar>
              <w:left w:w="70" w:type="dxa"/>
              <w:right w:w="70" w:type="dxa"/>
            </w:tcMar>
            <w:tcBorders/>
          </w:tcPr>
          <w:p>
            <w:pPr>
              <w:spacing w:line="264" w:lineRule="auto" w:before="60" w:after="60"/>
            </w:pPr>
            <w:r>
              <w:rPr>
                <w:rFonts w:ascii="Arial" w:hAnsi="Arial"/>
                <w:b w:val="0"/>
                <w:sz w:val="18"/>
              </w:rPr>
              <w:t>Myosteatosis Index</w:t>
            </w:r>
          </w:p>
        </w:tc>
        <w:tc>
          <w:tcPr>
            <w:tcW w:type="dxa" w:w="567"/>
            <w:tcMar>
              <w:left w:w="70" w:type="dxa"/>
              <w:right w:w="70" w:type="dxa"/>
            </w:tcMar>
            <w:tcBorders/>
          </w:tcPr>
          <w:p>
            <w:pPr>
              <w:spacing w:line="264" w:lineRule="auto" w:before="60" w:after="60"/>
            </w:pPr>
            <w:r>
              <w:rPr>
                <w:rFonts w:ascii="Arial" w:hAnsi="Arial"/>
                <w:b w:val="0"/>
                <w:sz w:val="18"/>
              </w:rPr>
              <w:t>78</w:t>
            </w:r>
          </w:p>
        </w:tc>
        <w:tc>
          <w:tcPr>
            <w:tcW w:type="dxa" w:w="2948"/>
            <w:tcMar>
              <w:left w:w="70" w:type="dxa"/>
              <w:right w:w="70" w:type="dxa"/>
            </w:tcMar>
            <w:tcBorders/>
          </w:tcPr>
          <w:p>
            <w:pPr>
              <w:spacing w:line="264" w:lineRule="auto" w:before="60" w:after="60"/>
            </w:pPr>
            <w:r>
              <w:rPr>
                <w:rFonts w:ascii="Arial" w:hAnsi="Arial"/>
                <w:b w:val="0"/>
                <w:sz w:val="18"/>
              </w:rPr>
              <w:t>−0.26 (−0.45 to −0.04)</w:t>
            </w:r>
          </w:p>
        </w:tc>
        <w:tc>
          <w:tcPr>
            <w:tcW w:type="dxa" w:w="1020"/>
            <w:tcMar>
              <w:left w:w="70" w:type="dxa"/>
              <w:right w:w="70" w:type="dxa"/>
            </w:tcMar>
            <w:tcBorders/>
          </w:tcPr>
          <w:p>
            <w:pPr>
              <w:spacing w:line="264" w:lineRule="auto" w:before="60" w:after="60"/>
            </w:pPr>
            <w:r>
              <w:rPr>
                <w:rFonts w:ascii="Arial" w:hAnsi="Arial"/>
                <w:b w:val="0"/>
                <w:sz w:val="18"/>
              </w:rPr>
              <w:t>0.022</w:t>
            </w:r>
          </w:p>
        </w:tc>
      </w:tr>
      <w:tr>
        <w:trPr>
          <w:cantSplit/>
        </w:trPr>
        <w:tc>
          <w:tcPr>
            <w:tcW w:type="dxa" w:w="1757"/>
            <w:tcMar>
              <w:left w:w="70" w:type="dxa"/>
              <w:right w:w="70" w:type="dxa"/>
            </w:tcMar>
            <w:tcBorders/>
          </w:tcPr>
          <w:p>
            <w:pPr>
              <w:spacing w:line="264" w:lineRule="auto" w:before="60" w:after="60"/>
            </w:pPr>
            <w:r>
              <w:rPr>
                <w:rFonts w:ascii="Arial" w:hAnsi="Arial"/>
                <w:b w:val="0"/>
                <w:sz w:val="18"/>
              </w:rPr>
              <w:t>Baseline DLCO</w:t>
            </w:r>
          </w:p>
        </w:tc>
        <w:tc>
          <w:tcPr>
            <w:tcW w:type="dxa" w:w="2494"/>
            <w:tcMar>
              <w:left w:w="70" w:type="dxa"/>
              <w:right w:w="70" w:type="dxa"/>
            </w:tcMar>
            <w:tcBorders/>
          </w:tcPr>
          <w:p>
            <w:pPr>
              <w:spacing w:line="264" w:lineRule="auto" w:before="60" w:after="60"/>
            </w:pPr>
            <w:r>
              <w:rPr>
                <w:rFonts w:ascii="Arial" w:hAnsi="Arial"/>
                <w:b w:val="0"/>
                <w:sz w:val="18"/>
              </w:rPr>
              <w:t>ESMI</w:t>
            </w:r>
          </w:p>
        </w:tc>
        <w:tc>
          <w:tcPr>
            <w:tcW w:type="dxa" w:w="567"/>
            <w:tcMar>
              <w:left w:w="70" w:type="dxa"/>
              <w:right w:w="70" w:type="dxa"/>
            </w:tcMar>
            <w:tcBorders/>
          </w:tcPr>
          <w:p>
            <w:pPr>
              <w:spacing w:line="264" w:lineRule="auto" w:before="60" w:after="60"/>
            </w:pPr>
            <w:r>
              <w:rPr>
                <w:rFonts w:ascii="Arial" w:hAnsi="Arial"/>
                <w:b w:val="0"/>
                <w:sz w:val="18"/>
              </w:rPr>
              <w:t>78</w:t>
            </w:r>
          </w:p>
        </w:tc>
        <w:tc>
          <w:tcPr>
            <w:tcW w:type="dxa" w:w="2948"/>
            <w:tcMar>
              <w:left w:w="70" w:type="dxa"/>
              <w:right w:w="70" w:type="dxa"/>
            </w:tcMar>
            <w:tcBorders/>
          </w:tcPr>
          <w:p>
            <w:pPr>
              <w:spacing w:line="264" w:lineRule="auto" w:before="60" w:after="60"/>
            </w:pPr>
            <w:r>
              <w:rPr>
                <w:rFonts w:ascii="Arial" w:hAnsi="Arial"/>
                <w:b w:val="0"/>
                <w:sz w:val="18"/>
              </w:rPr>
              <w:t>0.24 (0.02 to 0.44)</w:t>
            </w:r>
          </w:p>
        </w:tc>
        <w:tc>
          <w:tcPr>
            <w:tcW w:type="dxa" w:w="1020"/>
            <w:tcMar>
              <w:left w:w="70" w:type="dxa"/>
              <w:right w:w="70" w:type="dxa"/>
            </w:tcMar>
            <w:tcBorders/>
          </w:tcPr>
          <w:p>
            <w:pPr>
              <w:spacing w:line="264" w:lineRule="auto" w:before="60" w:after="60"/>
            </w:pPr>
            <w:r>
              <w:rPr>
                <w:rFonts w:ascii="Arial" w:hAnsi="Arial"/>
                <w:b w:val="0"/>
                <w:sz w:val="18"/>
              </w:rPr>
              <w:t>0.034</w:t>
            </w:r>
          </w:p>
        </w:tc>
      </w:tr>
      <w:tr>
        <w:trPr>
          <w:cantSplit/>
        </w:trPr>
        <w:tc>
          <w:tcPr>
            <w:tcW w:type="dxa" w:w="1757"/>
            <w:tcMar>
              <w:left w:w="70" w:type="dxa"/>
              <w:right w:w="70" w:type="dxa"/>
            </w:tcMar>
            <w:tcBorders/>
          </w:tcPr>
          <w:p>
            <w:pPr>
              <w:spacing w:line="264" w:lineRule="auto" w:before="60" w:after="60"/>
            </w:pPr>
            <w:r>
              <w:rPr>
                <w:rFonts w:ascii="Arial" w:hAnsi="Arial"/>
                <w:b w:val="0"/>
                <w:sz w:val="18"/>
              </w:rPr>
              <w:t>Baseline DLCO</w:t>
            </w:r>
          </w:p>
        </w:tc>
        <w:tc>
          <w:tcPr>
            <w:tcW w:type="dxa" w:w="2494"/>
            <w:tcMar>
              <w:left w:w="70" w:type="dxa"/>
              <w:right w:w="70" w:type="dxa"/>
            </w:tcMar>
            <w:tcBorders/>
          </w:tcPr>
          <w:p>
            <w:pPr>
              <w:spacing w:line="264" w:lineRule="auto" w:before="60" w:after="60"/>
            </w:pPr>
            <w:r>
              <w:rPr>
                <w:rFonts w:ascii="Arial" w:hAnsi="Arial"/>
                <w:b w:val="0"/>
                <w:sz w:val="18"/>
              </w:rPr>
              <w:t>BMI</w:t>
            </w:r>
          </w:p>
        </w:tc>
        <w:tc>
          <w:tcPr>
            <w:tcW w:type="dxa" w:w="567"/>
            <w:tcMar>
              <w:left w:w="70" w:type="dxa"/>
              <w:right w:w="70" w:type="dxa"/>
            </w:tcMar>
            <w:tcBorders/>
          </w:tcPr>
          <w:p>
            <w:pPr>
              <w:spacing w:line="264" w:lineRule="auto" w:before="60" w:after="60"/>
            </w:pPr>
            <w:r>
              <w:rPr>
                <w:rFonts w:ascii="Arial" w:hAnsi="Arial"/>
                <w:b w:val="0"/>
                <w:sz w:val="18"/>
              </w:rPr>
              <w:t>78</w:t>
            </w:r>
          </w:p>
        </w:tc>
        <w:tc>
          <w:tcPr>
            <w:tcW w:type="dxa" w:w="2948"/>
            <w:tcMar>
              <w:left w:w="70" w:type="dxa"/>
              <w:right w:w="70" w:type="dxa"/>
            </w:tcMar>
            <w:tcBorders/>
          </w:tcPr>
          <w:p>
            <w:pPr>
              <w:spacing w:line="264" w:lineRule="auto" w:before="60" w:after="60"/>
            </w:pPr>
            <w:r>
              <w:rPr>
                <w:rFonts w:ascii="Arial" w:hAnsi="Arial"/>
                <w:b w:val="0"/>
                <w:sz w:val="18"/>
              </w:rPr>
              <w:t>0.03 (−0.19 to 0.25)</w:t>
            </w:r>
          </w:p>
        </w:tc>
        <w:tc>
          <w:tcPr>
            <w:tcW w:type="dxa" w:w="1020"/>
            <w:tcMar>
              <w:left w:w="70" w:type="dxa"/>
              <w:right w:w="70" w:type="dxa"/>
            </w:tcMar>
            <w:tcBorders/>
          </w:tcPr>
          <w:p>
            <w:pPr>
              <w:spacing w:line="264" w:lineRule="auto" w:before="60" w:after="60"/>
            </w:pPr>
            <w:r>
              <w:rPr>
                <w:rFonts w:ascii="Arial" w:hAnsi="Arial"/>
                <w:b w:val="0"/>
                <w:sz w:val="18"/>
              </w:rPr>
              <w:t>0.784</w:t>
            </w:r>
          </w:p>
        </w:tc>
      </w:tr>
      <w:tr>
        <w:trPr>
          <w:cantSplit/>
        </w:trPr>
        <w:tc>
          <w:tcPr>
            <w:tcW w:type="dxa" w:w="1757"/>
            <w:tcMar>
              <w:left w:w="70" w:type="dxa"/>
              <w:right w:w="70" w:type="dxa"/>
            </w:tcMar>
            <w:tcBorders/>
          </w:tcPr>
          <w:p>
            <w:pPr>
              <w:spacing w:line="264" w:lineRule="auto" w:before="60" w:after="60"/>
            </w:pPr>
            <w:r>
              <w:rPr>
                <w:rFonts w:ascii="Arial" w:hAnsi="Arial"/>
                <w:b w:val="0"/>
                <w:sz w:val="18"/>
              </w:rPr>
              <w:t>Baseline FVC</w:t>
            </w:r>
          </w:p>
        </w:tc>
        <w:tc>
          <w:tcPr>
            <w:tcW w:type="dxa" w:w="2494"/>
            <w:tcMar>
              <w:left w:w="70" w:type="dxa"/>
              <w:right w:w="70" w:type="dxa"/>
            </w:tcMar>
            <w:tcBorders/>
          </w:tcPr>
          <w:p>
            <w:pPr>
              <w:spacing w:line="264" w:lineRule="auto" w:before="60" w:after="60"/>
            </w:pPr>
            <w:r>
              <w:rPr>
                <w:rFonts w:ascii="Arial" w:hAnsi="Arial"/>
                <w:b w:val="0"/>
                <w:sz w:val="18"/>
              </w:rPr>
              <w:t>Myosteatosis Index</w:t>
            </w:r>
          </w:p>
        </w:tc>
        <w:tc>
          <w:tcPr>
            <w:tcW w:type="dxa" w:w="567"/>
            <w:tcMar>
              <w:left w:w="70" w:type="dxa"/>
              <w:right w:w="70" w:type="dxa"/>
            </w:tcMar>
            <w:tcBorders/>
          </w:tcPr>
          <w:p>
            <w:pPr>
              <w:spacing w:line="264" w:lineRule="auto" w:before="60" w:after="60"/>
            </w:pPr>
            <w:r>
              <w:rPr>
                <w:rFonts w:ascii="Arial" w:hAnsi="Arial"/>
                <w:b w:val="0"/>
                <w:sz w:val="18"/>
              </w:rPr>
              <w:t>80</w:t>
            </w:r>
          </w:p>
        </w:tc>
        <w:tc>
          <w:tcPr>
            <w:tcW w:type="dxa" w:w="2948"/>
            <w:tcMar>
              <w:left w:w="70" w:type="dxa"/>
              <w:right w:w="70" w:type="dxa"/>
            </w:tcMar>
            <w:tcBorders/>
          </w:tcPr>
          <w:p>
            <w:pPr>
              <w:spacing w:line="264" w:lineRule="auto" w:before="60" w:after="60"/>
            </w:pPr>
            <w:r>
              <w:rPr>
                <w:rFonts w:ascii="Arial" w:hAnsi="Arial"/>
                <w:b w:val="0"/>
                <w:sz w:val="18"/>
              </w:rPr>
              <w:t>−0.01 (−0.23 to 0.21)</w:t>
            </w:r>
          </w:p>
        </w:tc>
        <w:tc>
          <w:tcPr>
            <w:tcW w:type="dxa" w:w="1020"/>
            <w:tcMar>
              <w:left w:w="70" w:type="dxa"/>
              <w:right w:w="70" w:type="dxa"/>
            </w:tcMar>
            <w:tcBorders/>
          </w:tcPr>
          <w:p>
            <w:pPr>
              <w:spacing w:line="264" w:lineRule="auto" w:before="60" w:after="60"/>
            </w:pPr>
            <w:r>
              <w:rPr>
                <w:rFonts w:ascii="Arial" w:hAnsi="Arial"/>
                <w:b w:val="0"/>
                <w:sz w:val="18"/>
              </w:rPr>
              <w:t>0.960</w:t>
            </w:r>
          </w:p>
        </w:tc>
      </w:tr>
      <w:tr>
        <w:trPr>
          <w:cantSplit/>
        </w:trPr>
        <w:tc>
          <w:tcPr>
            <w:tcW w:type="dxa" w:w="1757"/>
            <w:tcMar>
              <w:left w:w="70" w:type="dxa"/>
              <w:right w:w="70" w:type="dxa"/>
            </w:tcMar>
            <w:tcBorders/>
          </w:tcPr>
          <w:p>
            <w:pPr>
              <w:spacing w:line="264" w:lineRule="auto" w:before="60" w:after="60"/>
            </w:pPr>
            <w:r>
              <w:rPr>
                <w:rFonts w:ascii="Arial" w:hAnsi="Arial"/>
                <w:b w:val="0"/>
                <w:sz w:val="18"/>
              </w:rPr>
              <w:t>Baseline FVC</w:t>
            </w:r>
          </w:p>
        </w:tc>
        <w:tc>
          <w:tcPr>
            <w:tcW w:type="dxa" w:w="2494"/>
            <w:tcMar>
              <w:left w:w="70" w:type="dxa"/>
              <w:right w:w="70" w:type="dxa"/>
            </w:tcMar>
            <w:tcBorders/>
          </w:tcPr>
          <w:p>
            <w:pPr>
              <w:spacing w:line="264" w:lineRule="auto" w:before="60" w:after="60"/>
            </w:pPr>
            <w:r>
              <w:rPr>
                <w:rFonts w:ascii="Arial" w:hAnsi="Arial"/>
                <w:b w:val="0"/>
                <w:sz w:val="18"/>
              </w:rPr>
              <w:t>ESMI</w:t>
            </w:r>
          </w:p>
        </w:tc>
        <w:tc>
          <w:tcPr>
            <w:tcW w:type="dxa" w:w="567"/>
            <w:tcMar>
              <w:left w:w="70" w:type="dxa"/>
              <w:right w:w="70" w:type="dxa"/>
            </w:tcMar>
            <w:tcBorders/>
          </w:tcPr>
          <w:p>
            <w:pPr>
              <w:spacing w:line="264" w:lineRule="auto" w:before="60" w:after="60"/>
            </w:pPr>
            <w:r>
              <w:rPr>
                <w:rFonts w:ascii="Arial" w:hAnsi="Arial"/>
                <w:b w:val="0"/>
                <w:sz w:val="18"/>
              </w:rPr>
              <w:t>80</w:t>
            </w:r>
          </w:p>
        </w:tc>
        <w:tc>
          <w:tcPr>
            <w:tcW w:type="dxa" w:w="2948"/>
            <w:tcMar>
              <w:left w:w="70" w:type="dxa"/>
              <w:right w:w="70" w:type="dxa"/>
            </w:tcMar>
            <w:tcBorders/>
          </w:tcPr>
          <w:p>
            <w:pPr>
              <w:spacing w:line="264" w:lineRule="auto" w:before="60" w:after="60"/>
            </w:pPr>
            <w:r>
              <w:rPr>
                <w:rFonts w:ascii="Arial" w:hAnsi="Arial"/>
                <w:b w:val="0"/>
                <w:sz w:val="18"/>
              </w:rPr>
              <w:t>0.04 (−0.18 to 0.25)</w:t>
            </w:r>
          </w:p>
        </w:tc>
        <w:tc>
          <w:tcPr>
            <w:tcW w:type="dxa" w:w="1020"/>
            <w:tcMar>
              <w:left w:w="70" w:type="dxa"/>
              <w:right w:w="70" w:type="dxa"/>
            </w:tcMar>
            <w:tcBorders/>
          </w:tcPr>
          <w:p>
            <w:pPr>
              <w:spacing w:line="264" w:lineRule="auto" w:before="60" w:after="60"/>
            </w:pPr>
            <w:r>
              <w:rPr>
                <w:rFonts w:ascii="Arial" w:hAnsi="Arial"/>
                <w:b w:val="0"/>
                <w:sz w:val="18"/>
              </w:rPr>
              <w:t>0.745</w:t>
            </w:r>
          </w:p>
        </w:tc>
      </w:tr>
      <w:tr>
        <w:trPr>
          <w:cantSplit/>
        </w:trPr>
        <w:tc>
          <w:tcPr>
            <w:tcW w:type="dxa" w:w="1757"/>
            <w:tcMar>
              <w:left w:w="70" w:type="dxa"/>
              <w:right w:w="70" w:type="dxa"/>
            </w:tcMar>
            <w:tcBorders>
              <w:bottom w:val="single" w:sz="6" w:color="000000"/>
            </w:tcBorders>
          </w:tcPr>
          <w:p>
            <w:pPr>
              <w:spacing w:line="264" w:lineRule="auto" w:before="60" w:after="60"/>
            </w:pPr>
            <w:r>
              <w:rPr>
                <w:rFonts w:ascii="Arial" w:hAnsi="Arial"/>
                <w:b w:val="0"/>
                <w:sz w:val="18"/>
              </w:rPr>
              <w:t>Baseline FVC</w:t>
            </w:r>
          </w:p>
        </w:tc>
        <w:tc>
          <w:tcPr>
            <w:tcW w:type="dxa" w:w="2494"/>
            <w:tcMar>
              <w:left w:w="70" w:type="dxa"/>
              <w:right w:w="70" w:type="dxa"/>
            </w:tcMar>
            <w:tcBorders>
              <w:bottom w:val="single" w:sz="6" w:color="000000"/>
            </w:tcBorders>
          </w:tcPr>
          <w:p>
            <w:pPr>
              <w:spacing w:line="264" w:lineRule="auto" w:before="60" w:after="60"/>
            </w:pPr>
            <w:r>
              <w:rPr>
                <w:rFonts w:ascii="Arial" w:hAnsi="Arial"/>
                <w:b w:val="0"/>
                <w:sz w:val="18"/>
              </w:rPr>
              <w:t>BMI</w:t>
            </w:r>
          </w:p>
        </w:tc>
        <w:tc>
          <w:tcPr>
            <w:tcW w:type="dxa" w:w="567"/>
            <w:tcMar>
              <w:left w:w="70" w:type="dxa"/>
              <w:right w:w="70" w:type="dxa"/>
            </w:tcMar>
            <w:tcBorders>
              <w:bottom w:val="single" w:sz="6" w:color="000000"/>
            </w:tcBorders>
          </w:tcPr>
          <w:p>
            <w:pPr>
              <w:spacing w:line="264" w:lineRule="auto" w:before="60" w:after="60"/>
            </w:pPr>
            <w:r>
              <w:rPr>
                <w:rFonts w:ascii="Arial" w:hAnsi="Arial"/>
                <w:b w:val="0"/>
                <w:sz w:val="18"/>
              </w:rPr>
              <w:t>80</w:t>
            </w:r>
          </w:p>
        </w:tc>
        <w:tc>
          <w:tcPr>
            <w:tcW w:type="dxa" w:w="2948"/>
            <w:tcMar>
              <w:left w:w="70" w:type="dxa"/>
              <w:right w:w="70" w:type="dxa"/>
            </w:tcMar>
            <w:tcBorders>
              <w:bottom w:val="single" w:sz="6" w:color="000000"/>
            </w:tcBorders>
          </w:tcPr>
          <w:p>
            <w:pPr>
              <w:spacing w:line="264" w:lineRule="auto" w:before="60" w:after="60"/>
            </w:pPr>
            <w:r>
              <w:rPr>
                <w:rFonts w:ascii="Arial" w:hAnsi="Arial"/>
                <w:b w:val="0"/>
                <w:sz w:val="18"/>
              </w:rPr>
              <w:t>−0.15 (−0.35 to 0.08)</w:t>
            </w:r>
          </w:p>
        </w:tc>
        <w:tc>
          <w:tcPr>
            <w:tcW w:type="dxa" w:w="1020"/>
            <w:tcMar>
              <w:left w:w="70" w:type="dxa"/>
              <w:right w:w="70" w:type="dxa"/>
            </w:tcMar>
            <w:tcBorders>
              <w:bottom w:val="single" w:sz="6" w:color="000000"/>
            </w:tcBorders>
          </w:tcPr>
          <w:p>
            <w:pPr>
              <w:spacing w:line="264" w:lineRule="auto" w:before="60" w:after="60"/>
            </w:pPr>
            <w:r>
              <w:rPr>
                <w:rFonts w:ascii="Arial" w:hAnsi="Arial"/>
                <w:b w:val="0"/>
                <w:sz w:val="18"/>
              </w:rPr>
              <w:t>0.195</w:t>
            </w:r>
          </w:p>
        </w:tc>
      </w:tr>
    </w:tbl>
    <w:p>
      <w:pPr>
        <w:pStyle w:val="Caption"/>
        <w:widowControl/>
      </w:pPr>
      <w:r>
        <w:t>CI, confidence interval. Correlation coefficients are descriptive and do not establish comparative clinical utility.</w:t>
      </w:r>
    </w:p>
    <w:p>
      <w:pPr>
        <w:pStyle w:val="Heading2"/>
        <w:widowControl/>
      </w:pPr>
      <w:r>
        <w:t>S9. Comparison with BMI</w:t>
      </w:r>
    </w:p>
    <w:p>
      <w:pPr>
        <w:widowControl/>
        <w:spacing w:line="269" w:lineRule="auto"/>
      </w:pPr>
      <w:r>
        <w:t>For each outcome, 5000 paired participant-level bootstrap resamples estimated the difference in absolute correlation: |r(CT measure, outcome)| − |r(BMI, outcome)|. Positive values favour the CT measure in magnitude. The same resampled participants were used for all three correlations. Random seeds were 20261019 for baseline DLCO and 20261020 for baseline FVC. All resamples produced finite estimates. These numerical seeds identify reproducibility settings, not analysis dates. No interval excluded zero; stronger association than BMI was therefore not established.</w:t>
      </w:r>
    </w:p>
    <w:p>
      <w:pPr>
        <w:pStyle w:val="Heading3"/>
        <w:widowControl/>
      </w:pPr>
      <w:r>
        <w:t>Table S6. Paired comparisons of correlation magnitude against BMI</w:t>
      </w:r>
    </w:p>
    <w:tbl>
      <w:tblPr>
        <w:tblW w:type="auto" w:w="0"/>
        <w:tblLayout w:type="fixed"/>
        <w:tblLook w:firstColumn="1" w:firstRow="1" w:lastColumn="0" w:lastRow="0" w:noHBand="0" w:noVBand="1" w:val="04A0"/>
      </w:tblPr>
      <w:tblGrid>
        <w:gridCol w:w="1814"/>
        <w:gridCol w:w="2494"/>
        <w:gridCol w:w="567"/>
        <w:gridCol w:w="1701"/>
        <w:gridCol w:w="2211"/>
      </w:tblGrid>
      <w:tr>
        <w:trPr>
          <w:cantSplit/>
          <w:tblHeader/>
        </w:trPr>
        <w:tc>
          <w:tcPr>
            <w:tcW w:type="dxa" w:w="1814"/>
            <w:tcMar>
              <w:left w:w="70" w:type="dxa"/>
              <w:right w:w="70" w:type="dxa"/>
            </w:tcMar>
            <w:tcBorders>
              <w:top w:val="single" w:sz="6" w:color="000000"/>
              <w:bottom w:val="single" w:sz="6" w:color="000000"/>
            </w:tcBorders>
          </w:tcPr>
          <w:p>
            <w:pPr>
              <w:spacing w:line="264" w:lineRule="auto" w:before="60" w:after="60"/>
            </w:pPr>
            <w:r>
              <w:rPr>
                <w:rFonts w:ascii="Arial" w:hAnsi="Arial"/>
                <w:b/>
                <w:sz w:val="18"/>
              </w:rPr>
              <w:t>Outcome</w:t>
            </w:r>
          </w:p>
        </w:tc>
        <w:tc>
          <w:tcPr>
            <w:tcW w:type="dxa" w:w="2494"/>
            <w:tcMar>
              <w:left w:w="70" w:type="dxa"/>
              <w:right w:w="70" w:type="dxa"/>
            </w:tcMar>
            <w:tcBorders>
              <w:top w:val="single" w:sz="6" w:color="000000"/>
              <w:bottom w:val="single" w:sz="6" w:color="000000"/>
            </w:tcBorders>
          </w:tcPr>
          <w:p>
            <w:pPr>
              <w:spacing w:line="264" w:lineRule="auto" w:before="60" w:after="60"/>
            </w:pPr>
            <w:r>
              <w:rPr>
                <w:rFonts w:ascii="Arial" w:hAnsi="Arial"/>
                <w:b/>
                <w:sz w:val="18"/>
              </w:rPr>
              <w:t>CT measure</w:t>
            </w:r>
          </w:p>
        </w:tc>
        <w:tc>
          <w:tcPr>
            <w:tcW w:type="dxa" w:w="567"/>
            <w:tcMar>
              <w:left w:w="70" w:type="dxa"/>
              <w:right w:w="70" w:type="dxa"/>
            </w:tcMar>
            <w:tcBorders>
              <w:top w:val="single" w:sz="6" w:color="000000"/>
              <w:bottom w:val="single" w:sz="6" w:color="000000"/>
            </w:tcBorders>
          </w:tcPr>
          <w:p>
            <w:pPr>
              <w:spacing w:line="264" w:lineRule="auto" w:before="60" w:after="60"/>
            </w:pPr>
            <w:r>
              <w:rPr>
                <w:rFonts w:ascii="Arial" w:hAnsi="Arial"/>
                <w:b/>
                <w:sz w:val="18"/>
              </w:rPr>
              <w:t>n</w:t>
            </w:r>
          </w:p>
        </w:tc>
        <w:tc>
          <w:tcPr>
            <w:tcW w:type="dxa" w:w="1701"/>
            <w:tcMar>
              <w:left w:w="70" w:type="dxa"/>
              <w:right w:w="70" w:type="dxa"/>
            </w:tcMar>
            <w:tcBorders>
              <w:top w:val="single" w:sz="6" w:color="000000"/>
              <w:bottom w:val="single" w:sz="6" w:color="000000"/>
            </w:tcBorders>
          </w:tcPr>
          <w:p>
            <w:pPr>
              <w:spacing w:line="264" w:lineRule="auto" w:before="60" w:after="60"/>
            </w:pPr>
            <w:r>
              <w:rPr>
                <w:rFonts w:ascii="Arial" w:hAnsi="Arial"/>
                <w:b/>
                <w:sz w:val="18"/>
              </w:rPr>
              <w:t>Difference in |r|</w:t>
            </w:r>
          </w:p>
        </w:tc>
        <w:tc>
          <w:tcPr>
            <w:tcW w:type="dxa" w:w="2211"/>
            <w:tcMar>
              <w:left w:w="70" w:type="dxa"/>
              <w:right w:w="70" w:type="dxa"/>
            </w:tcMar>
            <w:tcBorders>
              <w:top w:val="single" w:sz="6" w:color="000000"/>
              <w:bottom w:val="single" w:sz="6" w:color="000000"/>
            </w:tcBorders>
          </w:tcPr>
          <w:p>
            <w:pPr>
              <w:spacing w:line="264" w:lineRule="auto" w:before="60" w:after="60"/>
            </w:pPr>
            <w:r>
              <w:rPr>
                <w:rFonts w:ascii="Arial" w:hAnsi="Arial"/>
                <w:b/>
                <w:sz w:val="18"/>
              </w:rPr>
              <w:t>Bootstrap 95% CI</w:t>
            </w:r>
          </w:p>
        </w:tc>
      </w:tr>
      <w:tr>
        <w:trPr>
          <w:cantSplit/>
        </w:trPr>
        <w:tc>
          <w:tcPr>
            <w:tcW w:type="dxa" w:w="1814"/>
            <w:tcMar>
              <w:left w:w="70" w:type="dxa"/>
              <w:right w:w="70" w:type="dxa"/>
            </w:tcMar>
            <w:tcBorders/>
          </w:tcPr>
          <w:p>
            <w:pPr>
              <w:spacing w:line="264" w:lineRule="auto" w:before="60" w:after="60"/>
            </w:pPr>
            <w:r>
              <w:rPr>
                <w:rFonts w:ascii="Arial" w:hAnsi="Arial"/>
                <w:b w:val="0"/>
                <w:sz w:val="18"/>
              </w:rPr>
              <w:t>Baseline DLCO</w:t>
            </w:r>
          </w:p>
        </w:tc>
        <w:tc>
          <w:tcPr>
            <w:tcW w:type="dxa" w:w="2494"/>
            <w:tcMar>
              <w:left w:w="70" w:type="dxa"/>
              <w:right w:w="70" w:type="dxa"/>
            </w:tcMar>
            <w:tcBorders/>
          </w:tcPr>
          <w:p>
            <w:pPr>
              <w:spacing w:line="264" w:lineRule="auto" w:before="60" w:after="60"/>
            </w:pPr>
            <w:r>
              <w:rPr>
                <w:rFonts w:ascii="Arial" w:hAnsi="Arial"/>
                <w:b w:val="0"/>
                <w:sz w:val="18"/>
              </w:rPr>
              <w:t>Myosteatosis Index</w:t>
            </w:r>
          </w:p>
        </w:tc>
        <w:tc>
          <w:tcPr>
            <w:tcW w:type="dxa" w:w="567"/>
            <w:tcMar>
              <w:left w:w="70" w:type="dxa"/>
              <w:right w:w="70" w:type="dxa"/>
            </w:tcMar>
            <w:tcBorders/>
          </w:tcPr>
          <w:p>
            <w:pPr>
              <w:spacing w:line="264" w:lineRule="auto" w:before="60" w:after="60"/>
            </w:pPr>
            <w:r>
              <w:rPr>
                <w:rFonts w:ascii="Arial" w:hAnsi="Arial"/>
                <w:b w:val="0"/>
                <w:sz w:val="18"/>
              </w:rPr>
              <w:t>78</w:t>
            </w:r>
          </w:p>
        </w:tc>
        <w:tc>
          <w:tcPr>
            <w:tcW w:type="dxa" w:w="1701"/>
            <w:tcMar>
              <w:left w:w="70" w:type="dxa"/>
              <w:right w:w="70" w:type="dxa"/>
            </w:tcMar>
            <w:tcBorders/>
          </w:tcPr>
          <w:p>
            <w:pPr>
              <w:spacing w:line="264" w:lineRule="auto" w:before="60" w:after="60"/>
            </w:pPr>
            <w:r>
              <w:rPr>
                <w:rFonts w:ascii="Arial" w:hAnsi="Arial"/>
                <w:b w:val="0"/>
                <w:sz w:val="18"/>
              </w:rPr>
              <w:t>0.23</w:t>
            </w:r>
          </w:p>
        </w:tc>
        <w:tc>
          <w:tcPr>
            <w:tcW w:type="dxa" w:w="2211"/>
            <w:tcMar>
              <w:left w:w="70" w:type="dxa"/>
              <w:right w:w="70" w:type="dxa"/>
            </w:tcMar>
            <w:tcBorders/>
          </w:tcPr>
          <w:p>
            <w:pPr>
              <w:spacing w:line="264" w:lineRule="auto" w:before="60" w:after="60"/>
            </w:pPr>
            <w:r>
              <w:rPr>
                <w:rFonts w:ascii="Arial" w:hAnsi="Arial"/>
                <w:b w:val="0"/>
                <w:sz w:val="18"/>
              </w:rPr>
              <w:t>−0.06 to 0.36</w:t>
            </w:r>
          </w:p>
        </w:tc>
      </w:tr>
      <w:tr>
        <w:trPr>
          <w:cantSplit/>
        </w:trPr>
        <w:tc>
          <w:tcPr>
            <w:tcW w:type="dxa" w:w="1814"/>
            <w:tcMar>
              <w:left w:w="70" w:type="dxa"/>
              <w:right w:w="70" w:type="dxa"/>
            </w:tcMar>
            <w:tcBorders/>
          </w:tcPr>
          <w:p>
            <w:pPr>
              <w:spacing w:line="264" w:lineRule="auto" w:before="60" w:after="60"/>
            </w:pPr>
            <w:r>
              <w:rPr>
                <w:rFonts w:ascii="Arial" w:hAnsi="Arial"/>
                <w:b w:val="0"/>
                <w:sz w:val="18"/>
              </w:rPr>
              <w:t>Baseline DLCO</w:t>
            </w:r>
          </w:p>
        </w:tc>
        <w:tc>
          <w:tcPr>
            <w:tcW w:type="dxa" w:w="2494"/>
            <w:tcMar>
              <w:left w:w="70" w:type="dxa"/>
              <w:right w:w="70" w:type="dxa"/>
            </w:tcMar>
            <w:tcBorders/>
          </w:tcPr>
          <w:p>
            <w:pPr>
              <w:spacing w:line="264" w:lineRule="auto" w:before="60" w:after="60"/>
            </w:pPr>
            <w:r>
              <w:rPr>
                <w:rFonts w:ascii="Arial" w:hAnsi="Arial"/>
                <w:b w:val="0"/>
                <w:sz w:val="18"/>
              </w:rPr>
              <w:t>ESMI</w:t>
            </w:r>
          </w:p>
        </w:tc>
        <w:tc>
          <w:tcPr>
            <w:tcW w:type="dxa" w:w="567"/>
            <w:tcMar>
              <w:left w:w="70" w:type="dxa"/>
              <w:right w:w="70" w:type="dxa"/>
            </w:tcMar>
            <w:tcBorders/>
          </w:tcPr>
          <w:p>
            <w:pPr>
              <w:spacing w:line="264" w:lineRule="auto" w:before="60" w:after="60"/>
            </w:pPr>
            <w:r>
              <w:rPr>
                <w:rFonts w:ascii="Arial" w:hAnsi="Arial"/>
                <w:b w:val="0"/>
                <w:sz w:val="18"/>
              </w:rPr>
              <w:t>78</w:t>
            </w:r>
          </w:p>
        </w:tc>
        <w:tc>
          <w:tcPr>
            <w:tcW w:type="dxa" w:w="1701"/>
            <w:tcMar>
              <w:left w:w="70" w:type="dxa"/>
              <w:right w:w="70" w:type="dxa"/>
            </w:tcMar>
            <w:tcBorders/>
          </w:tcPr>
          <w:p>
            <w:pPr>
              <w:spacing w:line="264" w:lineRule="auto" w:before="60" w:after="60"/>
            </w:pPr>
            <w:r>
              <w:rPr>
                <w:rFonts w:ascii="Arial" w:hAnsi="Arial"/>
                <w:b w:val="0"/>
                <w:sz w:val="18"/>
              </w:rPr>
              <w:t>0.21</w:t>
            </w:r>
          </w:p>
        </w:tc>
        <w:tc>
          <w:tcPr>
            <w:tcW w:type="dxa" w:w="2211"/>
            <w:tcMar>
              <w:left w:w="70" w:type="dxa"/>
              <w:right w:w="70" w:type="dxa"/>
            </w:tcMar>
            <w:tcBorders/>
          </w:tcPr>
          <w:p>
            <w:pPr>
              <w:spacing w:line="264" w:lineRule="auto" w:before="60" w:after="60"/>
            </w:pPr>
            <w:r>
              <w:rPr>
                <w:rFonts w:ascii="Arial" w:hAnsi="Arial"/>
                <w:b w:val="0"/>
                <w:sz w:val="18"/>
              </w:rPr>
              <w:t>−0.14 to 0.41</w:t>
            </w:r>
          </w:p>
        </w:tc>
      </w:tr>
      <w:tr>
        <w:trPr>
          <w:cantSplit/>
        </w:trPr>
        <w:tc>
          <w:tcPr>
            <w:tcW w:type="dxa" w:w="1814"/>
            <w:tcMar>
              <w:left w:w="70" w:type="dxa"/>
              <w:right w:w="70" w:type="dxa"/>
            </w:tcMar>
            <w:tcBorders/>
          </w:tcPr>
          <w:p>
            <w:pPr>
              <w:spacing w:line="264" w:lineRule="auto" w:before="60" w:after="60"/>
            </w:pPr>
            <w:r>
              <w:rPr>
                <w:rFonts w:ascii="Arial" w:hAnsi="Arial"/>
                <w:b w:val="0"/>
                <w:sz w:val="18"/>
              </w:rPr>
              <w:t>Baseline FVC</w:t>
            </w:r>
          </w:p>
        </w:tc>
        <w:tc>
          <w:tcPr>
            <w:tcW w:type="dxa" w:w="2494"/>
            <w:tcMar>
              <w:left w:w="70" w:type="dxa"/>
              <w:right w:w="70" w:type="dxa"/>
            </w:tcMar>
            <w:tcBorders/>
          </w:tcPr>
          <w:p>
            <w:pPr>
              <w:spacing w:line="264" w:lineRule="auto" w:before="60" w:after="60"/>
            </w:pPr>
            <w:r>
              <w:rPr>
                <w:rFonts w:ascii="Arial" w:hAnsi="Arial"/>
                <w:b w:val="0"/>
                <w:sz w:val="18"/>
              </w:rPr>
              <w:t>Myosteatosis Index</w:t>
            </w:r>
          </w:p>
        </w:tc>
        <w:tc>
          <w:tcPr>
            <w:tcW w:type="dxa" w:w="567"/>
            <w:tcMar>
              <w:left w:w="70" w:type="dxa"/>
              <w:right w:w="70" w:type="dxa"/>
            </w:tcMar>
            <w:tcBorders/>
          </w:tcPr>
          <w:p>
            <w:pPr>
              <w:spacing w:line="264" w:lineRule="auto" w:before="60" w:after="60"/>
            </w:pPr>
            <w:r>
              <w:rPr>
                <w:rFonts w:ascii="Arial" w:hAnsi="Arial"/>
                <w:b w:val="0"/>
                <w:sz w:val="18"/>
              </w:rPr>
              <w:t>80</w:t>
            </w:r>
          </w:p>
        </w:tc>
        <w:tc>
          <w:tcPr>
            <w:tcW w:type="dxa" w:w="1701"/>
            <w:tcMar>
              <w:left w:w="70" w:type="dxa"/>
              <w:right w:w="70" w:type="dxa"/>
            </w:tcMar>
            <w:tcBorders/>
          </w:tcPr>
          <w:p>
            <w:pPr>
              <w:spacing w:line="264" w:lineRule="auto" w:before="60" w:after="60"/>
            </w:pPr>
            <w:r>
              <w:rPr>
                <w:rFonts w:ascii="Arial" w:hAnsi="Arial"/>
                <w:b w:val="0"/>
                <w:sz w:val="18"/>
              </w:rPr>
              <w:t>−0.14</w:t>
            </w:r>
          </w:p>
        </w:tc>
        <w:tc>
          <w:tcPr>
            <w:tcW w:type="dxa" w:w="2211"/>
            <w:tcMar>
              <w:left w:w="70" w:type="dxa"/>
              <w:right w:w="70" w:type="dxa"/>
            </w:tcMar>
            <w:tcBorders/>
          </w:tcPr>
          <w:p>
            <w:pPr>
              <w:spacing w:line="264" w:lineRule="auto" w:before="60" w:after="60"/>
            </w:pPr>
            <w:r>
              <w:rPr>
                <w:rFonts w:ascii="Arial" w:hAnsi="Arial"/>
                <w:b w:val="0"/>
                <w:sz w:val="18"/>
              </w:rPr>
              <w:t>−0.31 to 0.15</w:t>
            </w:r>
          </w:p>
        </w:tc>
      </w:tr>
      <w:tr>
        <w:trPr>
          <w:cantSplit/>
        </w:trPr>
        <w:tc>
          <w:tcPr>
            <w:tcW w:type="dxa" w:w="1814"/>
            <w:tcMar>
              <w:left w:w="70" w:type="dxa"/>
              <w:right w:w="70" w:type="dxa"/>
            </w:tcMar>
            <w:tcBorders>
              <w:bottom w:val="single" w:sz="6" w:color="000000"/>
            </w:tcBorders>
          </w:tcPr>
          <w:p>
            <w:pPr>
              <w:spacing w:line="264" w:lineRule="auto" w:before="60" w:after="60"/>
            </w:pPr>
            <w:r>
              <w:rPr>
                <w:rFonts w:ascii="Arial" w:hAnsi="Arial"/>
                <w:b w:val="0"/>
                <w:sz w:val="18"/>
              </w:rPr>
              <w:t>Baseline FVC</w:t>
            </w:r>
          </w:p>
        </w:tc>
        <w:tc>
          <w:tcPr>
            <w:tcW w:type="dxa" w:w="2494"/>
            <w:tcMar>
              <w:left w:w="70" w:type="dxa"/>
              <w:right w:w="70" w:type="dxa"/>
            </w:tcMar>
            <w:tcBorders>
              <w:bottom w:val="single" w:sz="6" w:color="000000"/>
            </w:tcBorders>
          </w:tcPr>
          <w:p>
            <w:pPr>
              <w:spacing w:line="264" w:lineRule="auto" w:before="60" w:after="60"/>
            </w:pPr>
            <w:r>
              <w:rPr>
                <w:rFonts w:ascii="Arial" w:hAnsi="Arial"/>
                <w:b w:val="0"/>
                <w:sz w:val="18"/>
              </w:rPr>
              <w:t>ESMI</w:t>
            </w:r>
          </w:p>
        </w:tc>
        <w:tc>
          <w:tcPr>
            <w:tcW w:type="dxa" w:w="567"/>
            <w:tcMar>
              <w:left w:w="70" w:type="dxa"/>
              <w:right w:w="70" w:type="dxa"/>
            </w:tcMar>
            <w:tcBorders>
              <w:bottom w:val="single" w:sz="6" w:color="000000"/>
            </w:tcBorders>
          </w:tcPr>
          <w:p>
            <w:pPr>
              <w:spacing w:line="264" w:lineRule="auto" w:before="60" w:after="60"/>
            </w:pPr>
            <w:r>
              <w:rPr>
                <w:rFonts w:ascii="Arial" w:hAnsi="Arial"/>
                <w:b w:val="0"/>
                <w:sz w:val="18"/>
              </w:rPr>
              <w:t>80</w:t>
            </w:r>
          </w:p>
        </w:tc>
        <w:tc>
          <w:tcPr>
            <w:tcW w:type="dxa" w:w="1701"/>
            <w:tcMar>
              <w:left w:w="70" w:type="dxa"/>
              <w:right w:w="70" w:type="dxa"/>
            </w:tcMar>
            <w:tcBorders>
              <w:bottom w:val="single" w:sz="6" w:color="000000"/>
            </w:tcBorders>
          </w:tcPr>
          <w:p>
            <w:pPr>
              <w:spacing w:line="264" w:lineRule="auto" w:before="60" w:after="60"/>
            </w:pPr>
            <w:r>
              <w:rPr>
                <w:rFonts w:ascii="Arial" w:hAnsi="Arial"/>
                <w:b w:val="0"/>
                <w:sz w:val="18"/>
              </w:rPr>
              <w:t>−0.11</w:t>
            </w:r>
          </w:p>
        </w:tc>
        <w:tc>
          <w:tcPr>
            <w:tcW w:type="dxa" w:w="2211"/>
            <w:tcMar>
              <w:left w:w="70" w:type="dxa"/>
              <w:right w:w="70" w:type="dxa"/>
            </w:tcMar>
            <w:tcBorders>
              <w:bottom w:val="single" w:sz="6" w:color="000000"/>
            </w:tcBorders>
          </w:tcPr>
          <w:p>
            <w:pPr>
              <w:spacing w:line="264" w:lineRule="auto" w:before="60" w:after="60"/>
            </w:pPr>
            <w:r>
              <w:rPr>
                <w:rFonts w:ascii="Arial" w:hAnsi="Arial"/>
                <w:b w:val="0"/>
                <w:sz w:val="18"/>
              </w:rPr>
              <w:t>−0.31 to 0.17</w:t>
            </w:r>
          </w:p>
        </w:tc>
      </w:tr>
    </w:tbl>
    <w:p>
      <w:pPr>
        <w:pStyle w:val="Caption"/>
        <w:widowControl/>
      </w:pPr>
      <w:r>
        <w:t>The comparison accounts for the correlations being estimated in the same patients. All results are exploratory.</w:t>
      </w:r>
    </w:p>
    <w:p>
      <w:pPr>
        <w:widowControl/>
        <w:spacing w:line="269" w:lineRule="auto"/>
      </w:pPr>
      <w:r>
        <w:t>To evaluate complementary explanatory information, a clinical base model included age, sex, ILD extent, emphysema, BMI and pack-years. Myosteatosis Index or ESMI was then added separately in the same outcome-specific sample. ΔR² is the difference in ordinary model R²; partial R² is ΔR²/(1 − base-model R²). HC3 p values test the added CT coefficient. These are in-sample measures of explained variance, not validated prediction performance.</w:t>
      </w:r>
    </w:p>
    <w:p>
      <w:pPr>
        <w:pStyle w:val="Heading3"/>
        <w:widowControl/>
      </w:pPr>
      <w:r>
        <w:t>Table S7. Incremental explained variance beyond the clinical model containing BMI</w:t>
      </w:r>
    </w:p>
    <w:tbl>
      <w:tblPr>
        <w:tblW w:type="auto" w:w="0"/>
        <w:tblLayout w:type="fixed"/>
        <w:tblLook w:firstColumn="1" w:firstRow="1" w:lastColumn="0" w:lastRow="0" w:noHBand="0" w:noVBand="1" w:val="04A0"/>
      </w:tblPr>
      <w:tblGrid>
        <w:gridCol w:w="1531"/>
        <w:gridCol w:w="1984"/>
        <w:gridCol w:w="652"/>
        <w:gridCol w:w="964"/>
        <w:gridCol w:w="1191"/>
        <w:gridCol w:w="794"/>
        <w:gridCol w:w="1134"/>
      </w:tblGrid>
      <w:tr>
        <w:trPr>
          <w:cantSplit/>
          <w:tblHeader/>
        </w:trPr>
        <w:tc>
          <w:tcPr>
            <w:tcW w:type="dxa" w:w="1531"/>
            <w:tcMar>
              <w:left w:w="70" w:type="dxa"/>
              <w:right w:w="70" w:type="dxa"/>
            </w:tcMar>
            <w:tcBorders>
              <w:top w:val="single" w:sz="6" w:color="000000"/>
              <w:bottom w:val="single" w:sz="6" w:color="000000"/>
            </w:tcBorders>
          </w:tcPr>
          <w:p>
            <w:pPr>
              <w:spacing w:line="264" w:lineRule="auto" w:before="60" w:after="60"/>
            </w:pPr>
            <w:r>
              <w:rPr>
                <w:rFonts w:ascii="Arial" w:hAnsi="Arial"/>
                <w:b/>
                <w:sz w:val="18"/>
              </w:rPr>
              <w:t>Outcome</w:t>
            </w:r>
          </w:p>
        </w:tc>
        <w:tc>
          <w:tcPr>
            <w:tcW w:type="dxa" w:w="1984"/>
            <w:tcMar>
              <w:left w:w="70" w:type="dxa"/>
              <w:right w:w="70" w:type="dxa"/>
            </w:tcMar>
            <w:tcBorders>
              <w:top w:val="single" w:sz="6" w:color="000000"/>
              <w:bottom w:val="single" w:sz="6" w:color="000000"/>
            </w:tcBorders>
          </w:tcPr>
          <w:p>
            <w:pPr>
              <w:spacing w:line="264" w:lineRule="auto" w:before="60" w:after="60"/>
            </w:pPr>
            <w:r>
              <w:rPr>
                <w:rFonts w:ascii="Arial" w:hAnsi="Arial"/>
                <w:b/>
                <w:sz w:val="18"/>
              </w:rPr>
              <w:t>Added measure</w:t>
            </w:r>
          </w:p>
        </w:tc>
        <w:tc>
          <w:tcPr>
            <w:tcW w:type="dxa" w:w="652"/>
            <w:tcMar>
              <w:left w:w="70" w:type="dxa"/>
              <w:right w:w="70" w:type="dxa"/>
            </w:tcMar>
            <w:tcBorders>
              <w:top w:val="single" w:sz="6" w:color="000000"/>
              <w:bottom w:val="single" w:sz="6" w:color="000000"/>
            </w:tcBorders>
          </w:tcPr>
          <w:p>
            <w:pPr>
              <w:spacing w:line="264" w:lineRule="auto" w:before="60" w:after="60"/>
            </w:pPr>
            <w:r>
              <w:rPr>
                <w:rFonts w:ascii="Arial" w:hAnsi="Arial"/>
                <w:b/>
                <w:sz w:val="18"/>
              </w:rPr>
              <w:t>n</w:t>
            </w:r>
          </w:p>
        </w:tc>
        <w:tc>
          <w:tcPr>
            <w:tcW w:type="dxa" w:w="964"/>
            <w:tcMar>
              <w:left w:w="70" w:type="dxa"/>
              <w:right w:w="70" w:type="dxa"/>
            </w:tcMar>
            <w:tcBorders>
              <w:top w:val="single" w:sz="6" w:color="000000"/>
              <w:bottom w:val="single" w:sz="6" w:color="000000"/>
            </w:tcBorders>
          </w:tcPr>
          <w:p>
            <w:pPr>
              <w:spacing w:line="264" w:lineRule="auto" w:before="60" w:after="60"/>
            </w:pPr>
            <w:r>
              <w:rPr>
                <w:rFonts w:ascii="Arial" w:hAnsi="Arial"/>
                <w:b/>
                <w:sz w:val="18"/>
              </w:rPr>
              <w:t>Base R²</w:t>
            </w:r>
          </w:p>
        </w:tc>
        <w:tc>
          <w:tcPr>
            <w:tcW w:type="dxa" w:w="1191"/>
            <w:tcMar>
              <w:left w:w="70" w:type="dxa"/>
              <w:right w:w="70" w:type="dxa"/>
            </w:tcMar>
            <w:tcBorders>
              <w:top w:val="single" w:sz="6" w:color="000000"/>
              <w:bottom w:val="single" w:sz="6" w:color="000000"/>
            </w:tcBorders>
          </w:tcPr>
          <w:p>
            <w:pPr>
              <w:spacing w:line="264" w:lineRule="auto" w:before="60" w:after="60"/>
            </w:pPr>
            <w:r>
              <w:rPr>
                <w:rFonts w:ascii="Arial" w:hAnsi="Arial"/>
                <w:b/>
                <w:sz w:val="18"/>
              </w:rPr>
              <w:t>Expanded R²</w:t>
            </w:r>
          </w:p>
        </w:tc>
        <w:tc>
          <w:tcPr>
            <w:tcW w:type="dxa" w:w="794"/>
            <w:tcMar>
              <w:left w:w="70" w:type="dxa"/>
              <w:right w:w="70" w:type="dxa"/>
            </w:tcMar>
            <w:tcBorders>
              <w:top w:val="single" w:sz="6" w:color="000000"/>
              <w:bottom w:val="single" w:sz="6" w:color="000000"/>
            </w:tcBorders>
          </w:tcPr>
          <w:p>
            <w:pPr>
              <w:spacing w:line="264" w:lineRule="auto" w:before="60" w:after="60"/>
            </w:pPr>
            <w:r>
              <w:rPr>
                <w:rFonts w:ascii="Arial" w:hAnsi="Arial"/>
                <w:b/>
                <w:sz w:val="18"/>
              </w:rPr>
              <w:t>ΔR²</w:t>
            </w:r>
          </w:p>
        </w:tc>
        <w:tc>
          <w:tcPr>
            <w:tcW w:type="dxa" w:w="1134"/>
            <w:tcMar>
              <w:left w:w="70" w:type="dxa"/>
              <w:right w:w="70" w:type="dxa"/>
            </w:tcMar>
            <w:tcBorders>
              <w:top w:val="single" w:sz="6" w:color="000000"/>
              <w:bottom w:val="single" w:sz="6" w:color="000000"/>
            </w:tcBorders>
          </w:tcPr>
          <w:p>
            <w:pPr>
              <w:spacing w:line="264" w:lineRule="auto" w:before="60" w:after="60"/>
            </w:pPr>
            <w:r>
              <w:rPr>
                <w:rFonts w:ascii="Arial" w:hAnsi="Arial"/>
                <w:b/>
                <w:sz w:val="18"/>
              </w:rPr>
              <w:t>HC3 p value</w:t>
            </w:r>
          </w:p>
        </w:tc>
      </w:tr>
      <w:tr>
        <w:trPr>
          <w:cantSplit/>
        </w:trPr>
        <w:tc>
          <w:tcPr>
            <w:tcW w:type="dxa" w:w="1531"/>
            <w:tcMar>
              <w:left w:w="70" w:type="dxa"/>
              <w:right w:w="70" w:type="dxa"/>
            </w:tcMar>
            <w:tcBorders/>
          </w:tcPr>
          <w:p>
            <w:pPr>
              <w:spacing w:line="264" w:lineRule="auto" w:before="60" w:after="60"/>
            </w:pPr>
            <w:r>
              <w:rPr>
                <w:rFonts w:ascii="Arial" w:hAnsi="Arial"/>
                <w:b w:val="0"/>
                <w:sz w:val="18"/>
              </w:rPr>
              <w:t>Baseline DLCO</w:t>
            </w:r>
          </w:p>
        </w:tc>
        <w:tc>
          <w:tcPr>
            <w:tcW w:type="dxa" w:w="1984"/>
            <w:tcMar>
              <w:left w:w="70" w:type="dxa"/>
              <w:right w:w="70" w:type="dxa"/>
            </w:tcMar>
            <w:tcBorders/>
          </w:tcPr>
          <w:p>
            <w:pPr>
              <w:spacing w:line="264" w:lineRule="auto" w:before="60" w:after="60"/>
            </w:pPr>
            <w:r>
              <w:rPr>
                <w:rFonts w:ascii="Arial" w:hAnsi="Arial"/>
                <w:b w:val="0"/>
                <w:sz w:val="18"/>
              </w:rPr>
              <w:t>Myosteatosis Index</w:t>
            </w:r>
          </w:p>
        </w:tc>
        <w:tc>
          <w:tcPr>
            <w:tcW w:type="dxa" w:w="652"/>
            <w:tcMar>
              <w:left w:w="70" w:type="dxa"/>
              <w:right w:w="70" w:type="dxa"/>
            </w:tcMar>
            <w:tcBorders/>
          </w:tcPr>
          <w:p>
            <w:pPr>
              <w:spacing w:line="264" w:lineRule="auto" w:before="60" w:after="60"/>
            </w:pPr>
            <w:r>
              <w:rPr>
                <w:rFonts w:ascii="Arial" w:hAnsi="Arial"/>
                <w:b w:val="0"/>
                <w:sz w:val="18"/>
              </w:rPr>
              <w:t>78</w:t>
            </w:r>
          </w:p>
        </w:tc>
        <w:tc>
          <w:tcPr>
            <w:tcW w:type="dxa" w:w="964"/>
            <w:tcMar>
              <w:left w:w="70" w:type="dxa"/>
              <w:right w:w="70" w:type="dxa"/>
            </w:tcMar>
            <w:tcBorders/>
          </w:tcPr>
          <w:p>
            <w:pPr>
              <w:spacing w:line="264" w:lineRule="auto" w:before="60" w:after="60"/>
            </w:pPr>
            <w:r>
              <w:rPr>
                <w:rFonts w:ascii="Arial" w:hAnsi="Arial"/>
                <w:b w:val="0"/>
                <w:sz w:val="18"/>
              </w:rPr>
              <w:t>0.161</w:t>
            </w:r>
          </w:p>
        </w:tc>
        <w:tc>
          <w:tcPr>
            <w:tcW w:type="dxa" w:w="1191"/>
            <w:tcMar>
              <w:left w:w="70" w:type="dxa"/>
              <w:right w:w="70" w:type="dxa"/>
            </w:tcMar>
            <w:tcBorders/>
          </w:tcPr>
          <w:p>
            <w:pPr>
              <w:spacing w:line="264" w:lineRule="auto" w:before="60" w:after="60"/>
            </w:pPr>
            <w:r>
              <w:rPr>
                <w:rFonts w:ascii="Arial" w:hAnsi="Arial"/>
                <w:b w:val="0"/>
                <w:sz w:val="18"/>
              </w:rPr>
              <w:t>0.230</w:t>
            </w:r>
          </w:p>
        </w:tc>
        <w:tc>
          <w:tcPr>
            <w:tcW w:type="dxa" w:w="794"/>
            <w:tcMar>
              <w:left w:w="70" w:type="dxa"/>
              <w:right w:w="70" w:type="dxa"/>
            </w:tcMar>
            <w:tcBorders/>
          </w:tcPr>
          <w:p>
            <w:pPr>
              <w:spacing w:line="264" w:lineRule="auto" w:before="60" w:after="60"/>
            </w:pPr>
            <w:r>
              <w:rPr>
                <w:rFonts w:ascii="Arial" w:hAnsi="Arial"/>
                <w:b w:val="0"/>
                <w:sz w:val="18"/>
              </w:rPr>
              <w:t>0.070</w:t>
            </w:r>
          </w:p>
        </w:tc>
        <w:tc>
          <w:tcPr>
            <w:tcW w:type="dxa" w:w="1134"/>
            <w:tcMar>
              <w:left w:w="70" w:type="dxa"/>
              <w:right w:w="70" w:type="dxa"/>
            </w:tcMar>
            <w:tcBorders/>
          </w:tcPr>
          <w:p>
            <w:pPr>
              <w:spacing w:line="264" w:lineRule="auto" w:before="60" w:after="60"/>
            </w:pPr>
            <w:r>
              <w:rPr>
                <w:rFonts w:ascii="Arial" w:hAnsi="Arial"/>
                <w:b w:val="0"/>
                <w:sz w:val="18"/>
              </w:rPr>
              <w:t>0.024</w:t>
            </w:r>
          </w:p>
        </w:tc>
      </w:tr>
      <w:tr>
        <w:trPr>
          <w:cantSplit/>
        </w:trPr>
        <w:tc>
          <w:tcPr>
            <w:tcW w:type="dxa" w:w="1531"/>
            <w:tcMar>
              <w:left w:w="70" w:type="dxa"/>
              <w:right w:w="70" w:type="dxa"/>
            </w:tcMar>
            <w:tcBorders/>
          </w:tcPr>
          <w:p>
            <w:pPr>
              <w:spacing w:line="264" w:lineRule="auto" w:before="60" w:after="60"/>
            </w:pPr>
            <w:r>
              <w:rPr>
                <w:rFonts w:ascii="Arial" w:hAnsi="Arial"/>
                <w:b w:val="0"/>
                <w:sz w:val="18"/>
              </w:rPr>
              <w:t>Baseline DLCO</w:t>
            </w:r>
          </w:p>
        </w:tc>
        <w:tc>
          <w:tcPr>
            <w:tcW w:type="dxa" w:w="1984"/>
            <w:tcMar>
              <w:left w:w="70" w:type="dxa"/>
              <w:right w:w="70" w:type="dxa"/>
            </w:tcMar>
            <w:tcBorders/>
          </w:tcPr>
          <w:p>
            <w:pPr>
              <w:spacing w:line="264" w:lineRule="auto" w:before="60" w:after="60"/>
            </w:pPr>
            <w:r>
              <w:rPr>
                <w:rFonts w:ascii="Arial" w:hAnsi="Arial"/>
                <w:b w:val="0"/>
                <w:sz w:val="18"/>
              </w:rPr>
              <w:t>ESMI</w:t>
            </w:r>
          </w:p>
        </w:tc>
        <w:tc>
          <w:tcPr>
            <w:tcW w:type="dxa" w:w="652"/>
            <w:tcMar>
              <w:left w:w="70" w:type="dxa"/>
              <w:right w:w="70" w:type="dxa"/>
            </w:tcMar>
            <w:tcBorders/>
          </w:tcPr>
          <w:p>
            <w:pPr>
              <w:spacing w:line="264" w:lineRule="auto" w:before="60" w:after="60"/>
            </w:pPr>
            <w:r>
              <w:rPr>
                <w:rFonts w:ascii="Arial" w:hAnsi="Arial"/>
                <w:b w:val="0"/>
                <w:sz w:val="18"/>
              </w:rPr>
              <w:t>78</w:t>
            </w:r>
          </w:p>
        </w:tc>
        <w:tc>
          <w:tcPr>
            <w:tcW w:type="dxa" w:w="964"/>
            <w:tcMar>
              <w:left w:w="70" w:type="dxa"/>
              <w:right w:w="70" w:type="dxa"/>
            </w:tcMar>
            <w:tcBorders/>
          </w:tcPr>
          <w:p>
            <w:pPr>
              <w:spacing w:line="264" w:lineRule="auto" w:before="60" w:after="60"/>
            </w:pPr>
            <w:r>
              <w:rPr>
                <w:rFonts w:ascii="Arial" w:hAnsi="Arial"/>
                <w:b w:val="0"/>
                <w:sz w:val="18"/>
              </w:rPr>
              <w:t>0.161</w:t>
            </w:r>
          </w:p>
        </w:tc>
        <w:tc>
          <w:tcPr>
            <w:tcW w:type="dxa" w:w="1191"/>
            <w:tcMar>
              <w:left w:w="70" w:type="dxa"/>
              <w:right w:w="70" w:type="dxa"/>
            </w:tcMar>
            <w:tcBorders/>
          </w:tcPr>
          <w:p>
            <w:pPr>
              <w:spacing w:line="264" w:lineRule="auto" w:before="60" w:after="60"/>
            </w:pPr>
            <w:r>
              <w:rPr>
                <w:rFonts w:ascii="Arial" w:hAnsi="Arial"/>
                <w:b w:val="0"/>
                <w:sz w:val="18"/>
              </w:rPr>
              <w:t>0.213</w:t>
            </w:r>
          </w:p>
        </w:tc>
        <w:tc>
          <w:tcPr>
            <w:tcW w:type="dxa" w:w="794"/>
            <w:tcMar>
              <w:left w:w="70" w:type="dxa"/>
              <w:right w:w="70" w:type="dxa"/>
            </w:tcMar>
            <w:tcBorders/>
          </w:tcPr>
          <w:p>
            <w:pPr>
              <w:spacing w:line="264" w:lineRule="auto" w:before="60" w:after="60"/>
            </w:pPr>
            <w:r>
              <w:rPr>
                <w:rFonts w:ascii="Arial" w:hAnsi="Arial"/>
                <w:b w:val="0"/>
                <w:sz w:val="18"/>
              </w:rPr>
              <w:t>0.053</w:t>
            </w:r>
          </w:p>
        </w:tc>
        <w:tc>
          <w:tcPr>
            <w:tcW w:type="dxa" w:w="1134"/>
            <w:tcMar>
              <w:left w:w="70" w:type="dxa"/>
              <w:right w:w="70" w:type="dxa"/>
            </w:tcMar>
            <w:tcBorders/>
          </w:tcPr>
          <w:p>
            <w:pPr>
              <w:spacing w:line="264" w:lineRule="auto" w:before="60" w:after="60"/>
            </w:pPr>
            <w:r>
              <w:rPr>
                <w:rFonts w:ascii="Arial" w:hAnsi="Arial"/>
                <w:b w:val="0"/>
                <w:sz w:val="18"/>
              </w:rPr>
              <w:t>0.266</w:t>
            </w:r>
          </w:p>
        </w:tc>
      </w:tr>
      <w:tr>
        <w:trPr>
          <w:cantSplit/>
        </w:trPr>
        <w:tc>
          <w:tcPr>
            <w:tcW w:type="dxa" w:w="1531"/>
            <w:tcMar>
              <w:left w:w="70" w:type="dxa"/>
              <w:right w:w="70" w:type="dxa"/>
            </w:tcMar>
            <w:tcBorders/>
          </w:tcPr>
          <w:p>
            <w:pPr>
              <w:spacing w:line="264" w:lineRule="auto" w:before="60" w:after="60"/>
            </w:pPr>
            <w:r>
              <w:rPr>
                <w:rFonts w:ascii="Arial" w:hAnsi="Arial"/>
                <w:b w:val="0"/>
                <w:sz w:val="18"/>
              </w:rPr>
              <w:t>Baseline FVC</w:t>
            </w:r>
          </w:p>
        </w:tc>
        <w:tc>
          <w:tcPr>
            <w:tcW w:type="dxa" w:w="1984"/>
            <w:tcMar>
              <w:left w:w="70" w:type="dxa"/>
              <w:right w:w="70" w:type="dxa"/>
            </w:tcMar>
            <w:tcBorders/>
          </w:tcPr>
          <w:p>
            <w:pPr>
              <w:spacing w:line="264" w:lineRule="auto" w:before="60" w:after="60"/>
            </w:pPr>
            <w:r>
              <w:rPr>
                <w:rFonts w:ascii="Arial" w:hAnsi="Arial"/>
                <w:b w:val="0"/>
                <w:sz w:val="18"/>
              </w:rPr>
              <w:t>Myosteatosis Index</w:t>
            </w:r>
          </w:p>
        </w:tc>
        <w:tc>
          <w:tcPr>
            <w:tcW w:type="dxa" w:w="652"/>
            <w:tcMar>
              <w:left w:w="70" w:type="dxa"/>
              <w:right w:w="70" w:type="dxa"/>
            </w:tcMar>
            <w:tcBorders/>
          </w:tcPr>
          <w:p>
            <w:pPr>
              <w:spacing w:line="264" w:lineRule="auto" w:before="60" w:after="60"/>
            </w:pPr>
            <w:r>
              <w:rPr>
                <w:rFonts w:ascii="Arial" w:hAnsi="Arial"/>
                <w:b w:val="0"/>
                <w:sz w:val="18"/>
              </w:rPr>
              <w:t>80</w:t>
            </w:r>
          </w:p>
        </w:tc>
        <w:tc>
          <w:tcPr>
            <w:tcW w:type="dxa" w:w="964"/>
            <w:tcMar>
              <w:left w:w="70" w:type="dxa"/>
              <w:right w:w="70" w:type="dxa"/>
            </w:tcMar>
            <w:tcBorders/>
          </w:tcPr>
          <w:p>
            <w:pPr>
              <w:spacing w:line="264" w:lineRule="auto" w:before="60" w:after="60"/>
            </w:pPr>
            <w:r>
              <w:rPr>
                <w:rFonts w:ascii="Arial" w:hAnsi="Arial"/>
                <w:b w:val="0"/>
                <w:sz w:val="18"/>
              </w:rPr>
              <w:t>0.174</w:t>
            </w:r>
          </w:p>
        </w:tc>
        <w:tc>
          <w:tcPr>
            <w:tcW w:type="dxa" w:w="1191"/>
            <w:tcMar>
              <w:left w:w="70" w:type="dxa"/>
              <w:right w:w="70" w:type="dxa"/>
            </w:tcMar>
            <w:tcBorders/>
          </w:tcPr>
          <w:p>
            <w:pPr>
              <w:spacing w:line="264" w:lineRule="auto" w:before="60" w:after="60"/>
            </w:pPr>
            <w:r>
              <w:rPr>
                <w:rFonts w:ascii="Arial" w:hAnsi="Arial"/>
                <w:b w:val="0"/>
                <w:sz w:val="18"/>
              </w:rPr>
              <w:t>0.174</w:t>
            </w:r>
          </w:p>
        </w:tc>
        <w:tc>
          <w:tcPr>
            <w:tcW w:type="dxa" w:w="794"/>
            <w:tcMar>
              <w:left w:w="70" w:type="dxa"/>
              <w:right w:w="70" w:type="dxa"/>
            </w:tcMar>
            <w:tcBorders/>
          </w:tcPr>
          <w:p>
            <w:pPr>
              <w:spacing w:line="264" w:lineRule="auto" w:before="60" w:after="60"/>
            </w:pPr>
            <w:r>
              <w:rPr>
                <w:rFonts w:ascii="Arial" w:hAnsi="Arial"/>
                <w:b w:val="0"/>
                <w:sz w:val="18"/>
              </w:rPr>
              <w:t>0.000</w:t>
            </w:r>
          </w:p>
        </w:tc>
        <w:tc>
          <w:tcPr>
            <w:tcW w:type="dxa" w:w="1134"/>
            <w:tcMar>
              <w:left w:w="70" w:type="dxa"/>
              <w:right w:w="70" w:type="dxa"/>
            </w:tcMar>
            <w:tcBorders/>
          </w:tcPr>
          <w:p>
            <w:pPr>
              <w:spacing w:line="264" w:lineRule="auto" w:before="60" w:after="60"/>
            </w:pPr>
            <w:r>
              <w:rPr>
                <w:rFonts w:ascii="Arial" w:hAnsi="Arial"/>
                <w:b w:val="0"/>
                <w:sz w:val="18"/>
              </w:rPr>
              <w:t>0.988</w:t>
            </w:r>
          </w:p>
        </w:tc>
      </w:tr>
      <w:tr>
        <w:trPr>
          <w:cantSplit/>
        </w:trPr>
        <w:tc>
          <w:tcPr>
            <w:tcW w:type="dxa" w:w="1531"/>
            <w:tcMar>
              <w:left w:w="70" w:type="dxa"/>
              <w:right w:w="70" w:type="dxa"/>
            </w:tcMar>
            <w:tcBorders>
              <w:bottom w:val="single" w:sz="6" w:color="000000"/>
            </w:tcBorders>
          </w:tcPr>
          <w:p>
            <w:pPr>
              <w:spacing w:line="264" w:lineRule="auto" w:before="60" w:after="60"/>
            </w:pPr>
            <w:r>
              <w:rPr>
                <w:rFonts w:ascii="Arial" w:hAnsi="Arial"/>
                <w:b w:val="0"/>
                <w:sz w:val="18"/>
              </w:rPr>
              <w:t>Baseline FVC</w:t>
            </w:r>
          </w:p>
        </w:tc>
        <w:tc>
          <w:tcPr>
            <w:tcW w:type="dxa" w:w="1984"/>
            <w:tcMar>
              <w:left w:w="70" w:type="dxa"/>
              <w:right w:w="70" w:type="dxa"/>
            </w:tcMar>
            <w:tcBorders>
              <w:bottom w:val="single" w:sz="6" w:color="000000"/>
            </w:tcBorders>
          </w:tcPr>
          <w:p>
            <w:pPr>
              <w:spacing w:line="264" w:lineRule="auto" w:before="60" w:after="60"/>
            </w:pPr>
            <w:r>
              <w:rPr>
                <w:rFonts w:ascii="Arial" w:hAnsi="Arial"/>
                <w:b w:val="0"/>
                <w:sz w:val="18"/>
              </w:rPr>
              <w:t>ESMI</w:t>
            </w:r>
          </w:p>
        </w:tc>
        <w:tc>
          <w:tcPr>
            <w:tcW w:type="dxa" w:w="652"/>
            <w:tcMar>
              <w:left w:w="70" w:type="dxa"/>
              <w:right w:w="70" w:type="dxa"/>
            </w:tcMar>
            <w:tcBorders>
              <w:bottom w:val="single" w:sz="6" w:color="000000"/>
            </w:tcBorders>
          </w:tcPr>
          <w:p>
            <w:pPr>
              <w:spacing w:line="264" w:lineRule="auto" w:before="60" w:after="60"/>
            </w:pPr>
            <w:r>
              <w:rPr>
                <w:rFonts w:ascii="Arial" w:hAnsi="Arial"/>
                <w:b w:val="0"/>
                <w:sz w:val="18"/>
              </w:rPr>
              <w:t>80</w:t>
            </w:r>
          </w:p>
        </w:tc>
        <w:tc>
          <w:tcPr>
            <w:tcW w:type="dxa" w:w="964"/>
            <w:tcMar>
              <w:left w:w="70" w:type="dxa"/>
              <w:right w:w="70" w:type="dxa"/>
            </w:tcMar>
            <w:tcBorders>
              <w:bottom w:val="single" w:sz="6" w:color="000000"/>
            </w:tcBorders>
          </w:tcPr>
          <w:p>
            <w:pPr>
              <w:spacing w:line="264" w:lineRule="auto" w:before="60" w:after="60"/>
            </w:pPr>
            <w:r>
              <w:rPr>
                <w:rFonts w:ascii="Arial" w:hAnsi="Arial"/>
                <w:b w:val="0"/>
                <w:sz w:val="18"/>
              </w:rPr>
              <w:t>0.174</w:t>
            </w:r>
          </w:p>
        </w:tc>
        <w:tc>
          <w:tcPr>
            <w:tcW w:type="dxa" w:w="1191"/>
            <w:tcMar>
              <w:left w:w="70" w:type="dxa"/>
              <w:right w:w="70" w:type="dxa"/>
            </w:tcMar>
            <w:tcBorders>
              <w:bottom w:val="single" w:sz="6" w:color="000000"/>
            </w:tcBorders>
          </w:tcPr>
          <w:p>
            <w:pPr>
              <w:spacing w:line="264" w:lineRule="auto" w:before="60" w:after="60"/>
            </w:pPr>
            <w:r>
              <w:rPr>
                <w:rFonts w:ascii="Arial" w:hAnsi="Arial"/>
                <w:b w:val="0"/>
                <w:sz w:val="18"/>
              </w:rPr>
              <w:t>0.185</w:t>
            </w:r>
          </w:p>
        </w:tc>
        <w:tc>
          <w:tcPr>
            <w:tcW w:type="dxa" w:w="794"/>
            <w:tcMar>
              <w:left w:w="70" w:type="dxa"/>
              <w:right w:w="70" w:type="dxa"/>
            </w:tcMar>
            <w:tcBorders>
              <w:bottom w:val="single" w:sz="6" w:color="000000"/>
            </w:tcBorders>
          </w:tcPr>
          <w:p>
            <w:pPr>
              <w:spacing w:line="264" w:lineRule="auto" w:before="60" w:after="60"/>
            </w:pPr>
            <w:r>
              <w:rPr>
                <w:rFonts w:ascii="Arial" w:hAnsi="Arial"/>
                <w:b w:val="0"/>
                <w:sz w:val="18"/>
              </w:rPr>
              <w:t>0.011</w:t>
            </w:r>
          </w:p>
        </w:tc>
        <w:tc>
          <w:tcPr>
            <w:tcW w:type="dxa" w:w="1134"/>
            <w:tcMar>
              <w:left w:w="70" w:type="dxa"/>
              <w:right w:w="70" w:type="dxa"/>
            </w:tcMar>
            <w:tcBorders>
              <w:bottom w:val="single" w:sz="6" w:color="000000"/>
            </w:tcBorders>
          </w:tcPr>
          <w:p>
            <w:pPr>
              <w:spacing w:line="264" w:lineRule="auto" w:before="60" w:after="60"/>
            </w:pPr>
            <w:r>
              <w:rPr>
                <w:rFonts w:ascii="Arial" w:hAnsi="Arial"/>
                <w:b w:val="0"/>
                <w:sz w:val="18"/>
              </w:rPr>
              <w:t>0.401</w:t>
            </w:r>
          </w:p>
        </w:tc>
      </w:tr>
    </w:tbl>
    <w:p>
      <w:pPr>
        <w:pStyle w:val="Caption"/>
        <w:widowControl/>
      </w:pPr>
      <w:r>
        <w:t>The expanded Myosteatosis Index model for DLCO is the unchanged primary Model 3. Rounded ΔR²=0.000 for baseline FVC and Myosteatosis Index corresponds to an unrounded value of 0.0000026.</w:t>
      </w:r>
    </w:p>
    <w:p>
      <w:pPr>
        <w:pStyle w:val="Heading2"/>
        <w:widowControl/>
      </w:pPr>
      <w:r>
        <w:t>S10. Complementary analyses across both measures and pulmonary function outcomes</w:t>
      </w:r>
    </w:p>
    <w:p>
      <w:pPr>
        <w:widowControl/>
        <w:spacing w:line="269" w:lineRule="auto"/>
      </w:pPr>
      <w:r>
        <w:t>Both Myosteatosis Index and ESMI were assessed with both baseline and follow-up FVC and DLCO. Baseline models adjusted for age, sex, ILD extent, emphysema, BMI and pack-years. Follow-up models adjusted for the corresponding baseline pulmonary function value, follow-up duration, age, sex, initial antifibrotic treatment and ILD extent, matching the original ESMI Model E2. The same complete-case population was used for the two measures within each outcome. Each exposure was standardised within its analysis population for these side-by-side results. The original ESMI analysis remains expressed per 0.01 L/m² in Table S2. No multiplicity adjustment was applied.</w:t>
      </w:r>
    </w:p>
    <w:p>
      <w:pPr>
        <w:pStyle w:val="Heading3"/>
        <w:widowControl/>
      </w:pPr>
      <w:r>
        <w:t>Table S8. Adjusted associations of both CT measures across pulmonary function outcomes</w:t>
      </w:r>
    </w:p>
    <w:tbl>
      <w:tblPr>
        <w:tblW w:type="auto" w:w="0"/>
        <w:tblLayout w:type="fixed"/>
        <w:tblLook w:firstColumn="1" w:firstRow="1" w:lastColumn="0" w:lastRow="0" w:noHBand="0" w:noVBand="1" w:val="04A0"/>
      </w:tblPr>
      <w:tblGrid>
        <w:gridCol w:w="1757"/>
        <w:gridCol w:w="2098"/>
        <w:gridCol w:w="624"/>
        <w:gridCol w:w="3118"/>
        <w:gridCol w:w="850"/>
      </w:tblGrid>
      <w:tr>
        <w:trPr>
          <w:cantSplit/>
          <w:tblHeader/>
        </w:trPr>
        <w:tc>
          <w:tcPr>
            <w:tcW w:type="dxa" w:w="1757"/>
            <w:tcMar>
              <w:left w:w="70" w:type="dxa"/>
              <w:right w:w="70" w:type="dxa"/>
            </w:tcMar>
            <w:tcBorders>
              <w:top w:val="single" w:sz="6" w:color="000000"/>
              <w:bottom w:val="single" w:sz="6" w:color="000000"/>
            </w:tcBorders>
          </w:tcPr>
          <w:p>
            <w:pPr>
              <w:spacing w:line="264" w:lineRule="auto" w:before="60" w:after="60"/>
            </w:pPr>
            <w:r>
              <w:rPr>
                <w:rFonts w:ascii="Arial" w:hAnsi="Arial"/>
                <w:b/>
                <w:sz w:val="18"/>
              </w:rPr>
              <w:t>Outcome</w:t>
            </w:r>
          </w:p>
        </w:tc>
        <w:tc>
          <w:tcPr>
            <w:tcW w:type="dxa" w:w="2098"/>
            <w:tcMar>
              <w:left w:w="70" w:type="dxa"/>
              <w:right w:w="70" w:type="dxa"/>
            </w:tcMar>
            <w:tcBorders>
              <w:top w:val="single" w:sz="6" w:color="000000"/>
              <w:bottom w:val="single" w:sz="6" w:color="000000"/>
            </w:tcBorders>
          </w:tcPr>
          <w:p>
            <w:pPr>
              <w:spacing w:line="264" w:lineRule="auto" w:before="60" w:after="60"/>
            </w:pPr>
            <w:r>
              <w:rPr>
                <w:rFonts w:ascii="Arial" w:hAnsi="Arial"/>
                <w:b/>
                <w:sz w:val="18"/>
              </w:rPr>
              <w:t>CT measure</w:t>
            </w:r>
          </w:p>
        </w:tc>
        <w:tc>
          <w:tcPr>
            <w:tcW w:type="dxa" w:w="624"/>
            <w:tcMar>
              <w:left w:w="70" w:type="dxa"/>
              <w:right w:w="70" w:type="dxa"/>
            </w:tcMar>
            <w:tcBorders>
              <w:top w:val="single" w:sz="6" w:color="000000"/>
              <w:bottom w:val="single" w:sz="6" w:color="000000"/>
            </w:tcBorders>
          </w:tcPr>
          <w:p>
            <w:pPr>
              <w:spacing w:line="264" w:lineRule="auto" w:before="60" w:after="60"/>
            </w:pPr>
            <w:r>
              <w:rPr>
                <w:rFonts w:ascii="Arial" w:hAnsi="Arial"/>
                <w:b/>
                <w:sz w:val="18"/>
              </w:rPr>
              <w:t>n</w:t>
            </w:r>
          </w:p>
        </w:tc>
        <w:tc>
          <w:tcPr>
            <w:tcW w:type="dxa" w:w="3118"/>
            <w:tcMar>
              <w:left w:w="70" w:type="dxa"/>
              <w:right w:w="70" w:type="dxa"/>
            </w:tcMar>
            <w:tcBorders>
              <w:top w:val="single" w:sz="6" w:color="000000"/>
              <w:bottom w:val="single" w:sz="6" w:color="000000"/>
            </w:tcBorders>
          </w:tcPr>
          <w:p>
            <w:pPr>
              <w:spacing w:line="264" w:lineRule="auto" w:before="60" w:after="60"/>
            </w:pPr>
            <w:r>
              <w:rPr>
                <w:rFonts w:ascii="Arial" w:hAnsi="Arial"/>
                <w:b/>
                <w:sz w:val="18"/>
              </w:rPr>
              <w:t>Difference per 1 SD (95% CI)</w:t>
            </w:r>
          </w:p>
        </w:tc>
        <w:tc>
          <w:tcPr>
            <w:tcW w:type="dxa" w:w="850"/>
            <w:tcMar>
              <w:left w:w="70" w:type="dxa"/>
              <w:right w:w="70" w:type="dxa"/>
            </w:tcMar>
            <w:tcBorders>
              <w:top w:val="single" w:sz="6" w:color="000000"/>
              <w:bottom w:val="single" w:sz="6" w:color="000000"/>
            </w:tcBorders>
          </w:tcPr>
          <w:p>
            <w:pPr>
              <w:spacing w:line="264" w:lineRule="auto" w:before="60" w:after="60"/>
            </w:pPr>
            <w:r>
              <w:rPr>
                <w:rFonts w:ascii="Arial" w:hAnsi="Arial"/>
                <w:b/>
                <w:sz w:val="18"/>
              </w:rPr>
              <w:t>p value</w:t>
            </w:r>
          </w:p>
        </w:tc>
      </w:tr>
      <w:tr>
        <w:trPr>
          <w:cantSplit/>
        </w:trPr>
        <w:tc>
          <w:tcPr>
            <w:tcW w:type="dxa" w:w="1757"/>
            <w:tcMar>
              <w:left w:w="70" w:type="dxa"/>
              <w:right w:w="70" w:type="dxa"/>
            </w:tcMar>
            <w:tcBorders/>
          </w:tcPr>
          <w:p>
            <w:pPr>
              <w:spacing w:line="264" w:lineRule="auto" w:before="60" w:after="60"/>
            </w:pPr>
            <w:r>
              <w:rPr>
                <w:rFonts w:ascii="Arial" w:hAnsi="Arial"/>
                <w:b w:val="0"/>
                <w:sz w:val="18"/>
              </w:rPr>
              <w:t>Baseline DLCO</w:t>
            </w:r>
          </w:p>
        </w:tc>
        <w:tc>
          <w:tcPr>
            <w:tcW w:type="dxa" w:w="2098"/>
            <w:tcMar>
              <w:left w:w="70" w:type="dxa"/>
              <w:right w:w="70" w:type="dxa"/>
            </w:tcMar>
            <w:tcBorders/>
          </w:tcPr>
          <w:p>
            <w:pPr>
              <w:spacing w:line="264" w:lineRule="auto" w:before="60" w:after="60"/>
            </w:pPr>
            <w:r>
              <w:rPr>
                <w:rFonts w:ascii="Arial" w:hAnsi="Arial"/>
                <w:b w:val="0"/>
                <w:sz w:val="18"/>
              </w:rPr>
              <w:t>Myosteatosis Index</w:t>
            </w:r>
          </w:p>
        </w:tc>
        <w:tc>
          <w:tcPr>
            <w:tcW w:type="dxa" w:w="624"/>
            <w:tcMar>
              <w:left w:w="70" w:type="dxa"/>
              <w:right w:w="70" w:type="dxa"/>
            </w:tcMar>
            <w:tcBorders/>
          </w:tcPr>
          <w:p>
            <w:pPr>
              <w:spacing w:line="264" w:lineRule="auto" w:before="60" w:after="60"/>
            </w:pPr>
            <w:r>
              <w:rPr>
                <w:rFonts w:ascii="Arial" w:hAnsi="Arial"/>
                <w:b w:val="0"/>
                <w:sz w:val="18"/>
              </w:rPr>
              <w:t>78</w:t>
            </w:r>
          </w:p>
        </w:tc>
        <w:tc>
          <w:tcPr>
            <w:tcW w:type="dxa" w:w="3118"/>
            <w:tcMar>
              <w:left w:w="70" w:type="dxa"/>
              <w:right w:w="70" w:type="dxa"/>
            </w:tcMar>
            <w:tcBorders/>
          </w:tcPr>
          <w:p>
            <w:pPr>
              <w:spacing w:line="264" w:lineRule="auto" w:before="60" w:after="60"/>
            </w:pPr>
            <w:r>
              <w:rPr>
                <w:rFonts w:ascii="Arial" w:hAnsi="Arial"/>
                <w:b w:val="0"/>
                <w:sz w:val="18"/>
              </w:rPr>
              <w:t>−4.99 (−9.30 to −0.69)</w:t>
            </w:r>
          </w:p>
        </w:tc>
        <w:tc>
          <w:tcPr>
            <w:tcW w:type="dxa" w:w="850"/>
            <w:tcMar>
              <w:left w:w="70" w:type="dxa"/>
              <w:right w:w="70" w:type="dxa"/>
            </w:tcMar>
            <w:tcBorders/>
          </w:tcPr>
          <w:p>
            <w:pPr>
              <w:spacing w:line="264" w:lineRule="auto" w:before="60" w:after="60"/>
            </w:pPr>
            <w:r>
              <w:rPr>
                <w:rFonts w:ascii="Arial" w:hAnsi="Arial"/>
                <w:b w:val="0"/>
                <w:sz w:val="18"/>
              </w:rPr>
              <w:t>0.024</w:t>
            </w:r>
          </w:p>
        </w:tc>
      </w:tr>
      <w:tr>
        <w:trPr>
          <w:cantSplit/>
        </w:trPr>
        <w:tc>
          <w:tcPr>
            <w:tcW w:type="dxa" w:w="1757"/>
            <w:tcMar>
              <w:left w:w="70" w:type="dxa"/>
              <w:right w:w="70" w:type="dxa"/>
            </w:tcMar>
            <w:tcBorders/>
          </w:tcPr>
          <w:p>
            <w:pPr>
              <w:spacing w:line="264" w:lineRule="auto" w:before="60" w:after="60"/>
            </w:pPr>
            <w:r>
              <w:rPr>
                <w:rFonts w:ascii="Arial" w:hAnsi="Arial"/>
                <w:b w:val="0"/>
                <w:sz w:val="18"/>
              </w:rPr>
              <w:t>Baseline DLCO</w:t>
            </w:r>
          </w:p>
        </w:tc>
        <w:tc>
          <w:tcPr>
            <w:tcW w:type="dxa" w:w="2098"/>
            <w:tcMar>
              <w:left w:w="70" w:type="dxa"/>
              <w:right w:w="70" w:type="dxa"/>
            </w:tcMar>
            <w:tcBorders/>
          </w:tcPr>
          <w:p>
            <w:pPr>
              <w:spacing w:line="264" w:lineRule="auto" w:before="60" w:after="60"/>
            </w:pPr>
            <w:r>
              <w:rPr>
                <w:rFonts w:ascii="Arial" w:hAnsi="Arial"/>
                <w:b w:val="0"/>
                <w:sz w:val="18"/>
              </w:rPr>
              <w:t>ESMI</w:t>
            </w:r>
          </w:p>
        </w:tc>
        <w:tc>
          <w:tcPr>
            <w:tcW w:type="dxa" w:w="624"/>
            <w:tcMar>
              <w:left w:w="70" w:type="dxa"/>
              <w:right w:w="70" w:type="dxa"/>
            </w:tcMar>
            <w:tcBorders/>
          </w:tcPr>
          <w:p>
            <w:pPr>
              <w:spacing w:line="264" w:lineRule="auto" w:before="60" w:after="60"/>
            </w:pPr>
            <w:r>
              <w:rPr>
                <w:rFonts w:ascii="Arial" w:hAnsi="Arial"/>
                <w:b w:val="0"/>
                <w:sz w:val="18"/>
              </w:rPr>
              <w:t>78</w:t>
            </w:r>
          </w:p>
        </w:tc>
        <w:tc>
          <w:tcPr>
            <w:tcW w:type="dxa" w:w="3118"/>
            <w:tcMar>
              <w:left w:w="70" w:type="dxa"/>
              <w:right w:w="70" w:type="dxa"/>
            </w:tcMar>
            <w:tcBorders/>
          </w:tcPr>
          <w:p>
            <w:pPr>
              <w:spacing w:line="264" w:lineRule="auto" w:before="60" w:after="60"/>
            </w:pPr>
            <w:r>
              <w:rPr>
                <w:rFonts w:ascii="Arial" w:hAnsi="Arial"/>
                <w:b w:val="0"/>
                <w:sz w:val="18"/>
              </w:rPr>
              <w:t>4.91 (−3.82 to 13.65)</w:t>
            </w:r>
          </w:p>
        </w:tc>
        <w:tc>
          <w:tcPr>
            <w:tcW w:type="dxa" w:w="850"/>
            <w:tcMar>
              <w:left w:w="70" w:type="dxa"/>
              <w:right w:w="70" w:type="dxa"/>
            </w:tcMar>
            <w:tcBorders/>
          </w:tcPr>
          <w:p>
            <w:pPr>
              <w:spacing w:line="264" w:lineRule="auto" w:before="60" w:after="60"/>
            </w:pPr>
            <w:r>
              <w:rPr>
                <w:rFonts w:ascii="Arial" w:hAnsi="Arial"/>
                <w:b w:val="0"/>
                <w:sz w:val="18"/>
              </w:rPr>
              <w:t>0.266</w:t>
            </w:r>
          </w:p>
        </w:tc>
      </w:tr>
      <w:tr>
        <w:trPr>
          <w:cantSplit/>
        </w:trPr>
        <w:tc>
          <w:tcPr>
            <w:tcW w:type="dxa" w:w="1757"/>
            <w:tcMar>
              <w:left w:w="70" w:type="dxa"/>
              <w:right w:w="70" w:type="dxa"/>
            </w:tcMar>
            <w:tcBorders/>
          </w:tcPr>
          <w:p>
            <w:pPr>
              <w:spacing w:line="264" w:lineRule="auto" w:before="60" w:after="60"/>
            </w:pPr>
            <w:r>
              <w:rPr>
                <w:rFonts w:ascii="Arial" w:hAnsi="Arial"/>
                <w:b w:val="0"/>
                <w:sz w:val="18"/>
              </w:rPr>
              <w:t>Baseline FVC</w:t>
            </w:r>
          </w:p>
        </w:tc>
        <w:tc>
          <w:tcPr>
            <w:tcW w:type="dxa" w:w="2098"/>
            <w:tcMar>
              <w:left w:w="70" w:type="dxa"/>
              <w:right w:w="70" w:type="dxa"/>
            </w:tcMar>
            <w:tcBorders/>
          </w:tcPr>
          <w:p>
            <w:pPr>
              <w:spacing w:line="264" w:lineRule="auto" w:before="60" w:after="60"/>
            </w:pPr>
            <w:r>
              <w:rPr>
                <w:rFonts w:ascii="Arial" w:hAnsi="Arial"/>
                <w:b w:val="0"/>
                <w:sz w:val="18"/>
              </w:rPr>
              <w:t>Myosteatosis Index</w:t>
            </w:r>
          </w:p>
        </w:tc>
        <w:tc>
          <w:tcPr>
            <w:tcW w:type="dxa" w:w="624"/>
            <w:tcMar>
              <w:left w:w="70" w:type="dxa"/>
              <w:right w:w="70" w:type="dxa"/>
            </w:tcMar>
            <w:tcBorders/>
          </w:tcPr>
          <w:p>
            <w:pPr>
              <w:spacing w:line="264" w:lineRule="auto" w:before="60" w:after="60"/>
            </w:pPr>
            <w:r>
              <w:rPr>
                <w:rFonts w:ascii="Arial" w:hAnsi="Arial"/>
                <w:b w:val="0"/>
                <w:sz w:val="18"/>
              </w:rPr>
              <w:t>80</w:t>
            </w:r>
          </w:p>
        </w:tc>
        <w:tc>
          <w:tcPr>
            <w:tcW w:type="dxa" w:w="3118"/>
            <w:tcMar>
              <w:left w:w="70" w:type="dxa"/>
              <w:right w:w="70" w:type="dxa"/>
            </w:tcMar>
            <w:tcBorders/>
          </w:tcPr>
          <w:p>
            <w:pPr>
              <w:spacing w:line="264" w:lineRule="auto" w:before="60" w:after="60"/>
            </w:pPr>
            <w:r>
              <w:rPr>
                <w:rFonts w:ascii="Arial" w:hAnsi="Arial"/>
                <w:b w:val="0"/>
                <w:sz w:val="18"/>
              </w:rPr>
              <w:t>0.02 (−3.31 to 3.36)</w:t>
            </w:r>
          </w:p>
        </w:tc>
        <w:tc>
          <w:tcPr>
            <w:tcW w:type="dxa" w:w="850"/>
            <w:tcMar>
              <w:left w:w="70" w:type="dxa"/>
              <w:right w:w="70" w:type="dxa"/>
            </w:tcMar>
            <w:tcBorders/>
          </w:tcPr>
          <w:p>
            <w:pPr>
              <w:spacing w:line="264" w:lineRule="auto" w:before="60" w:after="60"/>
            </w:pPr>
            <w:r>
              <w:rPr>
                <w:rFonts w:ascii="Arial" w:hAnsi="Arial"/>
                <w:b w:val="0"/>
                <w:sz w:val="18"/>
              </w:rPr>
              <w:t>0.988</w:t>
            </w:r>
          </w:p>
        </w:tc>
      </w:tr>
      <w:tr>
        <w:trPr>
          <w:cantSplit/>
        </w:trPr>
        <w:tc>
          <w:tcPr>
            <w:tcW w:type="dxa" w:w="1757"/>
            <w:tcMar>
              <w:left w:w="70" w:type="dxa"/>
              <w:right w:w="70" w:type="dxa"/>
            </w:tcMar>
            <w:tcBorders/>
          </w:tcPr>
          <w:p>
            <w:pPr>
              <w:spacing w:line="264" w:lineRule="auto" w:before="60" w:after="60"/>
            </w:pPr>
            <w:r>
              <w:rPr>
                <w:rFonts w:ascii="Arial" w:hAnsi="Arial"/>
                <w:b w:val="0"/>
                <w:sz w:val="18"/>
              </w:rPr>
              <w:t>Baseline FVC</w:t>
            </w:r>
          </w:p>
        </w:tc>
        <w:tc>
          <w:tcPr>
            <w:tcW w:type="dxa" w:w="2098"/>
            <w:tcMar>
              <w:left w:w="70" w:type="dxa"/>
              <w:right w:w="70" w:type="dxa"/>
            </w:tcMar>
            <w:tcBorders/>
          </w:tcPr>
          <w:p>
            <w:pPr>
              <w:spacing w:line="264" w:lineRule="auto" w:before="60" w:after="60"/>
            </w:pPr>
            <w:r>
              <w:rPr>
                <w:rFonts w:ascii="Arial" w:hAnsi="Arial"/>
                <w:b w:val="0"/>
                <w:sz w:val="18"/>
              </w:rPr>
              <w:t>ESMI</w:t>
            </w:r>
          </w:p>
        </w:tc>
        <w:tc>
          <w:tcPr>
            <w:tcW w:type="dxa" w:w="624"/>
            <w:tcMar>
              <w:left w:w="70" w:type="dxa"/>
              <w:right w:w="70" w:type="dxa"/>
            </w:tcMar>
            <w:tcBorders/>
          </w:tcPr>
          <w:p>
            <w:pPr>
              <w:spacing w:line="264" w:lineRule="auto" w:before="60" w:after="60"/>
            </w:pPr>
            <w:r>
              <w:rPr>
                <w:rFonts w:ascii="Arial" w:hAnsi="Arial"/>
                <w:b w:val="0"/>
                <w:sz w:val="18"/>
              </w:rPr>
              <w:t>80</w:t>
            </w:r>
          </w:p>
        </w:tc>
        <w:tc>
          <w:tcPr>
            <w:tcW w:type="dxa" w:w="3118"/>
            <w:tcMar>
              <w:left w:w="70" w:type="dxa"/>
              <w:right w:w="70" w:type="dxa"/>
            </w:tcMar>
            <w:tcBorders/>
          </w:tcPr>
          <w:p>
            <w:pPr>
              <w:spacing w:line="264" w:lineRule="auto" w:before="60" w:after="60"/>
            </w:pPr>
            <w:r>
              <w:rPr>
                <w:rFonts w:ascii="Arial" w:hAnsi="Arial"/>
                <w:b w:val="0"/>
                <w:sz w:val="18"/>
              </w:rPr>
              <w:t>1.83 (−2.49 to 6.16)</w:t>
            </w:r>
          </w:p>
        </w:tc>
        <w:tc>
          <w:tcPr>
            <w:tcW w:type="dxa" w:w="850"/>
            <w:tcMar>
              <w:left w:w="70" w:type="dxa"/>
              <w:right w:w="70" w:type="dxa"/>
            </w:tcMar>
            <w:tcBorders/>
          </w:tcPr>
          <w:p>
            <w:pPr>
              <w:spacing w:line="264" w:lineRule="auto" w:before="60" w:after="60"/>
            </w:pPr>
            <w:r>
              <w:rPr>
                <w:rFonts w:ascii="Arial" w:hAnsi="Arial"/>
                <w:b w:val="0"/>
                <w:sz w:val="18"/>
              </w:rPr>
              <w:t>0.401</w:t>
            </w:r>
          </w:p>
        </w:tc>
      </w:tr>
      <w:tr>
        <w:trPr>
          <w:cantSplit/>
        </w:trPr>
        <w:tc>
          <w:tcPr>
            <w:tcW w:type="dxa" w:w="1757"/>
            <w:tcMar>
              <w:left w:w="70" w:type="dxa"/>
              <w:right w:w="70" w:type="dxa"/>
            </w:tcMar>
            <w:tcBorders/>
          </w:tcPr>
          <w:p>
            <w:pPr>
              <w:spacing w:line="264" w:lineRule="auto" w:before="60" w:after="60"/>
            </w:pPr>
            <w:r>
              <w:rPr>
                <w:rFonts w:ascii="Arial" w:hAnsi="Arial"/>
                <w:b w:val="0"/>
                <w:sz w:val="18"/>
              </w:rPr>
              <w:t>Follow-up FVC</w:t>
            </w:r>
          </w:p>
        </w:tc>
        <w:tc>
          <w:tcPr>
            <w:tcW w:type="dxa" w:w="2098"/>
            <w:tcMar>
              <w:left w:w="70" w:type="dxa"/>
              <w:right w:w="70" w:type="dxa"/>
            </w:tcMar>
            <w:tcBorders/>
          </w:tcPr>
          <w:p>
            <w:pPr>
              <w:spacing w:line="264" w:lineRule="auto" w:before="60" w:after="60"/>
            </w:pPr>
            <w:r>
              <w:rPr>
                <w:rFonts w:ascii="Arial" w:hAnsi="Arial"/>
                <w:b w:val="0"/>
                <w:sz w:val="18"/>
              </w:rPr>
              <w:t>Myosteatosis Index</w:t>
            </w:r>
          </w:p>
        </w:tc>
        <w:tc>
          <w:tcPr>
            <w:tcW w:type="dxa" w:w="624"/>
            <w:tcMar>
              <w:left w:w="70" w:type="dxa"/>
              <w:right w:w="70" w:type="dxa"/>
            </w:tcMar>
            <w:tcBorders/>
          </w:tcPr>
          <w:p>
            <w:pPr>
              <w:spacing w:line="264" w:lineRule="auto" w:before="60" w:after="60"/>
            </w:pPr>
            <w:r>
              <w:rPr>
                <w:rFonts w:ascii="Arial" w:hAnsi="Arial"/>
                <w:b w:val="0"/>
                <w:sz w:val="18"/>
              </w:rPr>
              <w:t>80</w:t>
            </w:r>
          </w:p>
        </w:tc>
        <w:tc>
          <w:tcPr>
            <w:tcW w:type="dxa" w:w="3118"/>
            <w:tcMar>
              <w:left w:w="70" w:type="dxa"/>
              <w:right w:w="70" w:type="dxa"/>
            </w:tcMar>
            <w:tcBorders/>
          </w:tcPr>
          <w:p>
            <w:pPr>
              <w:spacing w:line="264" w:lineRule="auto" w:before="60" w:after="60"/>
            </w:pPr>
            <w:r>
              <w:rPr>
                <w:rFonts w:ascii="Arial" w:hAnsi="Arial"/>
                <w:b w:val="0"/>
                <w:sz w:val="18"/>
              </w:rPr>
              <w:t>−0.47 (−2.33 to 1.40)</w:t>
            </w:r>
          </w:p>
        </w:tc>
        <w:tc>
          <w:tcPr>
            <w:tcW w:type="dxa" w:w="850"/>
            <w:tcMar>
              <w:left w:w="70" w:type="dxa"/>
              <w:right w:w="70" w:type="dxa"/>
            </w:tcMar>
            <w:tcBorders/>
          </w:tcPr>
          <w:p>
            <w:pPr>
              <w:spacing w:line="264" w:lineRule="auto" w:before="60" w:after="60"/>
            </w:pPr>
            <w:r>
              <w:rPr>
                <w:rFonts w:ascii="Arial" w:hAnsi="Arial"/>
                <w:b w:val="0"/>
                <w:sz w:val="18"/>
              </w:rPr>
              <w:t>0.620</w:t>
            </w:r>
          </w:p>
        </w:tc>
      </w:tr>
      <w:tr>
        <w:trPr>
          <w:cantSplit/>
        </w:trPr>
        <w:tc>
          <w:tcPr>
            <w:tcW w:type="dxa" w:w="1757"/>
            <w:tcMar>
              <w:left w:w="70" w:type="dxa"/>
              <w:right w:w="70" w:type="dxa"/>
            </w:tcMar>
            <w:tcBorders/>
          </w:tcPr>
          <w:p>
            <w:pPr>
              <w:spacing w:line="264" w:lineRule="auto" w:before="60" w:after="60"/>
            </w:pPr>
            <w:r>
              <w:rPr>
                <w:rFonts w:ascii="Arial" w:hAnsi="Arial"/>
                <w:b w:val="0"/>
                <w:sz w:val="18"/>
              </w:rPr>
              <w:t>Follow-up FVC</w:t>
            </w:r>
          </w:p>
        </w:tc>
        <w:tc>
          <w:tcPr>
            <w:tcW w:type="dxa" w:w="2098"/>
            <w:tcMar>
              <w:left w:w="70" w:type="dxa"/>
              <w:right w:w="70" w:type="dxa"/>
            </w:tcMar>
            <w:tcBorders/>
          </w:tcPr>
          <w:p>
            <w:pPr>
              <w:spacing w:line="264" w:lineRule="auto" w:before="60" w:after="60"/>
            </w:pPr>
            <w:r>
              <w:rPr>
                <w:rFonts w:ascii="Arial" w:hAnsi="Arial"/>
                <w:b w:val="0"/>
                <w:sz w:val="18"/>
              </w:rPr>
              <w:t>ESMI</w:t>
            </w:r>
          </w:p>
        </w:tc>
        <w:tc>
          <w:tcPr>
            <w:tcW w:type="dxa" w:w="624"/>
            <w:tcMar>
              <w:left w:w="70" w:type="dxa"/>
              <w:right w:w="70" w:type="dxa"/>
            </w:tcMar>
            <w:tcBorders/>
          </w:tcPr>
          <w:p>
            <w:pPr>
              <w:spacing w:line="264" w:lineRule="auto" w:before="60" w:after="60"/>
            </w:pPr>
            <w:r>
              <w:rPr>
                <w:rFonts w:ascii="Arial" w:hAnsi="Arial"/>
                <w:b w:val="0"/>
                <w:sz w:val="18"/>
              </w:rPr>
              <w:t>80</w:t>
            </w:r>
          </w:p>
        </w:tc>
        <w:tc>
          <w:tcPr>
            <w:tcW w:type="dxa" w:w="3118"/>
            <w:tcMar>
              <w:left w:w="70" w:type="dxa"/>
              <w:right w:w="70" w:type="dxa"/>
            </w:tcMar>
            <w:tcBorders/>
          </w:tcPr>
          <w:p>
            <w:pPr>
              <w:spacing w:line="264" w:lineRule="auto" w:before="60" w:after="60"/>
            </w:pPr>
            <w:r>
              <w:rPr>
                <w:rFonts w:ascii="Arial" w:hAnsi="Arial"/>
                <w:b w:val="0"/>
                <w:sz w:val="18"/>
              </w:rPr>
              <w:t>−0.52 (−2.16 to 1.11)</w:t>
            </w:r>
          </w:p>
        </w:tc>
        <w:tc>
          <w:tcPr>
            <w:tcW w:type="dxa" w:w="850"/>
            <w:tcMar>
              <w:left w:w="70" w:type="dxa"/>
              <w:right w:w="70" w:type="dxa"/>
            </w:tcMar>
            <w:tcBorders/>
          </w:tcPr>
          <w:p>
            <w:pPr>
              <w:spacing w:line="264" w:lineRule="auto" w:before="60" w:after="60"/>
            </w:pPr>
            <w:r>
              <w:rPr>
                <w:rFonts w:ascii="Arial" w:hAnsi="Arial"/>
                <w:b w:val="0"/>
                <w:sz w:val="18"/>
              </w:rPr>
              <w:t>0.525</w:t>
            </w:r>
          </w:p>
        </w:tc>
      </w:tr>
      <w:tr>
        <w:trPr>
          <w:cantSplit/>
        </w:trPr>
        <w:tc>
          <w:tcPr>
            <w:tcW w:type="dxa" w:w="1757"/>
            <w:tcMar>
              <w:left w:w="70" w:type="dxa"/>
              <w:right w:w="70" w:type="dxa"/>
            </w:tcMar>
            <w:tcBorders/>
          </w:tcPr>
          <w:p>
            <w:pPr>
              <w:spacing w:line="264" w:lineRule="auto" w:before="60" w:after="60"/>
            </w:pPr>
            <w:r>
              <w:rPr>
                <w:rFonts w:ascii="Arial" w:hAnsi="Arial"/>
                <w:b w:val="0"/>
                <w:sz w:val="18"/>
              </w:rPr>
              <w:t>Follow-up DLCO</w:t>
            </w:r>
          </w:p>
        </w:tc>
        <w:tc>
          <w:tcPr>
            <w:tcW w:type="dxa" w:w="2098"/>
            <w:tcMar>
              <w:left w:w="70" w:type="dxa"/>
              <w:right w:w="70" w:type="dxa"/>
            </w:tcMar>
            <w:tcBorders/>
          </w:tcPr>
          <w:p>
            <w:pPr>
              <w:spacing w:line="264" w:lineRule="auto" w:before="60" w:after="60"/>
            </w:pPr>
            <w:r>
              <w:rPr>
                <w:rFonts w:ascii="Arial" w:hAnsi="Arial"/>
                <w:b w:val="0"/>
                <w:sz w:val="18"/>
              </w:rPr>
              <w:t>Myosteatosis Index</w:t>
            </w:r>
          </w:p>
        </w:tc>
        <w:tc>
          <w:tcPr>
            <w:tcW w:type="dxa" w:w="624"/>
            <w:tcMar>
              <w:left w:w="70" w:type="dxa"/>
              <w:right w:w="70" w:type="dxa"/>
            </w:tcMar>
            <w:tcBorders/>
          </w:tcPr>
          <w:p>
            <w:pPr>
              <w:spacing w:line="264" w:lineRule="auto" w:before="60" w:after="60"/>
            </w:pPr>
            <w:r>
              <w:rPr>
                <w:rFonts w:ascii="Arial" w:hAnsi="Arial"/>
                <w:b w:val="0"/>
                <w:sz w:val="18"/>
              </w:rPr>
              <w:t>78</w:t>
            </w:r>
          </w:p>
        </w:tc>
        <w:tc>
          <w:tcPr>
            <w:tcW w:type="dxa" w:w="3118"/>
            <w:tcMar>
              <w:left w:w="70" w:type="dxa"/>
              <w:right w:w="70" w:type="dxa"/>
            </w:tcMar>
            <w:tcBorders/>
          </w:tcPr>
          <w:p>
            <w:pPr>
              <w:spacing w:line="264" w:lineRule="auto" w:before="60" w:after="60"/>
            </w:pPr>
            <w:r>
              <w:rPr>
                <w:rFonts w:ascii="Arial" w:hAnsi="Arial"/>
                <w:b w:val="0"/>
                <w:sz w:val="18"/>
              </w:rPr>
              <w:t>0.01 (−1.37 to 1.39)</w:t>
            </w:r>
          </w:p>
        </w:tc>
        <w:tc>
          <w:tcPr>
            <w:tcW w:type="dxa" w:w="850"/>
            <w:tcMar>
              <w:left w:w="70" w:type="dxa"/>
              <w:right w:w="70" w:type="dxa"/>
            </w:tcMar>
            <w:tcBorders/>
          </w:tcPr>
          <w:p>
            <w:pPr>
              <w:spacing w:line="264" w:lineRule="auto" w:before="60" w:after="60"/>
            </w:pPr>
            <w:r>
              <w:rPr>
                <w:rFonts w:ascii="Arial" w:hAnsi="Arial"/>
                <w:b w:val="0"/>
                <w:sz w:val="18"/>
              </w:rPr>
              <w:t>0.992</w:t>
            </w:r>
          </w:p>
        </w:tc>
      </w:tr>
      <w:tr>
        <w:trPr>
          <w:cantSplit/>
        </w:trPr>
        <w:tc>
          <w:tcPr>
            <w:tcW w:type="dxa" w:w="1757"/>
            <w:tcMar>
              <w:left w:w="70" w:type="dxa"/>
              <w:right w:w="70" w:type="dxa"/>
            </w:tcMar>
            <w:tcBorders>
              <w:bottom w:val="single" w:sz="6" w:color="000000"/>
            </w:tcBorders>
          </w:tcPr>
          <w:p>
            <w:pPr>
              <w:spacing w:line="264" w:lineRule="auto" w:before="60" w:after="60"/>
            </w:pPr>
            <w:r>
              <w:rPr>
                <w:rFonts w:ascii="Arial" w:hAnsi="Arial"/>
                <w:b w:val="0"/>
                <w:sz w:val="18"/>
              </w:rPr>
              <w:t>Follow-up DLCO</w:t>
            </w:r>
          </w:p>
        </w:tc>
        <w:tc>
          <w:tcPr>
            <w:tcW w:type="dxa" w:w="2098"/>
            <w:tcMar>
              <w:left w:w="70" w:type="dxa"/>
              <w:right w:w="70" w:type="dxa"/>
            </w:tcMar>
            <w:tcBorders>
              <w:bottom w:val="single" w:sz="6" w:color="000000"/>
            </w:tcBorders>
          </w:tcPr>
          <w:p>
            <w:pPr>
              <w:spacing w:line="264" w:lineRule="auto" w:before="60" w:after="60"/>
            </w:pPr>
            <w:r>
              <w:rPr>
                <w:rFonts w:ascii="Arial" w:hAnsi="Arial"/>
                <w:b w:val="0"/>
                <w:sz w:val="18"/>
              </w:rPr>
              <w:t>ESMI</w:t>
            </w:r>
          </w:p>
        </w:tc>
        <w:tc>
          <w:tcPr>
            <w:tcW w:type="dxa" w:w="624"/>
            <w:tcMar>
              <w:left w:w="70" w:type="dxa"/>
              <w:right w:w="70" w:type="dxa"/>
            </w:tcMar>
            <w:tcBorders>
              <w:bottom w:val="single" w:sz="6" w:color="000000"/>
            </w:tcBorders>
          </w:tcPr>
          <w:p>
            <w:pPr>
              <w:spacing w:line="264" w:lineRule="auto" w:before="60" w:after="60"/>
            </w:pPr>
            <w:r>
              <w:rPr>
                <w:rFonts w:ascii="Arial" w:hAnsi="Arial"/>
                <w:b w:val="0"/>
                <w:sz w:val="18"/>
              </w:rPr>
              <w:t>78</w:t>
            </w:r>
          </w:p>
        </w:tc>
        <w:tc>
          <w:tcPr>
            <w:tcW w:type="dxa" w:w="3118"/>
            <w:tcMar>
              <w:left w:w="70" w:type="dxa"/>
              <w:right w:w="70" w:type="dxa"/>
            </w:tcMar>
            <w:tcBorders>
              <w:bottom w:val="single" w:sz="6" w:color="000000"/>
            </w:tcBorders>
          </w:tcPr>
          <w:p>
            <w:pPr>
              <w:spacing w:line="264" w:lineRule="auto" w:before="60" w:after="60"/>
            </w:pPr>
            <w:r>
              <w:rPr>
                <w:rFonts w:ascii="Arial" w:hAnsi="Arial"/>
                <w:b w:val="0"/>
                <w:sz w:val="18"/>
              </w:rPr>
              <w:t>−0.58 (−2.08 to 0.93)</w:t>
            </w:r>
          </w:p>
        </w:tc>
        <w:tc>
          <w:tcPr>
            <w:tcW w:type="dxa" w:w="850"/>
            <w:tcMar>
              <w:left w:w="70" w:type="dxa"/>
              <w:right w:w="70" w:type="dxa"/>
            </w:tcMar>
            <w:tcBorders>
              <w:bottom w:val="single" w:sz="6" w:color="000000"/>
            </w:tcBorders>
          </w:tcPr>
          <w:p>
            <w:pPr>
              <w:spacing w:line="264" w:lineRule="auto" w:before="60" w:after="60"/>
            </w:pPr>
            <w:r>
              <w:rPr>
                <w:rFonts w:ascii="Arial" w:hAnsi="Arial"/>
                <w:b w:val="0"/>
                <w:sz w:val="18"/>
              </w:rPr>
              <w:t>0.446</w:t>
            </w:r>
          </w:p>
        </w:tc>
      </w:tr>
    </w:tbl>
    <w:p>
      <w:pPr>
        <w:pStyle w:val="Caption"/>
        <w:widowControl/>
      </w:pPr>
      <w:r>
        <w:t>Outcome differences are percentage points. Myosteatosis Index SD: 2.631856 for DLCO analyses and 2.663323 for FVC analyses. ESMI SD: 0.056950 L/m² for DLCO and 0.056870 L/m² for FVC. Follow-up estimates condition on the corresponding baseline outcome and are not annualised changes. The baseline Myosteatosis Index–DLCO row reproduces the primary analysis; it is shown for completeness, not as an additional independent finding.</w:t>
      </w:r>
    </w:p>
    <w:p>
      <w:pPr>
        <w:pStyle w:val="Heading2"/>
      </w:pPr>
      <w:r>
        <w:t>S11. Reproducibility</w:t>
      </w:r>
    </w:p>
    <w:p>
      <w:pPr>
        <w:spacing w:line="269" w:lineRule="auto"/>
      </w:pPr>
      <w:r>
        <w:t>Additional file 2 provides executable code, dependency versions, instructions and aggregate reference outputs. The original primary, ESMI and sensitivity analyses were retained; additional functions implement the coauthor-requested comparisons. HC3 coefficients and intervals were independently checked against statsmodels. Bootstrap intervals use the fixed seeds specified in S3 and S9. Participant-level data are not included.</w:t>
      </w:r>
    </w:p>
    <w:p>
      <w:pPr>
        <w:pStyle w:val="Heading2"/>
      </w:pPr>
      <w:r>
        <w:t>Supplementary references</w:t>
      </w:r>
    </w:p>
    <w:p>
      <w:pPr>
        <w:keepLines/>
        <w:spacing w:line="269" w:lineRule="auto"/>
      </w:pPr>
      <w:r>
        <w:rPr>
          <w:sz w:val="21"/>
        </w:rPr>
        <w:t>S1. Pu L, Ashraf SF, Gezer NS, et al. Estimating 3-D whole-body composition from a chest CT scan. Med Phys. 2022;49:7108–7117. doi:10.1002/mp.15821.</w:t>
      </w:r>
    </w:p>
    <w:p>
      <w:pPr>
        <w:keepLines/>
        <w:spacing w:line="269" w:lineRule="auto"/>
      </w:pPr>
      <w:r>
        <w:rPr>
          <w:sz w:val="21"/>
        </w:rPr>
        <w:t>S2. Pu J, Leader JK, Bandos A, Ke S, Wang J, Shi J, et al. Automated quantification of COVID-19 severity and progression using chest CT images. Eur Radiol. 2021;31:436–446. doi:10.1007/s00330-020-07156-2.</w:t>
      </w:r>
    </w:p>
    <w:p>
      <w:pPr>
        <w:keepLines/>
        <w:spacing w:line="269" w:lineRule="auto"/>
      </w:pPr>
      <w:r>
        <w:rPr>
          <w:sz w:val="21"/>
        </w:rPr>
        <w:t>S3. Pu J, Leader J, Bandos A, Shi J, Du P, Yu J, et al. Any unique image biomarkers associated with COVID-19? Eur Radiol. 2020;30:6221–6227. doi:10.1007/s00330-020-06956-w.</w:t>
      </w:r>
    </w:p>
    <w:sectPr w:rsidR="00FC693F" w:rsidRPr="0006063C" w:rsidSect="00034616">
      <w:headerReference w:type="default" r:id="rId9"/>
      <w:footerReference w:type="default" r:id="rId10"/>
      <w:pgSz w:w="11906" w:h="16838"/>
      <w:pgMar w:top="1247" w:right="1191" w:bottom="1247" w:left="147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suppressLineNumbers/>
    </w:p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line="240" w:lineRule="auto" w:after="0"/>
      <w:suppressLineNumbers/>
    </w:pPr>
    <w:r>
      <w:rPr>
        <w:sz w:val="16"/>
      </w:rPr>
      <w:t>Begiç et al. | Muscle composition and gas transfer in IPF</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288"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40" w:after="120" w:line="288" w:lineRule="auto"/>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40" w:after="120" w:line="288" w:lineRule="auto"/>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88" w:lineRule="auto" w:before="240"/>
      <w:contextualSpacing/>
    </w:pPr>
    <w:rPr>
      <w:rFonts w:asciiTheme="majorHAnsi" w:eastAsiaTheme="majorEastAsia" w:hAnsiTheme="majorHAnsi" w:cstheme="majorBidi" w:ascii="Arial" w:hAnsi="Arial"/>
      <w:b/>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69" w:lineRule="auto"/>
    </w:pPr>
    <w:rPr>
      <w:rFonts w:ascii="Arial" w:hAnsi="Arial"/>
      <w:color w:val="000000"/>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88" w:lineRule="auto"/>
    </w:pPr>
    <w:rPr>
      <w:rFonts w:ascii="Arial" w:hAnsi="Arial"/>
      <w:b w:val="0"/>
      <w:bCs/>
      <w:i w:val="0"/>
      <w:color w:val="000000"/>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Muscle Composition and Gas-Transfer Impairment in Idiopathic Pulmonary Fibrosis: A CT-Based Study</dc:title>
  <dc:subject>BMC Pulmonary Medicine research article</dc:subject>
  <dc:creator>Erencan Begiç</dc:creator>
  <cp:keywords>IPF; myosteatosis; DLCO; body composition</cp:keywords>
  <dc:description/>
  <cp:lastModifiedBy/>
  <cp:revision>1</cp:revision>
  <dcterms:created xsi:type="dcterms:W3CDTF">2013-12-23T23:15:00Z</dcterms:created>
  <dcterms:modified xsi:type="dcterms:W3CDTF">2013-12-23T23:15:00Z</dcterms:modified>
  <cp:category/>
</cp:coreProperties>
</file>