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45A8A"/>
          <w:sz w:val="32"/>
        </w:rPr>
        <w:t>Supplementary materials</w:t>
      </w:r>
    </w:p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/>
          <w:sz w:val="20"/>
        </w:rPr>
        <w:t>McCaulley M.E. Panel-gene transcriptomic associations and published-variant architecture in Parkinson disease. Supplement to the main text. 15 September 2026.</w:t>
      </w:r>
    </w:p>
    <w:p>
      <w:pPr>
        <w:pStyle w:val="Heading2"/>
        <w:spacing w:before="280" w:after="120"/>
      </w:pPr>
      <w:r>
        <w:rPr>
          <w:rFonts w:ascii="Cambria" w:hAnsi="Cambria" w:eastAsia="Cambria"/>
          <w:b/>
          <w:i w:val="0"/>
          <w:color w:val="345A8A"/>
          <w:sz w:val="28"/>
        </w:rPr>
        <w:t>Table S1. Locked and supporting GEO series</w:t>
      </w:r>
    </w:p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 w:val="0"/>
          <w:sz w:val="22"/>
        </w:rPr>
        <w:t>See main-text Table 1. Primary inference is restricted to GSE49036, GSE20141, GSE8397, and GSE7621. GSE68719 and GSE168496 are supporting RNA-seq contrasts. Author-processed per-gene effects and the high-confidence flag live in the series deposit https://doi.org/10.5281/zenodo.22846772. This supplement does not re-derive those statistics.</w:t>
      </w:r>
    </w:p>
    <w:p>
      <w:pPr>
        <w:pStyle w:val="Heading2"/>
        <w:spacing w:before="280" w:after="120"/>
      </w:pPr>
      <w:r>
        <w:rPr>
          <w:rFonts w:ascii="Cambria" w:hAnsi="Cambria" w:eastAsia="Cambria"/>
          <w:b/>
          <w:i w:val="0"/>
          <w:color w:val="345A8A"/>
          <w:sz w:val="28"/>
        </w:rPr>
        <w:t>Table S2. High-confidence genes named with point estimates in the main text</w:t>
      </w:r>
    </w:p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 w:val="0"/>
          <w:sz w:val="22"/>
        </w:rPr>
        <w:t>The complete 56-gene high-confidence list and the 91-gene FDR list are the deposited per-gene table. The rows below are every high-confidence gene for which the main text reports a pooled log2 fold-change. They are provided so this packet is readable if the Zenodo file is temporarily unavailable. They are not a substitute for the full 56-row file.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Gene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Hub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Pooled log2FC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Direction in PD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ALDH1A1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−1.66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MAFF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+1.39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SLCO4A1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+1.39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CP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+0.98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GCH1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−0.96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AKR1C3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+0.95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MT1G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+0.86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MT1F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+0.85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TXNIP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+0.81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DNAJB1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+0.78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MT1X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+0.74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ADH1B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+0.73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STS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−0.68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GPX3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−0.66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HMOX1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+0.66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GSS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−0.62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NDUFS1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−0.62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TF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+0.57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SLC2A6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−0.52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SLC40A1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+0.52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FOXO1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+0.50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NFE2L2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+0.50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PPARA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+0.50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TJP2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+0.49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GSTA4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−0.46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NOTCH1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+0.44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SLCO1A2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+0.44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FOXO3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+0.41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RELA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+0.41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COMT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+0.40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Higher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PINK1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−0.39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DDX41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−0.36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ZNF580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−0.33</w:t>
            </w:r>
          </w:p>
        </w:tc>
        <w:tc>
          <w:tcPr>
            <w:tcW w:type="dxa" w:w="2016"/>
            <w:shd w:val="clear" w:color="auto" w:fill="FFFFFF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ATP7A</w:t>
            </w:r>
          </w:p>
        </w:tc>
        <w:tc>
          <w:tcPr>
            <w:tcW w:type="dxa" w:w="1152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−0.23</w:t>
            </w:r>
          </w:p>
        </w:tc>
        <w:tc>
          <w:tcPr>
            <w:tcW w:type="dxa" w:w="2016"/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sz w:val="18"/>
              </w:rPr>
              <w:t>Lower</w:t>
            </w:r>
          </w:p>
        </w:tc>
      </w:tr>
    </w:tbl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/>
          <w:sz w:val="18"/>
        </w:rPr>
        <w:t>Hub counts in main-text Table 2 (15 / 9 / 7 / 13 / 12 = 56) include high-confidence genes not individually named above. Retrieve the full 56-row and 91-row tables from Zenodo.</w:t>
      </w:r>
    </w:p>
    <w:p>
      <w:pPr>
        <w:pStyle w:val="Heading2"/>
        <w:spacing w:before="280" w:after="120"/>
      </w:pPr>
      <w:r>
        <w:rPr>
          <w:rFonts w:ascii="Cambria" w:hAnsi="Cambria" w:eastAsia="Cambria"/>
          <w:b/>
          <w:i w:val="0"/>
          <w:color w:val="345A8A"/>
          <w:sz w:val="28"/>
        </w:rPr>
        <w:t>Note S3. GVI, DDI, and IDRS (uncalibrated; not used for inference)</w:t>
      </w:r>
    </w:p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 w:val="0"/>
          <w:sz w:val="22"/>
        </w:rPr>
        <w:t>These formulae are research constructs. They did not determine panel membership, the high-confidence rule, or any p value in the main text. They have not been calibrated against diagnosis, progression, or treatment response. They are not a patient-level score.</w:t>
      </w:r>
    </w:p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 w:val="0"/>
          <w:sz w:val="22"/>
        </w:rPr>
        <w:t>DDI (descriptive, per dataset or per meta-analyzable set) = 100 × (number of panel genes with BH FDR &lt; 0.05 and |log2FC| ≥ 0.5) / (468 or the number of measurable panel genes, as labelled; the locked definition in the methods-and-panel manuscript uses the measurable-gene denominator). In GSE68719 that descriptive fraction was 4.3% of the panel and 5.0% of measurable genes. In standalone GSE7621 it was 0. Applied to the four-cohort meta-analyzable set (419 genes) under the same |log2FC| threshold it was previously illustrated as 6.7%. Those percentages are descriptive counts, not an enrichment test. The list-level permutation of the locked 468-gene list is negative in the methods-and-panel manuscript and is not reversed here.</w:t>
      </w:r>
    </w:p>
    <w:p>
      <w:pPr>
        <w:pStyle w:val="BodyText"/>
        <w:spacing w:after="160" w:before="0" w:line="240" w:lineRule="auto"/>
      </w:pPr>
      <w:r>
        <w:rPr>
          <w:rFonts w:ascii="Cambria" w:hAnsi="Cambria" w:eastAsia="Cambria"/>
          <w:b w:val="0"/>
          <w:i w:val="0"/>
          <w:sz w:val="22"/>
        </w:rPr>
        <w:t xml:space="preserve">GVI (proposed) = sum of ln(OR_i) over deleterious published variants an individual is imagined to carry; protective OR &lt; 1 contributes a negative term. IDRS (proposed) = GVI + DDI/10. No worked numerical example is given. The constants have not been fit to any outcome, and no IDRS value is reported for any sample or individual.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