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200"/>
      </w:pPr>
      <w:r>
        <w:rPr>
          <w:b/>
          <w:sz w:val="24"/>
        </w:rPr>
        <w:t>Table 1 Baseline Characteristics of the Patients</w:t>
      </w:r>
    </w:p>
    <w:tbl>
      <w:tblPr>
        <w:tblStyle w:val="11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4"/>
        <w:gridCol w:w="5904"/>
      </w:tblGrid>
      <w:tr w14:paraId="25156E5F">
        <w:trPr>
          <w:cantSplit/>
          <w:tblHeader/>
        </w:trPr>
        <w:tc>
          <w:tcPr>
            <w:tcW w:w="5904" w:type="dxa"/>
            <w:tcBorders>
              <w:bottom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EEEEEE"/>
          </w:tcPr>
          <w:p w14:paraId="061A851C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t>Characteristic</w:t>
            </w:r>
          </w:p>
        </w:tc>
        <w:tc>
          <w:tcPr>
            <w:tcW w:w="5904" w:type="dxa"/>
            <w:tcBorders>
              <w:bottom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EEEEEE"/>
          </w:tcPr>
          <w:p w14:paraId="5800D41E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t>Value</w:t>
            </w:r>
          </w:p>
        </w:tc>
      </w:tr>
      <w:tr w14:paraId="13C8FF78">
        <w:trPr>
          <w:cantSplit/>
        </w:trPr>
        <w:tc>
          <w:tcPr>
            <w:tcW w:w="5904" w:type="dxa"/>
            <w:tcBorders>
              <w:top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58AD3D0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t>Age, years</w:t>
            </w:r>
          </w:p>
        </w:tc>
        <w:tc>
          <w:tcPr>
            <w:tcW w:w="5904" w:type="dxa"/>
            <w:tcBorders>
              <w:top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E95E195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t>17 (13–25)</w:t>
            </w:r>
          </w:p>
        </w:tc>
      </w:tr>
      <w:tr w14:paraId="62B6AFEF">
        <w:trPr>
          <w:cantSplit/>
        </w:trPr>
        <w:tc>
          <w:tcPr>
            <w:tcW w:w="5904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51C84C45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t>Sex</w:t>
            </w:r>
          </w:p>
        </w:tc>
        <w:tc>
          <w:tcPr>
            <w:tcW w:w="5904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1EEFB335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t>Female: 33 (78.57%)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t>Male: 9 (21.43%)</w:t>
            </w:r>
          </w:p>
        </w:tc>
      </w:tr>
      <w:tr w14:paraId="51E4A14B">
        <w:trPr>
          <w:cantSplit/>
        </w:trPr>
        <w:tc>
          <w:tcPr>
            <w:tcW w:w="5904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BEA83C8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t>Follow-up, months</w:t>
            </w:r>
          </w:p>
        </w:tc>
        <w:tc>
          <w:tcPr>
            <w:tcW w:w="5904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B4ADB73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t>9 (6, 12)</w:t>
            </w:r>
          </w:p>
        </w:tc>
      </w:tr>
      <w:tr w14:paraId="7EC4AB32">
        <w:trPr>
          <w:cantSplit/>
        </w:trPr>
        <w:tc>
          <w:tcPr>
            <w:tcW w:w="5904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EBE6FD0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t>Operative time, min</w:t>
            </w:r>
          </w:p>
        </w:tc>
        <w:tc>
          <w:tcPr>
            <w:tcW w:w="5904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18E02347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t>402.5 (302.2, 483.8)</w:t>
            </w:r>
          </w:p>
        </w:tc>
      </w:tr>
      <w:tr w14:paraId="1B3B41AB">
        <w:trPr>
          <w:cantSplit/>
        </w:trPr>
        <w:tc>
          <w:tcPr>
            <w:tcW w:w="5904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17C20BF8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t>Blood loss, mL</w:t>
            </w:r>
          </w:p>
        </w:tc>
        <w:tc>
          <w:tcPr>
            <w:tcW w:w="5904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0811E400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t>829.4 ± 361.2</w:t>
            </w:r>
          </w:p>
        </w:tc>
      </w:tr>
      <w:tr w14:paraId="2225D289">
        <w:trPr>
          <w:cantSplit/>
        </w:trPr>
        <w:tc>
          <w:tcPr>
            <w:tcW w:w="5904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1EC2FB5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t>Postoperative LIV</w:t>
            </w:r>
          </w:p>
        </w:tc>
        <w:tc>
          <w:tcPr>
            <w:tcW w:w="5904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0152ADE6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t>L2: 8 (19.05%)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t>L3: 13 (30.95%)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t>L4: 17 (40.48%)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t>L5: 4 (9.52%)</w:t>
            </w:r>
          </w:p>
        </w:tc>
      </w:tr>
      <w:tr w14:paraId="709D962C">
        <w:trPr>
          <w:cantSplit/>
        </w:trPr>
        <w:tc>
          <w:tcPr>
            <w:tcW w:w="5904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1DFB9732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t>Lenke classification</w:t>
            </w:r>
          </w:p>
        </w:tc>
        <w:tc>
          <w:tcPr>
            <w:tcW w:w="5904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F06AF17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t>Type 1: 8 (19.05%)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t>Type 2: 1 (2.38%)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t>Type 3: 12 (28.57%)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t>Type 5: 15 (35.71%)</w:t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br w:type="textWrapping"/>
            </w: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20"/>
                <w:szCs w:val="22"/>
              </w:rPr>
              <w:t>Type 6: 6 (14.29%)</w:t>
            </w:r>
          </w:p>
        </w:tc>
      </w:tr>
    </w:tbl>
    <w:sectPr w:rsidR="00FC693F" w:rsidRPr="0006063C" w:rsidSect="00034616">
      <w:pgSz w:w="16848" w:h="11952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