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00"/>
      </w:pPr>
      <w:r>
        <w:rPr>
          <w:b/>
          <w:sz w:val="24"/>
        </w:rPr>
        <w:t>Table 3 Comparison of Baseline Characteristics Between the Postoperative Coronal Balance and Imbalance Groups</w:t>
      </w:r>
    </w:p>
    <w:tbl>
      <w:tblPr>
        <w:tblStyle w:val="11"/>
        <w:tblOverlap w:val="never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8"/>
        <w:gridCol w:w="4680"/>
        <w:gridCol w:w="4680"/>
        <w:gridCol w:w="1656"/>
      </w:tblGrid>
      <w:tr w14:paraId="3E547680">
        <w:trPr>
          <w:cantSplit/>
          <w:tblHeader/>
        </w:trPr>
        <w:tc>
          <w:tcPr>
            <w:tcW w:w="3888" w:type="dxa"/>
            <w:tcBorders>
              <w:top w:val="single" w:color="auto" w:sz="12" w:space="0"/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2364FFB9">
            <w:pPr>
              <w:keepNext w:val="0"/>
              <w:spacing w:beforeLines="0"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4680" w:type="dxa"/>
            <w:tcBorders>
              <w:top w:val="single" w:color="auto" w:sz="12" w:space="0"/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688DA2D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Postoperative coronal balance group (n = 20)</w:t>
            </w:r>
          </w:p>
        </w:tc>
        <w:tc>
          <w:tcPr>
            <w:tcW w:w="4680" w:type="dxa"/>
            <w:tcBorders>
              <w:top w:val="single" w:color="auto" w:sz="12" w:space="0"/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7F1A1CE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Postoperative coronal imbalance group (n = 22)</w:t>
            </w:r>
          </w:p>
        </w:tc>
        <w:tc>
          <w:tcPr>
            <w:tcW w:w="1656" w:type="dxa"/>
            <w:tcBorders>
              <w:top w:val="single" w:color="auto" w:sz="12" w:space="0"/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74BDA55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 value</w:t>
            </w:r>
          </w:p>
        </w:tc>
      </w:tr>
      <w:tr w14:paraId="43847063">
        <w:trPr>
          <w:cantSplit/>
        </w:trPr>
        <w:tc>
          <w:tcPr>
            <w:tcW w:w="3888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AAB20E3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4680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AE817A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19.5 (12.8, 25.0)</w:t>
            </w:r>
          </w:p>
        </w:tc>
        <w:tc>
          <w:tcPr>
            <w:tcW w:w="4680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23914A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15.5 (13.2, 22.5)</w:t>
            </w:r>
          </w:p>
        </w:tc>
        <w:tc>
          <w:tcPr>
            <w:tcW w:w="1656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700A90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0.6677</w:t>
            </w:r>
          </w:p>
        </w:tc>
      </w:tr>
      <w:tr w14:paraId="1611BE40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5492794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967938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Female: 18 (90%)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Male: 2 (10%)</w:t>
            </w:r>
          </w:p>
        </w:tc>
        <w:tc>
          <w:tcPr>
            <w:tcW w:w="4680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DF35E4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Female: 15 (68.18%)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Male: 7 (31.82%)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EB52B8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0.1349</w:t>
            </w:r>
          </w:p>
        </w:tc>
      </w:tr>
      <w:tr w14:paraId="513510A1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898EF53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Preoperative LIV</w:t>
            </w:r>
          </w:p>
        </w:tc>
        <w:tc>
          <w:tcPr>
            <w:tcW w:w="4680" w:type="dxa"/>
            <w:tcBorders>
              <w:right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213438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L2: 3 (15%)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L3: 3 (15%)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L4: 9 (45%)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L5: 5 (25%)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61918E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L2: 1 (4.55%)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L3: 1 (4.55%)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L4: 8 (36.36%)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L5: 12 (54.55%)</w:t>
            </w:r>
          </w:p>
        </w:tc>
        <w:tc>
          <w:tcPr>
            <w:tcW w:w="1656" w:type="dxa"/>
            <w:tcBorders>
              <w:left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61E185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0.2162</w:t>
            </w:r>
          </w:p>
        </w:tc>
      </w:tr>
      <w:tr w14:paraId="5129B3E3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D3D91A8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Postoperative LIV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88F0D9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L2: 4 (20%)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L3: 10 (50%)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L4: 6 (30%)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L5: 0 (0%)</w:t>
            </w:r>
          </w:p>
        </w:tc>
        <w:tc>
          <w:tcPr>
            <w:tcW w:w="4680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7E9395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L2: 4 (18.18%)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L3: 3 (13.64%)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L4: 11 (50%)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L5: 4 (18.18%)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2C8F95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0.0239</w:t>
            </w:r>
          </w:p>
        </w:tc>
      </w:tr>
      <w:tr w14:paraId="36EB1A1B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12AE7F3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Preoperative LIV–SV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FC1950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-1 (-1, 0)</w:t>
            </w:r>
          </w:p>
        </w:tc>
        <w:tc>
          <w:tcPr>
            <w:tcW w:w="4680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E9A587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 (-1, 0)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495722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0.1141</w:t>
            </w:r>
          </w:p>
        </w:tc>
      </w:tr>
      <w:tr w14:paraId="4EBCFEDB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9604CAE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Postoperative LIV–SV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CD5FD6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-2 (-2, -1)</w:t>
            </w:r>
          </w:p>
        </w:tc>
        <w:tc>
          <w:tcPr>
            <w:tcW w:w="4680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01A66A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-1 (-2, -1)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25381B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0.2218</w:t>
            </w:r>
          </w:p>
        </w:tc>
      </w:tr>
      <w:tr w14:paraId="088E5975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2D90CC2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Lenke classification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421FDC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1: 7 (35%)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2: 1 (5%)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3: 5 (25%)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5: 5 (25%)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6: 2 (10%)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CFC86B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1: 1 (4.55%)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2: 0 (0%)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3: 7 (31.82%)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5: 10 (45.45%)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Type 6: 4 (18.18%)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21A9C7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0.0765</w:t>
            </w:r>
          </w:p>
        </w:tc>
      </w:tr>
      <w:tr w14:paraId="5CAC6B0C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FD206F5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Follow-up, months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0E5C7A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9.5 (6.0, 12.0)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02C97B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8.5 (6.0, 12.0)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E00766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0.7697</w:t>
            </w:r>
          </w:p>
        </w:tc>
      </w:tr>
      <w:tr w14:paraId="3A6D37B3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A810B64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Operative time, min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686F99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402.5 (292.2, 458.0)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0DC923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401.5 (318.0, 527.2)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801766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0.6233</w:t>
            </w:r>
          </w:p>
        </w:tc>
      </w:tr>
      <w:tr w14:paraId="5BC13CB1">
        <w:trPr>
          <w:cantSplit/>
        </w:trPr>
        <w:tc>
          <w:tcPr>
            <w:tcW w:w="388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ED55BAE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Blood loss, mL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02C2CB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685 (500, 1050)</w:t>
            </w:r>
          </w:p>
        </w:tc>
        <w:tc>
          <w:tcPr>
            <w:tcW w:w="4680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830AD5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800 (643.8, 1175)</w:t>
            </w:r>
          </w:p>
        </w:tc>
        <w:tc>
          <w:tcPr>
            <w:tcW w:w="165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3F7697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0"/>
              </w:rPr>
              <w:t>0.3501</w:t>
            </w:r>
          </w:p>
        </w:tc>
      </w:tr>
    </w:tbl>
    <w:sectPr w:rsidR="00FC693F" w:rsidRPr="0006063C" w:rsidSect="00034616">
      <w:pgSz w:w="16848" w:h="11952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3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