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00"/>
      </w:pPr>
      <w:r>
        <w:rPr>
          <w:b/>
          <w:sz w:val="24"/>
        </w:rPr>
        <w:t>Table 2 Coronal Balance Distance and Coronal Imbalance Rates at Different Time Points</w:t>
      </w:r>
    </w:p>
    <w:tbl>
      <w:tblPr>
        <w:tblStyle w:val="6"/>
        <w:tblW w:w="107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376"/>
        <w:gridCol w:w="1584"/>
        <w:gridCol w:w="1901"/>
        <w:gridCol w:w="1901"/>
        <w:gridCol w:w="1901"/>
        <w:gridCol w:w="1901"/>
        <w:gridCol w:w="1901"/>
      </w:tblGrid>
      <w:tr w14:paraId="75B3873B">
        <w:trPr>
          <w:tblHeader/>
          <w:jc w:val="right"/>
          <w:cantSplit/>
          <w:tblHeader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038E1C3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Time point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1B6217E1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 xml:space="preserve">CBD, median </w:t>
            </w:r>
          </w:p>
          <w:p w14:paraId="6141CF96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(Q1, Q3), mm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36941221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 xml:space="preserve">Imbalance, n/N </w:t>
            </w:r>
          </w:p>
          <w:p w14:paraId="237D5AB6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(%)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73118C8F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P vs. preoperative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73293716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P vs. first intraoperative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48B89371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P vs. final intraoperative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5007F1C2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P vs. postoperative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3093E471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/>
                <w:bCs w:val="0"/>
                <w:color w:val="000000"/>
                <w:sz w:val="18"/>
                <w:szCs w:val="15"/>
              </w:rPr>
              <w:t>P vs. follow-up</w:t>
            </w:r>
          </w:p>
        </w:tc>
      </w:tr>
      <w:tr w14:paraId="32D6A53F">
        <w:trPr>
          <w:jc w:val="right"/>
          <w:cantSplit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2F1BF8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Preoperative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B526493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14.50 (6.10, 20.34)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FE68E56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15/42 (35.71)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14E9270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11DD8C7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F9750DD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28D1B83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A1FC46E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</w:tr>
      <w:tr w14:paraId="2295BD51">
        <w:trPr>
          <w:jc w:val="right"/>
          <w:cantSplit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6B2C0B3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First intraoperative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4E90E27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21.90 (0.00, 43.32)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84817E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19/33 (57.58)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D66188A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0.052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9BA2E60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237D7CC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B04178C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579FA3E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</w:tr>
      <w:tr w14:paraId="36637B30">
        <w:trPr>
          <w:jc w:val="right"/>
          <w:cantSplit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702F67D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Final intraoperative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4CA858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8.57 (0.00, 15.47)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16CA57D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1/42 (2.38)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3D5D0D8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0.067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9E822C5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&lt;0.001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C3684D2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EE2DFAA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936E4DD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</w:tr>
      <w:tr w14:paraId="198D451C">
        <w:trPr>
          <w:jc w:val="right"/>
          <w:cantSplit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2CE204B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Postoperative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064EF4B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18.00 (12.31, 30.87)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001D1D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22/42 (52.38)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F1AB9FC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0.029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B13F932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0.815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150886C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&lt;0.001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E7461FC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8A4C4E2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</w:tr>
      <w:tr w14:paraId="29649EBC">
        <w:trPr>
          <w:jc w:val="right"/>
          <w:cantSplit/>
        </w:trPr>
        <w:tc>
          <w:tcPr>
            <w:tcW w:w="180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92B9B4F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Final follow-up</w:t>
            </w:r>
          </w:p>
        </w:tc>
        <w:tc>
          <w:tcPr>
            <w:tcW w:w="237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F92F0B6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7.00 (0.00, 11.35)</w:t>
            </w:r>
          </w:p>
        </w:tc>
        <w:tc>
          <w:tcPr>
            <w:tcW w:w="158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D9453F0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1/42 (2.38)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72118C9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0.013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394E227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&lt;0.001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AF32215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0.508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FD602F8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&lt;0.001</w:t>
            </w:r>
          </w:p>
        </w:tc>
        <w:tc>
          <w:tcPr>
            <w:tcW w:w="1901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A011560">
            <w:pPr>
              <w:keepNext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Arial Regular" w:hAnsi="Arial Regular" w:cs="Arial Regular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5"/>
              </w:rPr>
              <w:t>—</w:t>
            </w:r>
          </w:p>
        </w:tc>
      </w:tr>
    </w:tbl>
    <w:sectPr w:rsidR="00FC693F" w:rsidRPr="0006063C" w:rsidSect="00034616">
      <w:pgSz w:w="16848" w:h="11952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