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00"/>
      </w:pPr>
      <w:r>
        <w:rPr>
          <w:b/>
          <w:sz w:val="24"/>
        </w:rPr>
        <w:t>Table 4 Comparison of Radiographic Parameters at Different Time Points</w:t>
      </w:r>
    </w:p>
    <w:tbl>
      <w:tblPr>
        <w:tblStyle w:val="11"/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613"/>
        <w:gridCol w:w="1613"/>
        <w:gridCol w:w="1613"/>
        <w:gridCol w:w="1368"/>
        <w:gridCol w:w="1008"/>
        <w:gridCol w:w="1613"/>
        <w:gridCol w:w="1613"/>
        <w:gridCol w:w="1613"/>
      </w:tblGrid>
      <w:tr w14:paraId="271B7B0F">
        <w:trPr>
          <w:cantSplit/>
          <w:tblHeader/>
        </w:trPr>
        <w:tc>
          <w:tcPr>
            <w:tcW w:w="3096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1837397A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16D640B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Preoperative</w:t>
            </w:r>
          </w:p>
        </w:tc>
        <w:tc>
          <w:tcPr>
            <w:tcW w:w="1613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4FEDADB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Postoperative</w:t>
            </w:r>
          </w:p>
        </w:tc>
        <w:tc>
          <w:tcPr>
            <w:tcW w:w="1613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038BDE3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Follow-up</w:t>
            </w:r>
          </w:p>
        </w:tc>
        <w:tc>
          <w:tcPr>
            <w:tcW w:w="1368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5BB93B3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Statistic</w:t>
            </w:r>
          </w:p>
        </w:tc>
        <w:tc>
          <w:tcPr>
            <w:tcW w:w="1008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6A902BB3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 value</w:t>
            </w:r>
          </w:p>
        </w:tc>
        <w:tc>
          <w:tcPr>
            <w:tcW w:w="1613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1919BC3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Preoperative vs. postoperative</w:t>
            </w:r>
          </w:p>
        </w:tc>
        <w:tc>
          <w:tcPr>
            <w:tcW w:w="1613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4337F0D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Preoperative vs. follow-up</w:t>
            </w:r>
          </w:p>
        </w:tc>
        <w:tc>
          <w:tcPr>
            <w:tcW w:w="1613" w:type="dxa"/>
            <w:tcBorders>
              <w:bottom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EEEEEE"/>
          </w:tcPr>
          <w:p w14:paraId="36E8F1C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Postoperative vs. follow-up</w:t>
            </w:r>
          </w:p>
        </w:tc>
      </w:tr>
      <w:tr w14:paraId="690CB070">
        <w:trPr>
          <w:cantSplit/>
        </w:trPr>
        <w:tc>
          <w:tcPr>
            <w:tcW w:w="3096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C831BC9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Main curve (°)</w:t>
            </w:r>
          </w:p>
        </w:tc>
        <w:tc>
          <w:tcPr>
            <w:tcW w:w="1613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21865A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56.94 (25.12)</w:t>
            </w:r>
          </w:p>
        </w:tc>
        <w:tc>
          <w:tcPr>
            <w:tcW w:w="1613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1417F1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7.47 (10.18)</w:t>
            </w:r>
          </w:p>
        </w:tc>
        <w:tc>
          <w:tcPr>
            <w:tcW w:w="1613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F32A77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7.32 (12.27)</w:t>
            </w:r>
          </w:p>
        </w:tc>
        <w:tc>
          <w:tcPr>
            <w:tcW w:w="1368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FE87DE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χ²=64.255</w:t>
            </w:r>
          </w:p>
        </w:tc>
        <w:tc>
          <w:tcPr>
            <w:tcW w:w="1008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842D25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CEA77B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B6D7BA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tcBorders>
              <w:top w:val="single" w:color="auto" w:sz="4" w:space="0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CD16D7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P=0.743</w:t>
            </w:r>
          </w:p>
        </w:tc>
      </w:tr>
      <w:tr w14:paraId="07060488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55D1398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Main-curve correction rate (%)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2F514AB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059878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84.96±12.01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0636A4B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84.27±12.30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04675A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t=0.486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4212D2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0.630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037E60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AFCE4B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49D74F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  <w:tr w14:paraId="45454BE0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FED496B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Compensatory curve (°)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2E89FA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48.74±13.07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A96955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8.26±4.94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009084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7.63±4.22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BDCE42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F=270.431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0D7B48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657EF7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D68C8D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C27C00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P=1.000</w:t>
            </w:r>
          </w:p>
        </w:tc>
      </w:tr>
      <w:tr w14:paraId="1F461ED0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0E81E9A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Compensatory-curve correction rate (%)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ECC32D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C68EE0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83.68±8.27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D66177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84.71±7.83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7731DF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t=-0.506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3688D2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0.619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9AE48B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58B561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4C3492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  <w:tr w14:paraId="422D18F4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CB377F0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Sagittal vertical axis (SVA, mm)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BEB8F6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13.05 (5.75, 28.00)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E93F7B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19.84 (9.91, 39.11)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041365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14.07 (8.00, 28.00)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8A4751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χ²=0.467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55ADD9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0.792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B16ADC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A9C7F6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D700BA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  <w:tr w14:paraId="20D92C7F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9CE6CB0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LIV tilt (°)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32CC39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22.00 (16.67)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F3BC34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5.12 (8.00)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585E8B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3.00 (6.49)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3F00AA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χ²=69.329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A4448F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145A60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ECF089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8CA0A8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P=0.326</w:t>
            </w:r>
          </w:p>
        </w:tc>
      </w:tr>
      <w:tr w14:paraId="631D0E30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DB331B8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LIV-tilt correction rate (%)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6CC49C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3542CB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76.36 (53.48)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0202D8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87.56 (34.41)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E5C847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W=320.00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F456A8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0.027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73A693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69A8EC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99CB82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  <w:tr w14:paraId="0BA58307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7182504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LIV–CSVL distance (mm)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46FFBE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18.54 (11.54)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E33226B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6.06 (9.00)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168282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6.83 (9.10)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E05F66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χ²=46.105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73A7B9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BD31CE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70C956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E716A43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P=0.513</w:t>
            </w:r>
          </w:p>
        </w:tc>
      </w:tr>
      <w:tr w14:paraId="4CA51E9F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CFEA54D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LIV–CSVL correction rate (%)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7CEB11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B0AC58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66.70 (53.78)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124F073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66.77 (40.94)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41C6AB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W=294.00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A549C1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0.561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74874F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C8782F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04CCFF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  <w:tr w14:paraId="7AC3F004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4946E6B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LIV rotation (°)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C1E363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10.94±4.45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E9761B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5.88±3.58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8E1A52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25486F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t=6.344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03AD4F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A1FAA9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B3973A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236217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  <w:tr w14:paraId="7CBA06C5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86F4F7D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Apical vertebral translation (AVT, mm)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F8736F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59.01±20.43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4C8756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16.72±10.38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B5E34AC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12.57±8.29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C8E0F5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F=181.486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B74187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C78B4A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0209CB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727248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P=0.003</w:t>
            </w:r>
          </w:p>
        </w:tc>
      </w:tr>
      <w:tr w14:paraId="05758ADD">
        <w:trPr>
          <w:cantSplit/>
        </w:trPr>
        <w:tc>
          <w:tcPr>
            <w:tcW w:w="3096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C82AEDD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AVT correction rate (%)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D5ED41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DFC0123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69.00±16.84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8F6D9F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76.85±15.92</w:t>
            </w:r>
          </w:p>
        </w:tc>
        <w:tc>
          <w:tcPr>
            <w:tcW w:w="136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E0EA34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t=-3.402</w:t>
            </w:r>
          </w:p>
        </w:tc>
        <w:tc>
          <w:tcPr>
            <w:tcW w:w="1008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99B500B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0.002</w:t>
            </w: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EC519E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51B6A5E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96DF36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  <w:tr w14:paraId="18B6A585">
        <w:trPr>
          <w:cantSplit/>
        </w:trPr>
        <w:tc>
          <w:tcPr>
            <w:tcW w:w="3096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49DA117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L5 tilt (°)</w:t>
            </w:r>
          </w:p>
        </w:tc>
        <w:tc>
          <w:tcPr>
            <w:tcW w:w="1613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D2FA70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12.00 (9.89)</w:t>
            </w:r>
          </w:p>
        </w:tc>
        <w:tc>
          <w:tcPr>
            <w:tcW w:w="1613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006D66A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4.32 (6.21)</w:t>
            </w:r>
          </w:p>
        </w:tc>
        <w:tc>
          <w:tcPr>
            <w:tcW w:w="1613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957D951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3.00 (5.99)</w:t>
            </w:r>
          </w:p>
        </w:tc>
        <w:tc>
          <w:tcPr>
            <w:tcW w:w="1368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688E302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χ²=40.096</w:t>
            </w:r>
          </w:p>
        </w:tc>
        <w:tc>
          <w:tcPr>
            <w:tcW w:w="1008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35533657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68B54B9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306AF20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P&lt;0.001</w:t>
            </w:r>
          </w:p>
        </w:tc>
        <w:tc>
          <w:tcPr>
            <w:tcW w:w="1613" w:type="dxa"/>
            <w:tcBorders>
              <w:bottom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69B35D0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P=0.081</w:t>
            </w:r>
          </w:p>
        </w:tc>
      </w:tr>
      <w:tr w14:paraId="1695642F">
        <w:trPr>
          <w:cantSplit/>
        </w:trPr>
        <w:tc>
          <w:tcPr>
            <w:tcW w:w="3096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1B5CA0D5">
            <w:pPr>
              <w:keepNext w:val="0"/>
              <w:spacing w:before="0" w:after="0" w:line="240" w:lineRule="auto"/>
              <w:jc w:val="left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LIV–SV</w:t>
            </w:r>
          </w:p>
        </w:tc>
        <w:tc>
          <w:tcPr>
            <w:tcW w:w="1613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1A2F9EF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-0.67±0.69</w:t>
            </w:r>
          </w:p>
        </w:tc>
        <w:tc>
          <w:tcPr>
            <w:tcW w:w="1613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20C1C51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-1.38±0.79</w:t>
            </w:r>
          </w:p>
        </w:tc>
        <w:tc>
          <w:tcPr>
            <w:tcW w:w="1613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8300D84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368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605A408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Z=-4.973</w:t>
            </w:r>
          </w:p>
        </w:tc>
        <w:tc>
          <w:tcPr>
            <w:tcW w:w="1008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7069399E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  <w:r>
              <w:rPr>
                <w:rFonts w:hint="default" w:ascii="Times New Roman" w:hAnsi="Times New Roman" w:cs="Arial Regular"/>
                <w:b w:val="0"/>
                <w:bCs w:val="0"/>
                <w:color w:val="000000"/>
                <w:sz w:val="18"/>
                <w:szCs w:val="13"/>
              </w:rPr>
              <w:t>&lt;0.001</w:t>
            </w:r>
          </w:p>
        </w:tc>
        <w:tc>
          <w:tcPr>
            <w:tcW w:w="1613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F0A2CE5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46E0EE56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613" w:type="dxa"/>
            <w:tcBorders>
              <w:top w:val="nil"/>
            </w:tcBorders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 w14:paraId="0BC4C18D">
            <w:pPr>
              <w:keepNext w:val="0"/>
              <w:spacing w:before="0" w:after="0" w:line="240" w:lineRule="auto"/>
              <w:jc w:val="center"/>
              <w:rPr>
                <w:rFonts w:hint="default" w:ascii="Arial Regular" w:hAnsi="Arial Regular" w:cs="Arial Regular"/>
                <w:b w:val="0"/>
                <w:bCs w:val="0"/>
                <w:sz w:val="13"/>
                <w:szCs w:val="13"/>
              </w:rPr>
            </w:pPr>
          </w:p>
        </w:tc>
      </w:tr>
    </w:tbl>
    <w:sectPr w:rsidR="00FC693F" w:rsidRPr="0006063C" w:rsidSect="00034616">
      <w:pgSz w:w="16848" w:h="11952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4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