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C5091" w14:textId="77777777" w:rsidR="002D5A9A" w:rsidRPr="00B81DCF" w:rsidRDefault="002D5A9A" w:rsidP="002D5A9A">
      <w:pPr>
        <w:spacing w:line="360" w:lineRule="auto"/>
        <w:rPr>
          <w:rFonts w:ascii="Arial" w:hAnsi="Arial" w:cs="Arial"/>
          <w:b/>
          <w:bCs/>
          <w:sz w:val="22"/>
          <w:szCs w:val="22"/>
          <w:lang w:val="en-US"/>
        </w:rPr>
      </w:pPr>
      <w:r w:rsidRPr="00B81DCF">
        <w:rPr>
          <w:rFonts w:ascii="Arial" w:hAnsi="Arial" w:cs="Arial"/>
          <w:b/>
          <w:bCs/>
          <w:sz w:val="22"/>
          <w:szCs w:val="22"/>
          <w:lang w:val="en-US"/>
        </w:rPr>
        <w:t>Extended Data Figure Legends</w:t>
      </w:r>
    </w:p>
    <w:p w14:paraId="210BB7C6" w14:textId="77777777" w:rsidR="002D5A9A" w:rsidRPr="00B81DCF" w:rsidRDefault="002D5A9A" w:rsidP="002D5A9A">
      <w:pPr>
        <w:spacing w:line="360" w:lineRule="auto"/>
        <w:rPr>
          <w:rFonts w:ascii="Arial" w:hAnsi="Arial" w:cs="Arial"/>
          <w:b/>
          <w:bCs/>
          <w:sz w:val="22"/>
          <w:szCs w:val="22"/>
          <w:lang w:val="en-US"/>
        </w:rPr>
      </w:pPr>
      <w:bookmarkStart w:id="0" w:name="_Hlk237002112"/>
      <w:r w:rsidRPr="00B81DCF">
        <w:rPr>
          <w:rFonts w:ascii="Arial" w:hAnsi="Arial" w:cs="Arial"/>
          <w:b/>
          <w:bCs/>
          <w:sz w:val="22"/>
          <w:szCs w:val="22"/>
          <w:lang w:val="en-US"/>
        </w:rPr>
        <w:t xml:space="preserve">Extended Data Figure 1. GD2 expression in tumor tissue from all enrolled patients. </w:t>
      </w:r>
    </w:p>
    <w:p w14:paraId="5995EC63" w14:textId="77777777" w:rsidR="002D5A9A" w:rsidRDefault="002D5A9A" w:rsidP="002D5A9A">
      <w:pPr>
        <w:snapToGrid w:val="0"/>
        <w:spacing w:line="360" w:lineRule="auto"/>
        <w:jc w:val="both"/>
        <w:rPr>
          <w:rFonts w:ascii="Arial" w:hAnsi="Arial" w:cs="Arial"/>
          <w:sz w:val="22"/>
          <w:szCs w:val="22"/>
          <w:lang w:val="en-US"/>
        </w:rPr>
      </w:pPr>
      <w:r w:rsidRPr="00B81DCF">
        <w:rPr>
          <w:rFonts w:ascii="Arial" w:hAnsi="Arial" w:cs="Arial"/>
          <w:sz w:val="22"/>
          <w:szCs w:val="22"/>
          <w:lang w:val="en-US"/>
        </w:rPr>
        <w:t>GD2 expression was assessed by immunofluorescence staining of archival formalin-fixed, paraffin-embedded (FFPE) biopsies in a central reference laboratory using a standardized assay</w:t>
      </w:r>
      <w:r w:rsidRPr="00B81DCF">
        <w:rPr>
          <w:rFonts w:ascii="Arial" w:hAnsi="Arial" w:cs="Arial"/>
          <w:sz w:val="22"/>
          <w:szCs w:val="22"/>
          <w:lang w:val="en-US"/>
        </w:rPr>
        <w:fldChar w:fldCharType="begin">
          <w:fldData xml:space="preserve">PEVuZE5vdGU+PENpdGU+PEF1dGhvcj5LYWlsYXlhbmdpcmk8L0F1dGhvcj48WWVhcj4yMDI0PC9Z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</w:fldData>
        </w:fldChar>
      </w:r>
      <w:r>
        <w:rPr>
          <w:rFonts w:ascii="Arial" w:hAnsi="Arial" w:cs="Arial"/>
          <w:sz w:val="22"/>
          <w:szCs w:val="22"/>
          <w:lang w:val="en-US"/>
        </w:rPr>
        <w:instrText xml:space="preserve"> ADDIN EN.CITE </w:instrText>
      </w:r>
      <w:r>
        <w:rPr>
          <w:rFonts w:ascii="Arial" w:hAnsi="Arial" w:cs="Arial"/>
          <w:sz w:val="22"/>
          <w:szCs w:val="22"/>
          <w:lang w:val="en-US"/>
        </w:rPr>
        <w:fldChar w:fldCharType="begin">
          <w:fldData xml:space="preserve">PEVuZE5vdGU+PENpdGU+PEF1dGhvcj5LYWlsYXlhbmdpcmk8L0F1dGhvcj48WWVhcj4yMDI0PC9Z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</w:fldData>
        </w:fldChar>
      </w:r>
      <w:r>
        <w:rPr>
          <w:rFonts w:ascii="Arial" w:hAnsi="Arial" w:cs="Arial"/>
          <w:sz w:val="22"/>
          <w:szCs w:val="22"/>
          <w:lang w:val="en-US"/>
        </w:rPr>
        <w:instrText xml:space="preserve"> ADDIN EN.CITE.DATA </w:instrText>
      </w:r>
      <w:r>
        <w:rPr>
          <w:rFonts w:ascii="Arial" w:hAnsi="Arial" w:cs="Arial"/>
          <w:sz w:val="22"/>
          <w:szCs w:val="22"/>
          <w:lang w:val="en-US"/>
        </w:rPr>
      </w:r>
      <w:r>
        <w:rPr>
          <w:rFonts w:ascii="Arial" w:hAnsi="Arial" w:cs="Arial"/>
          <w:sz w:val="22"/>
          <w:szCs w:val="22"/>
          <w:lang w:val="en-US"/>
        </w:rPr>
        <w:fldChar w:fldCharType="end"/>
      </w:r>
      <w:r w:rsidRPr="00B81DCF">
        <w:rPr>
          <w:rFonts w:ascii="Arial" w:hAnsi="Arial" w:cs="Arial"/>
          <w:sz w:val="22"/>
          <w:szCs w:val="22"/>
          <w:lang w:val="en-US"/>
        </w:rPr>
      </w:r>
      <w:r w:rsidRPr="00B81DCF">
        <w:rPr>
          <w:rFonts w:ascii="Arial" w:hAnsi="Arial" w:cs="Arial"/>
          <w:sz w:val="22"/>
          <w:szCs w:val="22"/>
          <w:lang w:val="en-US"/>
        </w:rPr>
        <w:fldChar w:fldCharType="separate"/>
      </w:r>
      <w:r w:rsidRPr="00DF5E8D">
        <w:rPr>
          <w:rFonts w:ascii="Arial" w:hAnsi="Arial" w:cs="Arial"/>
          <w:noProof/>
          <w:sz w:val="22"/>
          <w:szCs w:val="22"/>
          <w:vertAlign w:val="superscript"/>
          <w:lang w:val="en-US"/>
        </w:rPr>
        <w:t>28</w:t>
      </w:r>
      <w:r w:rsidRPr="00B81DCF">
        <w:rPr>
          <w:rFonts w:ascii="Arial" w:hAnsi="Arial" w:cs="Arial"/>
          <w:sz w:val="22"/>
          <w:szCs w:val="22"/>
          <w:lang w:val="en-US"/>
        </w:rPr>
        <w:fldChar w:fldCharType="end"/>
      </w:r>
      <w:r w:rsidRPr="00B81DCF">
        <w:rPr>
          <w:rFonts w:ascii="Arial" w:hAnsi="Arial" w:cs="Arial"/>
          <w:sz w:val="22"/>
          <w:szCs w:val="22"/>
          <w:lang w:val="en-US"/>
        </w:rPr>
        <w:t>. GD2 expression was evaluated by direct microscopic assessment according to a semiquantitative scoring system, with GD2 positivity defined according to clinical trial protocol criteria as ≥50% of tissue expressing ≥2+ GD2</w:t>
      </w:r>
      <w:r w:rsidRPr="00B81DCF">
        <w:rPr>
          <w:rFonts w:ascii="Arial" w:hAnsi="Arial" w:cs="Arial"/>
          <w:sz w:val="22"/>
          <w:szCs w:val="22"/>
          <w:lang w:val="en-US"/>
        </w:rPr>
        <w:fldChar w:fldCharType="begin">
          <w:fldData xml:space="preserve">PEVuZE5vdGU+PENpdGU+PEF1dGhvcj5LYWlsYXlhbmdpcmk8L0F1dGhvcj48WWVhcj4yMDI0PC9Z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</w:fldData>
        </w:fldChar>
      </w:r>
      <w:r>
        <w:rPr>
          <w:rFonts w:ascii="Arial" w:hAnsi="Arial" w:cs="Arial"/>
          <w:sz w:val="22"/>
          <w:szCs w:val="22"/>
          <w:lang w:val="en-US"/>
        </w:rPr>
        <w:instrText xml:space="preserve"> ADDIN EN.CITE </w:instrText>
      </w:r>
      <w:r>
        <w:rPr>
          <w:rFonts w:ascii="Arial" w:hAnsi="Arial" w:cs="Arial"/>
          <w:sz w:val="22"/>
          <w:szCs w:val="22"/>
          <w:lang w:val="en-US"/>
        </w:rPr>
        <w:fldChar w:fldCharType="begin">
          <w:fldData xml:space="preserve">PEVuZE5vdGU+PENpdGU+PEF1dGhvcj5LYWlsYXlhbmdpcmk8L0F1dGhvcj48WWVhcj4yMDI0PC9Z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</w:fldData>
        </w:fldChar>
      </w:r>
      <w:r>
        <w:rPr>
          <w:rFonts w:ascii="Arial" w:hAnsi="Arial" w:cs="Arial"/>
          <w:sz w:val="22"/>
          <w:szCs w:val="22"/>
          <w:lang w:val="en-US"/>
        </w:rPr>
        <w:instrText xml:space="preserve"> ADDIN EN.CITE.DATA </w:instrText>
      </w:r>
      <w:r>
        <w:rPr>
          <w:rFonts w:ascii="Arial" w:hAnsi="Arial" w:cs="Arial"/>
          <w:sz w:val="22"/>
          <w:szCs w:val="22"/>
          <w:lang w:val="en-US"/>
        </w:rPr>
      </w:r>
      <w:r>
        <w:rPr>
          <w:rFonts w:ascii="Arial" w:hAnsi="Arial" w:cs="Arial"/>
          <w:sz w:val="22"/>
          <w:szCs w:val="22"/>
          <w:lang w:val="en-US"/>
        </w:rPr>
        <w:fldChar w:fldCharType="end"/>
      </w:r>
      <w:r w:rsidRPr="00B81DCF">
        <w:rPr>
          <w:rFonts w:ascii="Arial" w:hAnsi="Arial" w:cs="Arial"/>
          <w:sz w:val="22"/>
          <w:szCs w:val="22"/>
          <w:lang w:val="en-US"/>
        </w:rPr>
      </w:r>
      <w:r w:rsidRPr="00B81DCF">
        <w:rPr>
          <w:rFonts w:ascii="Arial" w:hAnsi="Arial" w:cs="Arial"/>
          <w:sz w:val="22"/>
          <w:szCs w:val="22"/>
          <w:lang w:val="en-US"/>
        </w:rPr>
        <w:fldChar w:fldCharType="separate"/>
      </w:r>
      <w:r w:rsidRPr="00DF5E8D">
        <w:rPr>
          <w:rFonts w:ascii="Arial" w:hAnsi="Arial" w:cs="Arial"/>
          <w:noProof/>
          <w:sz w:val="22"/>
          <w:szCs w:val="22"/>
          <w:vertAlign w:val="superscript"/>
          <w:lang w:val="en-US"/>
        </w:rPr>
        <w:t>28</w:t>
      </w:r>
      <w:r w:rsidRPr="00B81DCF">
        <w:rPr>
          <w:rFonts w:ascii="Arial" w:hAnsi="Arial" w:cs="Arial"/>
          <w:sz w:val="22"/>
          <w:szCs w:val="22"/>
          <w:lang w:val="en-US"/>
        </w:rPr>
        <w:fldChar w:fldCharType="end"/>
      </w:r>
      <w:r w:rsidRPr="00B81DCF">
        <w:rPr>
          <w:rFonts w:ascii="Arial" w:hAnsi="Arial" w:cs="Arial"/>
          <w:sz w:val="22"/>
          <w:szCs w:val="22"/>
          <w:lang w:val="en-US"/>
        </w:rPr>
        <w:t>. The most recent available biopsy for each patient was analyzed. Images shown are representative regions of interest (ROIs) from the entire tissue section and were acquired for documentation purposes only. The timing and origin of individual biopsies are summarized below.</w:t>
      </w:r>
      <w:r>
        <w:rPr>
          <w:rFonts w:ascii="Arial" w:hAnsi="Arial" w:cs="Arial"/>
          <w:sz w:val="22"/>
          <w:szCs w:val="22"/>
          <w:lang w:val="en-US"/>
        </w:rPr>
        <w:t xml:space="preserve"> </w:t>
      </w:r>
      <w:r w:rsidRPr="00BE74F8">
        <w:rPr>
          <w:rFonts w:ascii="Arial" w:hAnsi="Arial" w:cs="Arial"/>
          <w:sz w:val="22"/>
          <w:szCs w:val="22"/>
          <w:lang w:val="en-US"/>
        </w:rPr>
        <w:t xml:space="preserve">(A) GD2 staining of a </w:t>
      </w:r>
      <w:r>
        <w:rPr>
          <w:rFonts w:ascii="Arial" w:hAnsi="Arial" w:cs="Arial"/>
          <w:sz w:val="22"/>
          <w:szCs w:val="22"/>
          <w:lang w:val="en-US"/>
        </w:rPr>
        <w:t xml:space="preserve">murine tumor </w:t>
      </w:r>
      <w:r w:rsidRPr="00BE74F8">
        <w:rPr>
          <w:rFonts w:ascii="Arial" w:hAnsi="Arial" w:cs="Arial"/>
          <w:sz w:val="22"/>
          <w:szCs w:val="22"/>
          <w:lang w:val="en-US"/>
        </w:rPr>
        <w:t xml:space="preserve">xenograft derived from the Ewing sarcoma cell line SK-ES-1 as a negative control. </w:t>
      </w:r>
      <w:r>
        <w:rPr>
          <w:rFonts w:ascii="Arial" w:hAnsi="Arial" w:cs="Arial"/>
          <w:sz w:val="22"/>
          <w:szCs w:val="22"/>
          <w:lang w:val="en-US"/>
        </w:rPr>
        <w:t xml:space="preserve">(B, C) </w:t>
      </w:r>
      <w:r w:rsidRPr="00BE74F8">
        <w:rPr>
          <w:rFonts w:ascii="Arial" w:hAnsi="Arial" w:cs="Arial"/>
          <w:sz w:val="22"/>
          <w:szCs w:val="22"/>
          <w:lang w:val="en-US"/>
        </w:rPr>
        <w:t>GD2</w:t>
      </w:r>
      <w:r>
        <w:rPr>
          <w:rFonts w:ascii="Arial" w:hAnsi="Arial" w:cs="Arial"/>
          <w:sz w:val="22"/>
          <w:szCs w:val="22"/>
          <w:lang w:val="en-US"/>
        </w:rPr>
        <w:t xml:space="preserve"> </w:t>
      </w:r>
      <w:r w:rsidRPr="00BE74F8">
        <w:rPr>
          <w:rFonts w:ascii="Arial" w:hAnsi="Arial" w:cs="Arial"/>
          <w:sz w:val="22"/>
          <w:szCs w:val="22"/>
          <w:lang w:val="en-US"/>
        </w:rPr>
        <w:t xml:space="preserve">staining </w:t>
      </w:r>
      <w:r>
        <w:rPr>
          <w:rFonts w:ascii="Arial" w:hAnsi="Arial" w:cs="Arial"/>
          <w:sz w:val="22"/>
          <w:szCs w:val="22"/>
          <w:lang w:val="en-US"/>
        </w:rPr>
        <w:t xml:space="preserve">of pretreatment tumor biopsies </w:t>
      </w:r>
      <w:r w:rsidRPr="00BE74F8">
        <w:rPr>
          <w:rFonts w:ascii="Arial" w:hAnsi="Arial" w:cs="Arial"/>
          <w:sz w:val="22"/>
          <w:szCs w:val="22"/>
          <w:lang w:val="en-US"/>
        </w:rPr>
        <w:t>from pediatric (B) and adult (C) patients.</w:t>
      </w:r>
    </w:p>
    <w:p w14:paraId="679A7A6A" w14:textId="77777777" w:rsidR="002D5A9A" w:rsidRPr="00B81DCF" w:rsidRDefault="002D5A9A" w:rsidP="002D5A9A">
      <w:pPr>
        <w:snapToGrid w:val="0"/>
        <w:spacing w:line="360" w:lineRule="auto"/>
        <w:jc w:val="both"/>
        <w:rPr>
          <w:rFonts w:ascii="Arial" w:hAnsi="Arial" w:cs="Arial"/>
          <w:sz w:val="22"/>
          <w:szCs w:val="22"/>
          <w:lang w:val="en-US"/>
        </w:rPr>
      </w:pPr>
    </w:p>
    <w:tbl>
      <w:tblPr>
        <w:tblStyle w:val="PlainTable4"/>
        <w:tblW w:w="0" w:type="auto"/>
        <w:tblLook w:val="04A0" w:firstRow="1" w:lastRow="0" w:firstColumn="1" w:lastColumn="0" w:noHBand="0" w:noVBand="1"/>
      </w:tblPr>
      <w:tblGrid>
        <w:gridCol w:w="883"/>
        <w:gridCol w:w="973"/>
        <w:gridCol w:w="4715"/>
        <w:gridCol w:w="2455"/>
      </w:tblGrid>
      <w:tr w:rsidR="002D5A9A" w:rsidRPr="00B81DCF" w14:paraId="68660178" w14:textId="77777777" w:rsidTr="009D6D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bookmarkEnd w:id="0"/>
          <w:p w14:paraId="2C57164A"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 xml:space="preserve">Patient </w:t>
            </w:r>
          </w:p>
        </w:tc>
        <w:tc>
          <w:tcPr>
            <w:tcW w:w="973" w:type="dxa"/>
          </w:tcPr>
          <w:p w14:paraId="23FEF04C" w14:textId="77777777" w:rsidR="002D5A9A" w:rsidRPr="00B81DCF" w:rsidRDefault="002D5A9A" w:rsidP="009D6DE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Disease</w:t>
            </w:r>
          </w:p>
        </w:tc>
        <w:tc>
          <w:tcPr>
            <w:tcW w:w="4948" w:type="dxa"/>
          </w:tcPr>
          <w:p w14:paraId="06555E2B" w14:textId="77777777" w:rsidR="002D5A9A" w:rsidRPr="00B81DCF" w:rsidRDefault="002D5A9A" w:rsidP="009D6DE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Time of biopsy</w:t>
            </w:r>
          </w:p>
        </w:tc>
        <w:tc>
          <w:tcPr>
            <w:tcW w:w="2552" w:type="dxa"/>
          </w:tcPr>
          <w:p w14:paraId="140A40D6" w14:textId="77777777" w:rsidR="002D5A9A" w:rsidRPr="00B81DCF" w:rsidRDefault="002D5A9A" w:rsidP="009D6DE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Origin of biopsy</w:t>
            </w:r>
          </w:p>
        </w:tc>
      </w:tr>
      <w:tr w:rsidR="002D5A9A" w:rsidRPr="00B81DCF" w14:paraId="0FBAD888"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2C534D7C"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P_01</w:t>
            </w:r>
          </w:p>
        </w:tc>
        <w:tc>
          <w:tcPr>
            <w:tcW w:w="973" w:type="dxa"/>
          </w:tcPr>
          <w:p w14:paraId="12D04F50"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5C7F6B8E"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First of four relapses prior to GD2IL18CART</w:t>
            </w:r>
          </w:p>
        </w:tc>
        <w:tc>
          <w:tcPr>
            <w:tcW w:w="2552" w:type="dxa"/>
          </w:tcPr>
          <w:p w14:paraId="1F4E08F8"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Lymph node metastasis</w:t>
            </w:r>
          </w:p>
        </w:tc>
      </w:tr>
      <w:tr w:rsidR="002D5A9A" w:rsidRPr="00B81DCF" w14:paraId="7EA8347F"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0E1182FF"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P_02</w:t>
            </w:r>
          </w:p>
        </w:tc>
        <w:tc>
          <w:tcPr>
            <w:tcW w:w="973" w:type="dxa"/>
          </w:tcPr>
          <w:p w14:paraId="50DB1CD8"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00EE6AC1"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5582313F"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7DA3E7EE"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15F2E60C"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P_03</w:t>
            </w:r>
          </w:p>
        </w:tc>
        <w:tc>
          <w:tcPr>
            <w:tcW w:w="973" w:type="dxa"/>
          </w:tcPr>
          <w:p w14:paraId="22702238"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42DD793D"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4580EA28"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41968139"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140588C7"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P_04</w:t>
            </w:r>
          </w:p>
        </w:tc>
        <w:tc>
          <w:tcPr>
            <w:tcW w:w="973" w:type="dxa"/>
          </w:tcPr>
          <w:p w14:paraId="335D02C0"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123F4C08"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21547EF0"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4E35BC95"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45E83ED9"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P_05</w:t>
            </w:r>
          </w:p>
        </w:tc>
        <w:tc>
          <w:tcPr>
            <w:tcW w:w="973" w:type="dxa"/>
          </w:tcPr>
          <w:p w14:paraId="79BFEE2F"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53217BBB"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46949C1C"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2A2E4902"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7E9074DF"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P_06</w:t>
            </w:r>
          </w:p>
        </w:tc>
        <w:tc>
          <w:tcPr>
            <w:tcW w:w="973" w:type="dxa"/>
          </w:tcPr>
          <w:p w14:paraId="06E07990"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6CA4482D"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 xml:space="preserve">Earlier relapse </w:t>
            </w:r>
          </w:p>
        </w:tc>
        <w:tc>
          <w:tcPr>
            <w:tcW w:w="2552" w:type="dxa"/>
          </w:tcPr>
          <w:p w14:paraId="7571CF65"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59E78978"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4CB39A2F"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P_07</w:t>
            </w:r>
          </w:p>
        </w:tc>
        <w:tc>
          <w:tcPr>
            <w:tcW w:w="973" w:type="dxa"/>
          </w:tcPr>
          <w:p w14:paraId="212EC95A"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OS</w:t>
            </w:r>
          </w:p>
        </w:tc>
        <w:tc>
          <w:tcPr>
            <w:tcW w:w="4948" w:type="dxa"/>
          </w:tcPr>
          <w:p w14:paraId="1AEF5817"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6B132E63"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2A6A34" w14:paraId="2C21BB8E"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2291A407"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P_08</w:t>
            </w:r>
          </w:p>
        </w:tc>
        <w:tc>
          <w:tcPr>
            <w:tcW w:w="973" w:type="dxa"/>
          </w:tcPr>
          <w:p w14:paraId="484E5571"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0030B309"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675111B8"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and soft tissue metastasis</w:t>
            </w:r>
          </w:p>
        </w:tc>
      </w:tr>
      <w:tr w:rsidR="002D5A9A" w:rsidRPr="00B81DCF" w14:paraId="16756894"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2524F42E"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P_09</w:t>
            </w:r>
          </w:p>
        </w:tc>
        <w:tc>
          <w:tcPr>
            <w:tcW w:w="973" w:type="dxa"/>
          </w:tcPr>
          <w:p w14:paraId="15B84807"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OS</w:t>
            </w:r>
          </w:p>
        </w:tc>
        <w:tc>
          <w:tcPr>
            <w:tcW w:w="4948" w:type="dxa"/>
          </w:tcPr>
          <w:p w14:paraId="59AFFAAD"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4F309949"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4FB6F2D1"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3139AE30"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P_10</w:t>
            </w:r>
          </w:p>
        </w:tc>
        <w:tc>
          <w:tcPr>
            <w:tcW w:w="973" w:type="dxa"/>
          </w:tcPr>
          <w:p w14:paraId="0CDC38AA"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77768156"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Second of three relapses prior to GD2IL18CART.</w:t>
            </w:r>
            <w:r w:rsidRPr="00B81DCF">
              <w:rPr>
                <w:rFonts w:ascii="Arial" w:eastAsiaTheme="minorHAnsi" w:hAnsi="Arial" w:cs="Arial"/>
                <w:kern w:val="2"/>
                <w:sz w:val="20"/>
                <w:szCs w:val="20"/>
                <w:lang w:val="en-US" w:eastAsia="en-US"/>
                <w14:ligatures w14:val="standardContextual"/>
              </w:rPr>
              <w:t xml:space="preserve"> GD2-positive status </w:t>
            </w:r>
            <w:r w:rsidRPr="00B81DCF">
              <w:rPr>
                <w:rFonts w:ascii="Arial" w:hAnsi="Arial" w:cs="Arial"/>
                <w:sz w:val="20"/>
                <w:szCs w:val="20"/>
                <w:lang w:val="en-US"/>
              </w:rPr>
              <w:t>of the most recent relapse</w:t>
            </w:r>
            <w:r w:rsidRPr="00B81DCF">
              <w:rPr>
                <w:rFonts w:ascii="Arial" w:eastAsiaTheme="minorHAnsi" w:hAnsi="Arial" w:cs="Arial"/>
                <w:kern w:val="2"/>
                <w:sz w:val="20"/>
                <w:szCs w:val="20"/>
                <w:lang w:val="en-US" w:eastAsia="en-US"/>
                <w14:ligatures w14:val="standardContextual"/>
              </w:rPr>
              <w:t xml:space="preserve"> after first GD2-CART therapy was </w:t>
            </w:r>
            <w:r w:rsidRPr="00B81DCF">
              <w:rPr>
                <w:rFonts w:ascii="Arial" w:hAnsi="Arial" w:cs="Arial"/>
                <w:sz w:val="20"/>
                <w:szCs w:val="20"/>
                <w:lang w:val="en-US"/>
              </w:rPr>
              <w:t xml:space="preserve">confirmed </w:t>
            </w:r>
            <w:r w:rsidRPr="00B81DCF">
              <w:rPr>
                <w:rFonts w:ascii="Arial" w:eastAsiaTheme="minorHAnsi" w:hAnsi="Arial" w:cs="Arial"/>
                <w:kern w:val="2"/>
                <w:sz w:val="20"/>
                <w:szCs w:val="20"/>
                <w:lang w:val="en-US" w:eastAsia="en-US"/>
                <w14:ligatures w14:val="standardContextual"/>
              </w:rPr>
              <w:t>by bone marrow flow cytometry.</w:t>
            </w:r>
          </w:p>
        </w:tc>
        <w:tc>
          <w:tcPr>
            <w:tcW w:w="2552" w:type="dxa"/>
          </w:tcPr>
          <w:p w14:paraId="184CA732"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45640524"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388E2AF8"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P_11</w:t>
            </w:r>
          </w:p>
        </w:tc>
        <w:tc>
          <w:tcPr>
            <w:tcW w:w="973" w:type="dxa"/>
          </w:tcPr>
          <w:p w14:paraId="41134D47"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1C8866D3"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37DD71D0"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Abdominal metastasis</w:t>
            </w:r>
          </w:p>
        </w:tc>
      </w:tr>
      <w:tr w:rsidR="002D5A9A" w:rsidRPr="00B81DCF" w14:paraId="32D25FEC"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292601FB"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P_12</w:t>
            </w:r>
          </w:p>
        </w:tc>
        <w:tc>
          <w:tcPr>
            <w:tcW w:w="973" w:type="dxa"/>
          </w:tcPr>
          <w:p w14:paraId="3226D419"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16A39BBA"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Earlier relapse</w:t>
            </w:r>
          </w:p>
        </w:tc>
        <w:tc>
          <w:tcPr>
            <w:tcW w:w="2552" w:type="dxa"/>
          </w:tcPr>
          <w:p w14:paraId="1D99DD7A"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Brain metastasis</w:t>
            </w:r>
          </w:p>
        </w:tc>
      </w:tr>
      <w:tr w:rsidR="002D5A9A" w:rsidRPr="00B81DCF" w14:paraId="43CE11FF"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4BB6A8F7"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P_13</w:t>
            </w:r>
          </w:p>
        </w:tc>
        <w:tc>
          <w:tcPr>
            <w:tcW w:w="973" w:type="dxa"/>
          </w:tcPr>
          <w:p w14:paraId="397CE977"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08155CFD"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First diagnosis</w:t>
            </w:r>
          </w:p>
        </w:tc>
        <w:tc>
          <w:tcPr>
            <w:tcW w:w="2552" w:type="dxa"/>
          </w:tcPr>
          <w:p w14:paraId="369D18D2"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Abdominal primary tumor</w:t>
            </w:r>
          </w:p>
        </w:tc>
      </w:tr>
      <w:tr w:rsidR="002D5A9A" w:rsidRPr="00B81DCF" w14:paraId="67EB02BB"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53953814"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P_14</w:t>
            </w:r>
          </w:p>
        </w:tc>
        <w:tc>
          <w:tcPr>
            <w:tcW w:w="973" w:type="dxa"/>
          </w:tcPr>
          <w:p w14:paraId="1E954C4E"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NBL</w:t>
            </w:r>
          </w:p>
        </w:tc>
        <w:tc>
          <w:tcPr>
            <w:tcW w:w="4948" w:type="dxa"/>
          </w:tcPr>
          <w:p w14:paraId="609D1B89"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First diagnosis</w:t>
            </w:r>
          </w:p>
        </w:tc>
        <w:tc>
          <w:tcPr>
            <w:tcW w:w="2552" w:type="dxa"/>
          </w:tcPr>
          <w:p w14:paraId="06363063"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Abdominal primary tumor</w:t>
            </w:r>
          </w:p>
        </w:tc>
      </w:tr>
      <w:tr w:rsidR="002D5A9A" w:rsidRPr="00B81DCF" w14:paraId="6E6A4717"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3DD4A5B0"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A_01</w:t>
            </w:r>
          </w:p>
        </w:tc>
        <w:tc>
          <w:tcPr>
            <w:tcW w:w="973" w:type="dxa"/>
          </w:tcPr>
          <w:p w14:paraId="21E51E0A"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6DBE3BF3"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Earlier relapse</w:t>
            </w:r>
          </w:p>
        </w:tc>
        <w:tc>
          <w:tcPr>
            <w:tcW w:w="2552" w:type="dxa"/>
          </w:tcPr>
          <w:p w14:paraId="360EBCB5"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Soft tissue metastasis</w:t>
            </w:r>
          </w:p>
        </w:tc>
      </w:tr>
      <w:tr w:rsidR="002D5A9A" w:rsidRPr="00B81DCF" w14:paraId="23092705"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7E36274D"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A_02</w:t>
            </w:r>
          </w:p>
        </w:tc>
        <w:tc>
          <w:tcPr>
            <w:tcW w:w="973" w:type="dxa"/>
          </w:tcPr>
          <w:p w14:paraId="7E8EAF2D"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42E35B71"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Earlier relapse</w:t>
            </w:r>
          </w:p>
        </w:tc>
        <w:tc>
          <w:tcPr>
            <w:tcW w:w="2552" w:type="dxa"/>
          </w:tcPr>
          <w:p w14:paraId="2737CEE6"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Pulmonary metastasis</w:t>
            </w:r>
          </w:p>
        </w:tc>
      </w:tr>
      <w:tr w:rsidR="002D5A9A" w:rsidRPr="00B81DCF" w14:paraId="076A4AFB"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312AC003"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A_03</w:t>
            </w:r>
          </w:p>
        </w:tc>
        <w:tc>
          <w:tcPr>
            <w:tcW w:w="973" w:type="dxa"/>
          </w:tcPr>
          <w:p w14:paraId="5014FAB8"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4FE3578F"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First diagnosis</w:t>
            </w:r>
          </w:p>
        </w:tc>
        <w:tc>
          <w:tcPr>
            <w:tcW w:w="2552" w:type="dxa"/>
          </w:tcPr>
          <w:p w14:paraId="5FA2E64F"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Pelvic bone tumor</w:t>
            </w:r>
          </w:p>
        </w:tc>
      </w:tr>
      <w:tr w:rsidR="002D5A9A" w:rsidRPr="00B81DCF" w14:paraId="3EC654F9"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13CB3057"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A_04</w:t>
            </w:r>
          </w:p>
        </w:tc>
        <w:tc>
          <w:tcPr>
            <w:tcW w:w="973" w:type="dxa"/>
          </w:tcPr>
          <w:p w14:paraId="750A3313"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BC</w:t>
            </w:r>
          </w:p>
        </w:tc>
        <w:tc>
          <w:tcPr>
            <w:tcW w:w="4948" w:type="dxa"/>
          </w:tcPr>
          <w:p w14:paraId="235645F5"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3FC68AC4"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Skin metastasis</w:t>
            </w:r>
          </w:p>
        </w:tc>
      </w:tr>
      <w:tr w:rsidR="002D5A9A" w:rsidRPr="00B81DCF" w14:paraId="69F926C4"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59B6B124"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A_05</w:t>
            </w:r>
          </w:p>
        </w:tc>
        <w:tc>
          <w:tcPr>
            <w:tcW w:w="973" w:type="dxa"/>
          </w:tcPr>
          <w:p w14:paraId="50B6A65E"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0A193A65"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First diagnosis</w:t>
            </w:r>
          </w:p>
        </w:tc>
        <w:tc>
          <w:tcPr>
            <w:tcW w:w="2552" w:type="dxa"/>
          </w:tcPr>
          <w:p w14:paraId="04E1EACB"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Bone metastasis</w:t>
            </w:r>
          </w:p>
        </w:tc>
      </w:tr>
      <w:tr w:rsidR="002D5A9A" w:rsidRPr="00B81DCF" w14:paraId="68B2E9D9"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16510FD0"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A_06</w:t>
            </w:r>
          </w:p>
        </w:tc>
        <w:tc>
          <w:tcPr>
            <w:tcW w:w="973" w:type="dxa"/>
          </w:tcPr>
          <w:p w14:paraId="3ED8538A"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BC</w:t>
            </w:r>
          </w:p>
        </w:tc>
        <w:tc>
          <w:tcPr>
            <w:tcW w:w="4948" w:type="dxa"/>
          </w:tcPr>
          <w:p w14:paraId="0C0998B9"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Earlier relapse</w:t>
            </w:r>
          </w:p>
        </w:tc>
        <w:tc>
          <w:tcPr>
            <w:tcW w:w="2552" w:type="dxa"/>
          </w:tcPr>
          <w:p w14:paraId="67349E89"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Liver metastasis</w:t>
            </w:r>
          </w:p>
        </w:tc>
      </w:tr>
      <w:tr w:rsidR="002D5A9A" w:rsidRPr="00B81DCF" w14:paraId="1C0AC0AC"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32C2223E"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A_07</w:t>
            </w:r>
          </w:p>
        </w:tc>
        <w:tc>
          <w:tcPr>
            <w:tcW w:w="973" w:type="dxa"/>
          </w:tcPr>
          <w:p w14:paraId="5CA87A64"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466C2E50"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First diagnosis</w:t>
            </w:r>
          </w:p>
        </w:tc>
        <w:tc>
          <w:tcPr>
            <w:tcW w:w="2552" w:type="dxa"/>
          </w:tcPr>
          <w:p w14:paraId="3F3980B0"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Vertebral bone tumor</w:t>
            </w:r>
          </w:p>
        </w:tc>
      </w:tr>
      <w:tr w:rsidR="002D5A9A" w:rsidRPr="00B81DCF" w14:paraId="04BA21A2" w14:textId="77777777" w:rsidTr="009D6DEA">
        <w:tc>
          <w:tcPr>
            <w:cnfStyle w:val="001000000000" w:firstRow="0" w:lastRow="0" w:firstColumn="1" w:lastColumn="0" w:oddVBand="0" w:evenVBand="0" w:oddHBand="0" w:evenHBand="0" w:firstRowFirstColumn="0" w:firstRowLastColumn="0" w:lastRowFirstColumn="0" w:lastRowLastColumn="0"/>
            <w:tcW w:w="883" w:type="dxa"/>
          </w:tcPr>
          <w:p w14:paraId="638E4D11"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A_08</w:t>
            </w:r>
          </w:p>
        </w:tc>
        <w:tc>
          <w:tcPr>
            <w:tcW w:w="973" w:type="dxa"/>
          </w:tcPr>
          <w:p w14:paraId="652F630F"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OS</w:t>
            </w:r>
          </w:p>
        </w:tc>
        <w:tc>
          <w:tcPr>
            <w:tcW w:w="4948" w:type="dxa"/>
          </w:tcPr>
          <w:p w14:paraId="65F82724"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7C02711B" w14:textId="77777777" w:rsidR="002D5A9A" w:rsidRPr="00B81DCF" w:rsidRDefault="002D5A9A" w:rsidP="009D6DE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Lung metastasis</w:t>
            </w:r>
          </w:p>
        </w:tc>
      </w:tr>
      <w:tr w:rsidR="002D5A9A" w:rsidRPr="00B81DCF" w14:paraId="1ACBE18B" w14:textId="77777777" w:rsidTr="009D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tcPr>
          <w:p w14:paraId="73A8EB09" w14:textId="77777777" w:rsidR="002D5A9A" w:rsidRPr="00B81DCF" w:rsidRDefault="002D5A9A" w:rsidP="009D6DEA">
            <w:pPr>
              <w:rPr>
                <w:rFonts w:ascii="Arial" w:hAnsi="Arial" w:cs="Arial"/>
                <w:sz w:val="20"/>
                <w:szCs w:val="20"/>
                <w:lang w:val="en-US"/>
              </w:rPr>
            </w:pPr>
            <w:r w:rsidRPr="00B81DCF">
              <w:rPr>
                <w:rFonts w:ascii="Arial" w:hAnsi="Arial" w:cs="Arial"/>
                <w:sz w:val="20"/>
                <w:szCs w:val="20"/>
                <w:lang w:val="en-US"/>
              </w:rPr>
              <w:t>A_09</w:t>
            </w:r>
          </w:p>
        </w:tc>
        <w:tc>
          <w:tcPr>
            <w:tcW w:w="973" w:type="dxa"/>
          </w:tcPr>
          <w:p w14:paraId="324DB866"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EwS</w:t>
            </w:r>
          </w:p>
        </w:tc>
        <w:tc>
          <w:tcPr>
            <w:tcW w:w="4948" w:type="dxa"/>
          </w:tcPr>
          <w:p w14:paraId="6AA7EBE8"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Most recent relapse</w:t>
            </w:r>
          </w:p>
        </w:tc>
        <w:tc>
          <w:tcPr>
            <w:tcW w:w="2552" w:type="dxa"/>
          </w:tcPr>
          <w:p w14:paraId="47120EBA" w14:textId="77777777" w:rsidR="002D5A9A" w:rsidRPr="00B81DCF" w:rsidRDefault="002D5A9A" w:rsidP="009D6DE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81DCF">
              <w:rPr>
                <w:rFonts w:ascii="Arial" w:hAnsi="Arial" w:cs="Arial"/>
                <w:sz w:val="20"/>
                <w:szCs w:val="20"/>
                <w:lang w:val="en-US"/>
              </w:rPr>
              <w:t>Pulmonary metastasis</w:t>
            </w:r>
          </w:p>
        </w:tc>
      </w:tr>
    </w:tbl>
    <w:p w14:paraId="1A986186" w14:textId="77777777" w:rsidR="002D5A9A" w:rsidRPr="00B81DCF" w:rsidRDefault="002D5A9A" w:rsidP="002D5A9A">
      <w:pPr>
        <w:snapToGrid w:val="0"/>
        <w:spacing w:before="120" w:line="360" w:lineRule="auto"/>
        <w:jc w:val="both"/>
        <w:rPr>
          <w:rFonts w:ascii="Arial" w:hAnsi="Arial" w:cs="Arial"/>
          <w:sz w:val="18"/>
          <w:szCs w:val="18"/>
          <w:lang w:val="en-US"/>
        </w:rPr>
      </w:pPr>
      <w:r w:rsidRPr="00B81DCF">
        <w:rPr>
          <w:rFonts w:ascii="Arial" w:hAnsi="Arial" w:cs="Arial"/>
          <w:sz w:val="18"/>
          <w:szCs w:val="18"/>
          <w:lang w:val="en-US"/>
        </w:rPr>
        <w:t>NBL, neuroblastoma; EwS, Ewing sarcoma; OS, osteosarcoma; BC, breast cancer.</w:t>
      </w:r>
    </w:p>
    <w:p w14:paraId="62E204DB" w14:textId="77777777" w:rsidR="002D5A9A" w:rsidRPr="00B81DCF" w:rsidRDefault="002D5A9A" w:rsidP="002D5A9A">
      <w:pPr>
        <w:snapToGrid w:val="0"/>
        <w:spacing w:before="120" w:line="360" w:lineRule="auto"/>
        <w:jc w:val="both"/>
        <w:rPr>
          <w:rFonts w:ascii="Arial" w:hAnsi="Arial" w:cs="Arial"/>
          <w:sz w:val="18"/>
          <w:szCs w:val="18"/>
          <w:lang w:val="en-US"/>
        </w:rPr>
      </w:pPr>
    </w:p>
    <w:p w14:paraId="13E121B9" w14:textId="77777777" w:rsidR="002D5A9A" w:rsidRDefault="002D5A9A" w:rsidP="002D5A9A">
      <w:pPr>
        <w:rPr>
          <w:rFonts w:ascii="Arial" w:hAnsi="Arial" w:cs="Arial"/>
          <w:b/>
          <w:bCs/>
          <w:sz w:val="22"/>
          <w:szCs w:val="22"/>
          <w:lang w:val="en-US"/>
        </w:rPr>
      </w:pPr>
      <w:r>
        <w:rPr>
          <w:rFonts w:ascii="Arial" w:hAnsi="Arial" w:cs="Arial"/>
          <w:b/>
          <w:bCs/>
          <w:sz w:val="22"/>
          <w:szCs w:val="22"/>
          <w:lang w:val="en-US"/>
        </w:rPr>
        <w:br w:type="page"/>
      </w:r>
    </w:p>
    <w:p w14:paraId="3ED779B8" w14:textId="77777777" w:rsidR="002D5A9A" w:rsidRPr="00B81DCF" w:rsidRDefault="002D5A9A" w:rsidP="002D5A9A">
      <w:pPr>
        <w:snapToGrid w:val="0"/>
        <w:spacing w:line="360" w:lineRule="auto"/>
        <w:jc w:val="both"/>
        <w:rPr>
          <w:rFonts w:ascii="Arial" w:hAnsi="Arial" w:cs="Arial"/>
          <w:b/>
          <w:bCs/>
          <w:sz w:val="22"/>
          <w:szCs w:val="22"/>
          <w:lang w:val="en-US"/>
        </w:rPr>
      </w:pPr>
      <w:r w:rsidRPr="00B81DCF">
        <w:rPr>
          <w:rFonts w:ascii="Arial" w:hAnsi="Arial" w:cs="Arial"/>
          <w:b/>
          <w:bCs/>
          <w:sz w:val="22"/>
          <w:szCs w:val="22"/>
          <w:lang w:val="en-US"/>
        </w:rPr>
        <w:lastRenderedPageBreak/>
        <w:t>Extended Data Figure 2. Product characteristics</w:t>
      </w:r>
    </w:p>
    <w:p w14:paraId="6B655491" w14:textId="77777777" w:rsidR="002D5A9A" w:rsidRPr="00B81DCF" w:rsidRDefault="002D5A9A" w:rsidP="002D5A9A">
      <w:pPr>
        <w:snapToGrid w:val="0"/>
        <w:spacing w:line="360" w:lineRule="auto"/>
        <w:jc w:val="both"/>
        <w:rPr>
          <w:rFonts w:ascii="Arial" w:hAnsi="Arial" w:cs="Arial"/>
          <w:color w:val="000000" w:themeColor="text1"/>
          <w:sz w:val="22"/>
          <w:szCs w:val="22"/>
          <w:lang w:val="en-US"/>
        </w:rPr>
      </w:pPr>
      <w:r w:rsidRPr="00B81DCF">
        <w:rPr>
          <w:rFonts w:ascii="Arial" w:eastAsia="Arial" w:hAnsi="Arial" w:cs="Arial"/>
          <w:b/>
          <w:bCs/>
          <w:color w:val="000000" w:themeColor="text1"/>
          <w:sz w:val="22"/>
          <w:szCs w:val="22"/>
          <w:lang w:val="en-US"/>
        </w:rPr>
        <w:t>(A,</w:t>
      </w:r>
      <w:r>
        <w:rPr>
          <w:rFonts w:ascii="Arial" w:eastAsia="Arial" w:hAnsi="Arial" w:cs="Arial"/>
          <w:b/>
          <w:bCs/>
          <w:color w:val="000000" w:themeColor="text1"/>
          <w:sz w:val="22"/>
          <w:szCs w:val="22"/>
          <w:lang w:val="en-US"/>
        </w:rPr>
        <w:t xml:space="preserve"> </w:t>
      </w:r>
      <w:r w:rsidRPr="00B81DCF">
        <w:rPr>
          <w:rFonts w:ascii="Arial" w:eastAsia="Arial" w:hAnsi="Arial" w:cs="Arial"/>
          <w:b/>
          <w:bCs/>
          <w:color w:val="000000" w:themeColor="text1"/>
          <w:sz w:val="22"/>
          <w:szCs w:val="22"/>
          <w:lang w:val="en-US"/>
        </w:rPr>
        <w:t>B)</w:t>
      </w:r>
      <w:r w:rsidRPr="00B81DCF">
        <w:rPr>
          <w:rFonts w:ascii="Arial" w:eastAsia="Arial" w:hAnsi="Arial" w:cs="Arial"/>
          <w:color w:val="000000" w:themeColor="text1"/>
          <w:sz w:val="22"/>
          <w:szCs w:val="22"/>
          <w:lang w:val="en-US"/>
        </w:rPr>
        <w:t xml:space="preserve"> Cellular composition of the apheresis products </w:t>
      </w:r>
      <w:r w:rsidRPr="00B81DCF">
        <w:rPr>
          <w:rFonts w:ascii="Arial" w:eastAsia="Arial" w:hAnsi="Arial" w:cs="Arial"/>
          <w:b/>
          <w:bCs/>
          <w:color w:val="000000" w:themeColor="text1"/>
          <w:sz w:val="22"/>
          <w:szCs w:val="22"/>
          <w:lang w:val="en-US"/>
        </w:rPr>
        <w:t>(A)</w:t>
      </w:r>
      <w:r w:rsidRPr="00B81DCF">
        <w:rPr>
          <w:rFonts w:ascii="Arial" w:eastAsia="Arial" w:hAnsi="Arial" w:cs="Arial"/>
          <w:color w:val="000000" w:themeColor="text1"/>
          <w:sz w:val="22"/>
          <w:szCs w:val="22"/>
          <w:lang w:val="en-US"/>
        </w:rPr>
        <w:t xml:space="preserve"> and GD2IL18CART products </w:t>
      </w:r>
      <w:r w:rsidRPr="00B81DCF">
        <w:rPr>
          <w:rFonts w:ascii="Arial" w:eastAsia="Arial" w:hAnsi="Arial" w:cs="Arial"/>
          <w:b/>
          <w:bCs/>
          <w:color w:val="000000" w:themeColor="text1"/>
          <w:sz w:val="22"/>
          <w:szCs w:val="22"/>
          <w:lang w:val="en-US"/>
        </w:rPr>
        <w:t>(B)</w:t>
      </w:r>
      <w:r w:rsidRPr="00B81DCF">
        <w:rPr>
          <w:rFonts w:ascii="Arial" w:eastAsia="Arial" w:hAnsi="Arial" w:cs="Arial"/>
          <w:color w:val="000000" w:themeColor="text1"/>
          <w:sz w:val="22"/>
          <w:szCs w:val="22"/>
          <w:lang w:val="en-US"/>
        </w:rPr>
        <w:t xml:space="preserve"> determined by immunophenotyping for all patients. Cell populations include neutrophils</w:t>
      </w:r>
      <w:r>
        <w:rPr>
          <w:rFonts w:ascii="Arial" w:eastAsia="Arial" w:hAnsi="Arial" w:cs="Arial"/>
          <w:color w:val="000000" w:themeColor="text1"/>
          <w:sz w:val="22"/>
          <w:szCs w:val="22"/>
          <w:lang w:val="en-US"/>
        </w:rPr>
        <w:t xml:space="preserve"> (NEU, </w:t>
      </w:r>
      <w:r w:rsidRPr="00B81DCF">
        <w:rPr>
          <w:rFonts w:ascii="Arial" w:hAnsi="Arial" w:cs="Arial"/>
          <w:color w:val="000000" w:themeColor="text1"/>
          <w:sz w:val="22"/>
          <w:szCs w:val="22"/>
          <w:lang w:val="en-US"/>
        </w:rPr>
        <w:t>CD3-CD14-CD19-CD56+CD16+SSC</w:t>
      </w:r>
      <w:r w:rsidRPr="00B81DCF">
        <w:rPr>
          <w:rFonts w:ascii="Arial" w:hAnsi="Arial" w:cs="Arial"/>
          <w:color w:val="000000" w:themeColor="text1"/>
          <w:sz w:val="22"/>
          <w:szCs w:val="22"/>
          <w:vertAlign w:val="superscript"/>
          <w:lang w:val="en-US"/>
        </w:rPr>
        <w:t>high</w:t>
      </w:r>
      <w:r w:rsidRPr="00B81DCF">
        <w:rPr>
          <w:rFonts w:ascii="Arial" w:hAnsi="Arial" w:cs="Arial"/>
          <w:color w:val="000000" w:themeColor="text1"/>
          <w:sz w:val="22"/>
          <w:szCs w:val="22"/>
          <w:lang w:val="en-US"/>
        </w:rPr>
        <w:t>), eosinophils</w:t>
      </w:r>
      <w:r>
        <w:rPr>
          <w:rFonts w:ascii="Arial" w:hAnsi="Arial" w:cs="Arial"/>
          <w:color w:val="000000" w:themeColor="text1"/>
          <w:sz w:val="22"/>
          <w:szCs w:val="22"/>
          <w:lang w:val="en-US"/>
        </w:rPr>
        <w:t xml:space="preserve"> (EOS, </w:t>
      </w:r>
      <w:r w:rsidRPr="00B81DCF">
        <w:rPr>
          <w:rFonts w:ascii="Arial" w:hAnsi="Arial" w:cs="Arial"/>
          <w:color w:val="000000" w:themeColor="text1"/>
          <w:sz w:val="22"/>
          <w:szCs w:val="22"/>
          <w:lang w:val="en-US"/>
        </w:rPr>
        <w:t>CD3-CD14-CD19-CD56-CD16-SSC</w:t>
      </w:r>
      <w:r w:rsidRPr="00B81DCF">
        <w:rPr>
          <w:rFonts w:ascii="Arial" w:hAnsi="Arial" w:cs="Arial"/>
          <w:color w:val="000000" w:themeColor="text1"/>
          <w:sz w:val="22"/>
          <w:szCs w:val="22"/>
          <w:vertAlign w:val="superscript"/>
          <w:lang w:val="en-US"/>
        </w:rPr>
        <w:t>high</w:t>
      </w:r>
      <w:r w:rsidRPr="00B81DCF">
        <w:rPr>
          <w:rFonts w:ascii="Arial" w:hAnsi="Arial" w:cs="Arial"/>
          <w:color w:val="000000" w:themeColor="text1"/>
          <w:sz w:val="22"/>
          <w:szCs w:val="22"/>
          <w:lang w:val="en-US"/>
        </w:rPr>
        <w:t>); monocytes</w:t>
      </w:r>
      <w:r>
        <w:rPr>
          <w:rFonts w:ascii="Arial" w:hAnsi="Arial" w:cs="Arial"/>
          <w:color w:val="000000" w:themeColor="text1"/>
          <w:sz w:val="22"/>
          <w:szCs w:val="22"/>
          <w:lang w:val="en-US"/>
        </w:rPr>
        <w:t xml:space="preserve"> (MO, </w:t>
      </w:r>
      <w:r w:rsidRPr="00B81DCF">
        <w:rPr>
          <w:rFonts w:ascii="Arial" w:hAnsi="Arial" w:cs="Arial"/>
          <w:color w:val="000000" w:themeColor="text1"/>
          <w:sz w:val="22"/>
          <w:szCs w:val="22"/>
          <w:lang w:val="en-US"/>
        </w:rPr>
        <w:t>CD3-CD14+), B cells</w:t>
      </w:r>
      <w:r>
        <w:rPr>
          <w:rFonts w:ascii="Arial" w:hAnsi="Arial" w:cs="Arial"/>
          <w:color w:val="000000" w:themeColor="text1"/>
          <w:sz w:val="22"/>
          <w:szCs w:val="22"/>
          <w:lang w:val="en-US"/>
        </w:rPr>
        <w:t xml:space="preserve"> (BC, </w:t>
      </w:r>
      <w:r w:rsidRPr="00B81DCF">
        <w:rPr>
          <w:rFonts w:ascii="Arial" w:hAnsi="Arial" w:cs="Arial"/>
          <w:color w:val="000000" w:themeColor="text1"/>
          <w:sz w:val="22"/>
          <w:szCs w:val="22"/>
          <w:lang w:val="en-US"/>
        </w:rPr>
        <w:t>CD3-CD19+), natural killer (NK) cells (CD3-CD14-CD19-CD56+CD16+SSC</w:t>
      </w:r>
      <w:r w:rsidRPr="00B81DCF">
        <w:rPr>
          <w:rFonts w:ascii="Arial" w:hAnsi="Arial" w:cs="Arial"/>
          <w:color w:val="000000" w:themeColor="text1"/>
          <w:sz w:val="22"/>
          <w:szCs w:val="22"/>
          <w:vertAlign w:val="superscript"/>
          <w:lang w:val="en-US"/>
        </w:rPr>
        <w:t>low</w:t>
      </w:r>
      <w:r w:rsidRPr="00B81DCF">
        <w:rPr>
          <w:rFonts w:ascii="Arial" w:hAnsi="Arial" w:cs="Arial"/>
          <w:color w:val="000000" w:themeColor="text1"/>
          <w:sz w:val="22"/>
          <w:szCs w:val="22"/>
          <w:lang w:val="en-US"/>
        </w:rPr>
        <w:t>), natural killer T cells (NKT, CD3+CD56+CD16+), CD8+ T cells (CD3+CD56-CD16-CD4-CD8+), CD4+ T cells (CD3+CD56-CD16-CD4+CD8-) and double positive</w:t>
      </w:r>
      <w:r>
        <w:rPr>
          <w:rFonts w:ascii="Arial" w:hAnsi="Arial" w:cs="Arial"/>
          <w:color w:val="000000" w:themeColor="text1"/>
          <w:sz w:val="22"/>
          <w:szCs w:val="22"/>
          <w:lang w:val="en-US"/>
        </w:rPr>
        <w:t xml:space="preserve"> (DP, </w:t>
      </w:r>
      <w:r w:rsidRPr="00B81DCF">
        <w:rPr>
          <w:rFonts w:ascii="Arial" w:hAnsi="Arial" w:cs="Arial"/>
          <w:color w:val="000000" w:themeColor="text1"/>
          <w:sz w:val="22"/>
          <w:szCs w:val="22"/>
          <w:lang w:val="en-US"/>
        </w:rPr>
        <w:t>CD4+/CD8+) T cells. (</w:t>
      </w:r>
      <w:r w:rsidRPr="00B81DCF">
        <w:rPr>
          <w:rFonts w:ascii="Arial" w:hAnsi="Arial" w:cs="Arial"/>
          <w:b/>
          <w:color w:val="000000" w:themeColor="text1"/>
          <w:sz w:val="22"/>
          <w:szCs w:val="22"/>
          <w:lang w:val="en-US"/>
        </w:rPr>
        <w:t xml:space="preserve">C) </w:t>
      </w:r>
      <w:r w:rsidRPr="00B81DCF">
        <w:rPr>
          <w:rFonts w:ascii="Arial" w:hAnsi="Arial" w:cs="Arial"/>
          <w:color w:val="000000" w:themeColor="text1"/>
          <w:sz w:val="22"/>
          <w:szCs w:val="22"/>
          <w:lang w:val="en-US"/>
        </w:rPr>
        <w:t>Release parameters of final GD2IL18CART products for all patients.</w:t>
      </w:r>
    </w:p>
    <w:p w14:paraId="296A3EE1" w14:textId="77777777" w:rsidR="002D5A9A" w:rsidRPr="00B81DCF" w:rsidRDefault="002D5A9A" w:rsidP="002D5A9A">
      <w:pPr>
        <w:snapToGrid w:val="0"/>
        <w:spacing w:line="360" w:lineRule="auto"/>
        <w:jc w:val="both"/>
        <w:rPr>
          <w:rFonts w:ascii="Arial" w:hAnsi="Arial" w:cs="Arial"/>
          <w:sz w:val="22"/>
          <w:szCs w:val="22"/>
          <w:lang w:val="en-US"/>
        </w:rPr>
      </w:pPr>
    </w:p>
    <w:p w14:paraId="6BFB0F7C" w14:textId="77777777" w:rsidR="002D5A9A" w:rsidRPr="00B81DCF" w:rsidRDefault="002D5A9A" w:rsidP="002D5A9A">
      <w:pPr>
        <w:spacing w:line="360" w:lineRule="auto"/>
        <w:jc w:val="both"/>
        <w:rPr>
          <w:rFonts w:ascii="Arial" w:hAnsi="Arial" w:cs="Arial"/>
          <w:b/>
          <w:bCs/>
          <w:sz w:val="22"/>
          <w:szCs w:val="22"/>
          <w:lang w:val="en-US"/>
        </w:rPr>
      </w:pPr>
      <w:r w:rsidRPr="00B81DCF">
        <w:rPr>
          <w:rFonts w:ascii="Arial" w:hAnsi="Arial" w:cs="Arial"/>
          <w:b/>
          <w:bCs/>
          <w:sz w:val="22"/>
          <w:szCs w:val="22"/>
          <w:lang w:val="en-US"/>
        </w:rPr>
        <w:t xml:space="preserve">Extended Data Figure 3. Clinical course, inflammatory toxicities and management after GD2IL18CART infusion. </w:t>
      </w:r>
    </w:p>
    <w:p w14:paraId="198DE868" w14:textId="77777777" w:rsidR="002D5A9A" w:rsidRPr="00B81DCF" w:rsidRDefault="002D5A9A" w:rsidP="002D5A9A">
      <w:pPr>
        <w:spacing w:line="360" w:lineRule="auto"/>
        <w:jc w:val="both"/>
        <w:rPr>
          <w:rFonts w:ascii="Arial" w:hAnsi="Arial" w:cs="Arial"/>
          <w:sz w:val="22"/>
          <w:szCs w:val="22"/>
          <w:lang w:val="en-US"/>
        </w:rPr>
      </w:pPr>
      <w:r w:rsidRPr="00B81DCF">
        <w:rPr>
          <w:rFonts w:ascii="Arial" w:hAnsi="Arial" w:cs="Arial"/>
          <w:sz w:val="22"/>
          <w:szCs w:val="22"/>
          <w:lang w:val="en-US"/>
        </w:rPr>
        <w:t>Clinical courses, key laboratory parameters, inflammatory toxicities and anti-inflammatory interventions from GD2IL18CART infusion (day 0) through day 28 are shown for all patients</w:t>
      </w:r>
      <w:r>
        <w:rPr>
          <w:rFonts w:ascii="Arial" w:hAnsi="Arial" w:cs="Arial"/>
          <w:sz w:val="22"/>
          <w:szCs w:val="22"/>
          <w:lang w:val="en-US"/>
        </w:rPr>
        <w:t xml:space="preserve">, </w:t>
      </w:r>
      <w:r w:rsidRPr="00383FB1">
        <w:rPr>
          <w:rFonts w:ascii="Arial" w:hAnsi="Arial" w:cs="Arial"/>
          <w:b/>
          <w:bCs/>
          <w:sz w:val="22"/>
          <w:szCs w:val="22"/>
          <w:lang w:val="en-US"/>
        </w:rPr>
        <w:t>(A)</w:t>
      </w:r>
      <w:r w:rsidRPr="00C46B02">
        <w:rPr>
          <w:rFonts w:ascii="Arial" w:hAnsi="Arial" w:cs="Arial"/>
          <w:sz w:val="22"/>
          <w:szCs w:val="22"/>
          <w:lang w:val="en-US"/>
        </w:rPr>
        <w:t xml:space="preserve"> pediatric patients treated at DL1</w:t>
      </w:r>
      <w:r>
        <w:rPr>
          <w:rFonts w:ascii="Arial" w:hAnsi="Arial" w:cs="Arial"/>
          <w:sz w:val="22"/>
          <w:szCs w:val="22"/>
          <w:lang w:val="en-US"/>
        </w:rPr>
        <w:t xml:space="preserve"> (1 x 10</w:t>
      </w:r>
      <w:r w:rsidRPr="00DD43A7">
        <w:rPr>
          <w:rFonts w:ascii="Arial" w:hAnsi="Arial" w:cs="Arial"/>
          <w:sz w:val="22"/>
          <w:szCs w:val="22"/>
          <w:vertAlign w:val="superscript"/>
          <w:lang w:val="en-US"/>
        </w:rPr>
        <w:t>5</w:t>
      </w:r>
      <w:r>
        <w:rPr>
          <w:rFonts w:ascii="Arial" w:hAnsi="Arial" w:cs="Arial"/>
          <w:sz w:val="22"/>
          <w:szCs w:val="22"/>
          <w:lang w:val="en-US"/>
        </w:rPr>
        <w:t xml:space="preserve"> CAR+ T cells/kg). </w:t>
      </w:r>
      <w:r w:rsidRPr="00383FB1">
        <w:rPr>
          <w:rFonts w:ascii="Arial" w:hAnsi="Arial" w:cs="Arial"/>
          <w:b/>
          <w:bCs/>
          <w:sz w:val="22"/>
          <w:szCs w:val="22"/>
          <w:lang w:val="en-US"/>
        </w:rPr>
        <w:t>(B)</w:t>
      </w:r>
      <w:r w:rsidRPr="00C46B02">
        <w:rPr>
          <w:rFonts w:ascii="Arial" w:hAnsi="Arial" w:cs="Arial"/>
          <w:sz w:val="22"/>
          <w:szCs w:val="22"/>
          <w:lang w:val="en-US"/>
        </w:rPr>
        <w:t xml:space="preserve"> </w:t>
      </w:r>
      <w:r>
        <w:rPr>
          <w:rFonts w:ascii="Arial" w:hAnsi="Arial" w:cs="Arial"/>
          <w:sz w:val="22"/>
          <w:szCs w:val="22"/>
          <w:lang w:val="en-US"/>
        </w:rPr>
        <w:t xml:space="preserve">Pediatric patients treated at </w:t>
      </w:r>
      <w:r w:rsidRPr="00C46B02">
        <w:rPr>
          <w:rFonts w:ascii="Arial" w:hAnsi="Arial" w:cs="Arial"/>
          <w:sz w:val="22"/>
          <w:szCs w:val="22"/>
          <w:lang w:val="en-US"/>
        </w:rPr>
        <w:t>DL1.25</w:t>
      </w:r>
      <w:r>
        <w:rPr>
          <w:rFonts w:ascii="Arial" w:hAnsi="Arial" w:cs="Arial"/>
          <w:sz w:val="22"/>
          <w:szCs w:val="22"/>
          <w:lang w:val="en-US"/>
        </w:rPr>
        <w:t xml:space="preserve"> (2 x 10</w:t>
      </w:r>
      <w:r w:rsidRPr="00DD43A7">
        <w:rPr>
          <w:rFonts w:ascii="Arial" w:hAnsi="Arial" w:cs="Arial"/>
          <w:sz w:val="22"/>
          <w:szCs w:val="22"/>
          <w:vertAlign w:val="superscript"/>
          <w:lang w:val="en-US"/>
        </w:rPr>
        <w:t>5</w:t>
      </w:r>
      <w:r>
        <w:rPr>
          <w:rFonts w:ascii="Arial" w:hAnsi="Arial" w:cs="Arial"/>
          <w:sz w:val="22"/>
          <w:szCs w:val="22"/>
          <w:lang w:val="en-US"/>
        </w:rPr>
        <w:t xml:space="preserve"> CAR+ T cells/kg). </w:t>
      </w:r>
      <w:r w:rsidRPr="00383FB1">
        <w:rPr>
          <w:rFonts w:ascii="Arial" w:hAnsi="Arial" w:cs="Arial"/>
          <w:b/>
          <w:bCs/>
          <w:sz w:val="22"/>
          <w:szCs w:val="22"/>
          <w:lang w:val="en-US"/>
        </w:rPr>
        <w:t>(C)</w:t>
      </w:r>
      <w:r>
        <w:rPr>
          <w:rFonts w:ascii="Arial" w:hAnsi="Arial" w:cs="Arial"/>
          <w:sz w:val="22"/>
          <w:szCs w:val="22"/>
          <w:lang w:val="en-US"/>
        </w:rPr>
        <w:t xml:space="preserve"> Single pediatric patient treated at </w:t>
      </w:r>
      <w:r w:rsidRPr="00C46B02">
        <w:rPr>
          <w:rFonts w:ascii="Arial" w:hAnsi="Arial" w:cs="Arial"/>
          <w:sz w:val="22"/>
          <w:szCs w:val="22"/>
          <w:lang w:val="en-US"/>
        </w:rPr>
        <w:t>DL2</w:t>
      </w:r>
      <w:r>
        <w:rPr>
          <w:rFonts w:ascii="Arial" w:hAnsi="Arial" w:cs="Arial"/>
          <w:sz w:val="22"/>
          <w:szCs w:val="22"/>
          <w:lang w:val="en-US"/>
        </w:rPr>
        <w:t xml:space="preserve"> (5 x 10</w:t>
      </w:r>
      <w:r w:rsidRPr="00DD43A7">
        <w:rPr>
          <w:rFonts w:ascii="Arial" w:hAnsi="Arial" w:cs="Arial"/>
          <w:sz w:val="22"/>
          <w:szCs w:val="22"/>
          <w:vertAlign w:val="superscript"/>
          <w:lang w:val="en-US"/>
        </w:rPr>
        <w:t>5</w:t>
      </w:r>
      <w:r>
        <w:rPr>
          <w:rFonts w:ascii="Arial" w:hAnsi="Arial" w:cs="Arial"/>
          <w:sz w:val="22"/>
          <w:szCs w:val="22"/>
          <w:lang w:val="en-US"/>
        </w:rPr>
        <w:t xml:space="preserve"> CAR+ T cells/kg).</w:t>
      </w:r>
      <w:r w:rsidRPr="00C46B02">
        <w:rPr>
          <w:rFonts w:ascii="Arial" w:hAnsi="Arial" w:cs="Arial"/>
          <w:sz w:val="22"/>
          <w:szCs w:val="22"/>
          <w:lang w:val="en-US"/>
        </w:rPr>
        <w:t xml:space="preserve"> </w:t>
      </w:r>
      <w:r w:rsidRPr="00383FB1">
        <w:rPr>
          <w:rFonts w:ascii="Arial" w:hAnsi="Arial" w:cs="Arial"/>
          <w:b/>
          <w:bCs/>
          <w:sz w:val="22"/>
          <w:szCs w:val="22"/>
          <w:lang w:val="en-US"/>
        </w:rPr>
        <w:t>(D)</w:t>
      </w:r>
      <w:r w:rsidRPr="00C46B02">
        <w:rPr>
          <w:rFonts w:ascii="Arial" w:hAnsi="Arial" w:cs="Arial"/>
          <w:sz w:val="22"/>
          <w:szCs w:val="22"/>
          <w:lang w:val="en-US"/>
        </w:rPr>
        <w:t xml:space="preserve"> </w:t>
      </w:r>
      <w:r>
        <w:rPr>
          <w:rFonts w:ascii="Arial" w:hAnsi="Arial" w:cs="Arial"/>
          <w:sz w:val="22"/>
          <w:szCs w:val="22"/>
          <w:lang w:val="en-US"/>
        </w:rPr>
        <w:t>A</w:t>
      </w:r>
      <w:r w:rsidRPr="00C46B02">
        <w:rPr>
          <w:rFonts w:ascii="Arial" w:hAnsi="Arial" w:cs="Arial"/>
          <w:sz w:val="22"/>
          <w:szCs w:val="22"/>
          <w:lang w:val="en-US"/>
        </w:rPr>
        <w:t xml:space="preserve">dult patients </w:t>
      </w:r>
      <w:r>
        <w:rPr>
          <w:rFonts w:ascii="Arial" w:hAnsi="Arial" w:cs="Arial"/>
          <w:sz w:val="22"/>
          <w:szCs w:val="22"/>
          <w:lang w:val="en-US"/>
        </w:rPr>
        <w:t xml:space="preserve">treated at </w:t>
      </w:r>
      <w:r w:rsidRPr="00C46B02">
        <w:rPr>
          <w:rFonts w:ascii="Arial" w:hAnsi="Arial" w:cs="Arial"/>
          <w:sz w:val="22"/>
          <w:szCs w:val="22"/>
          <w:lang w:val="en-US"/>
        </w:rPr>
        <w:t>DL1</w:t>
      </w:r>
      <w:r w:rsidRPr="00B81DCF">
        <w:rPr>
          <w:rFonts w:ascii="Arial" w:hAnsi="Arial" w:cs="Arial"/>
          <w:sz w:val="22"/>
          <w:szCs w:val="22"/>
          <w:lang w:val="en-US"/>
        </w:rPr>
        <w:t>. Maximum toxicity grades are indicated. Individual patients with notable clinical events are described below.</w:t>
      </w:r>
    </w:p>
    <w:p w14:paraId="7419A808" w14:textId="77777777" w:rsidR="002D5A9A" w:rsidRPr="00B81DCF" w:rsidRDefault="002D5A9A" w:rsidP="002D5A9A">
      <w:pPr>
        <w:spacing w:line="360" w:lineRule="auto"/>
        <w:jc w:val="both"/>
        <w:rPr>
          <w:rFonts w:ascii="Arial" w:hAnsi="Arial" w:cs="Arial"/>
          <w:sz w:val="22"/>
          <w:szCs w:val="22"/>
          <w:lang w:val="en-US"/>
        </w:rPr>
      </w:pPr>
      <w:r w:rsidRPr="00B81DCF">
        <w:rPr>
          <w:rFonts w:ascii="Arial" w:hAnsi="Arial" w:cs="Arial"/>
          <w:b/>
          <w:bCs/>
          <w:sz w:val="22"/>
          <w:szCs w:val="22"/>
          <w:lang w:val="en-US"/>
        </w:rPr>
        <w:t>P_03:</w:t>
      </w:r>
      <w:r w:rsidRPr="00B81DCF">
        <w:rPr>
          <w:rFonts w:ascii="Arial" w:hAnsi="Arial" w:cs="Arial"/>
          <w:sz w:val="22"/>
          <w:szCs w:val="22"/>
          <w:lang w:val="en-US"/>
        </w:rPr>
        <w:t xml:space="preserve"> In this patient with neuroblastoma, a large soft tissue mass in the right humerus rapidly progressed with associated pain from day 24 after GD2IL18CART infusion, despite continued detection of CAR T cells in peripheral blood. Local radiotherapy was administered to a total dose of 36 Gy. The patient died from progressive disease on day 78.</w:t>
      </w:r>
    </w:p>
    <w:p w14:paraId="17503B56" w14:textId="77777777" w:rsidR="002D5A9A" w:rsidRPr="00B81DCF" w:rsidRDefault="002D5A9A" w:rsidP="002D5A9A">
      <w:pPr>
        <w:spacing w:line="360" w:lineRule="auto"/>
        <w:jc w:val="both"/>
        <w:rPr>
          <w:rFonts w:ascii="Arial" w:hAnsi="Arial" w:cs="Arial"/>
          <w:color w:val="000000" w:themeColor="text1"/>
          <w:sz w:val="22"/>
          <w:szCs w:val="22"/>
          <w:lang w:val="en-US"/>
        </w:rPr>
      </w:pPr>
      <w:r w:rsidRPr="00B81DCF">
        <w:rPr>
          <w:rFonts w:ascii="Arial" w:hAnsi="Arial" w:cs="Arial"/>
          <w:b/>
          <w:bCs/>
          <w:sz w:val="22"/>
          <w:szCs w:val="22"/>
          <w:lang w:val="en-US"/>
        </w:rPr>
        <w:t>P_04:</w:t>
      </w:r>
      <w:r w:rsidRPr="00B81DCF">
        <w:rPr>
          <w:rFonts w:ascii="Arial" w:hAnsi="Arial" w:cs="Arial"/>
          <w:sz w:val="22"/>
          <w:szCs w:val="22"/>
          <w:lang w:val="en-US"/>
        </w:rPr>
        <w:t xml:space="preserve"> The single patient treated at this dose was an 8-year-old boy with chemotherapy-refractory, progressive multifocal soft tissue and bone relapse of Ewing sarcoma, including a skull metastasis with extradural contact to the medial temporal lobe. Following fever on day 1 (grade 1 CRS) and a second grade 1 CRS episode on day 8, IEC-HS emerged and progressed despite treatment with tocilizumab, anakinra, corticosteroids and ruxolitinib. </w:t>
      </w:r>
      <w:r w:rsidRPr="00AE5CE7">
        <w:rPr>
          <w:rFonts w:ascii="Arial" w:hAnsi="Arial" w:cs="Arial"/>
          <w:color w:val="000000" w:themeColor="text1"/>
          <w:sz w:val="22"/>
          <w:szCs w:val="22"/>
          <w:lang w:val="en-US"/>
        </w:rPr>
        <w:t xml:space="preserve">Emapalumabwas not available for off-label use in Germany. </w:t>
      </w:r>
      <w:r w:rsidRPr="00B81DCF">
        <w:rPr>
          <w:rFonts w:ascii="Arial" w:hAnsi="Arial" w:cs="Arial"/>
          <w:sz w:val="22"/>
          <w:szCs w:val="22"/>
          <w:lang w:val="en-US"/>
        </w:rPr>
        <w:t>Until day 16, the patient remained fully responsive and clinically active without neurological symptoms. On day 17, he developed a seizure. Brain imaging showed focal brainstem edema, followed by dysphagia requiring ICU transfer and intubation (ICANS grade 4). Etoposide (50 mg/m</w:t>
      </w:r>
      <w:r w:rsidRPr="00B81DCF">
        <w:rPr>
          <w:rFonts w:ascii="Arial" w:hAnsi="Arial" w:cs="Arial"/>
          <w:sz w:val="22"/>
          <w:szCs w:val="22"/>
          <w:vertAlign w:val="superscript"/>
          <w:lang w:val="en-US"/>
        </w:rPr>
        <w:t>2</w:t>
      </w:r>
      <w:r w:rsidRPr="00B81DCF">
        <w:rPr>
          <w:rFonts w:ascii="Arial" w:hAnsi="Arial" w:cs="Arial"/>
          <w:sz w:val="22"/>
          <w:szCs w:val="22"/>
          <w:lang w:val="en-US"/>
        </w:rPr>
        <w:t xml:space="preserve">) was administered as third-line anti-inflammatory therapy. Two days later, the patient became unresponsive and remained comatose. Although follow-up MRI scans showed gradual resolution of brainstem edema without parenchymal damage, irreversible brain injury was documented on the final MRI performed on day 37, and the patient died on day 38. Because direct dural involvement by the skull metastasis could not be excluded as a contributing factor to neurological </w:t>
      </w:r>
      <w:r w:rsidRPr="00B81DCF">
        <w:rPr>
          <w:rFonts w:ascii="Arial" w:hAnsi="Arial" w:cs="Arial"/>
          <w:sz w:val="22"/>
          <w:szCs w:val="22"/>
          <w:lang w:val="en-US"/>
        </w:rPr>
        <w:lastRenderedPageBreak/>
        <w:t xml:space="preserve">hyperinflammatory manifestations, the protocol was amended to exclude patients with metastases in direct contact with the dura. </w:t>
      </w:r>
    </w:p>
    <w:p w14:paraId="7C01129A" w14:textId="77777777" w:rsidR="002D5A9A" w:rsidRPr="00B81DCF" w:rsidRDefault="002D5A9A" w:rsidP="002D5A9A">
      <w:pPr>
        <w:spacing w:line="360" w:lineRule="auto"/>
        <w:jc w:val="both"/>
        <w:rPr>
          <w:rFonts w:ascii="Arial" w:hAnsi="Arial" w:cs="Arial"/>
          <w:sz w:val="22"/>
          <w:szCs w:val="22"/>
          <w:lang w:val="en-US"/>
        </w:rPr>
      </w:pPr>
      <w:r w:rsidRPr="00B81DCF">
        <w:rPr>
          <w:rFonts w:ascii="Arial" w:hAnsi="Arial" w:cs="Arial"/>
          <w:b/>
          <w:bCs/>
          <w:sz w:val="22"/>
          <w:szCs w:val="22"/>
          <w:lang w:val="en-US"/>
        </w:rPr>
        <w:t>P_06.</w:t>
      </w:r>
      <w:r w:rsidRPr="00B81DCF">
        <w:rPr>
          <w:rFonts w:ascii="Arial" w:hAnsi="Arial" w:cs="Arial"/>
          <w:sz w:val="22"/>
          <w:szCs w:val="22"/>
          <w:lang w:val="en-US"/>
        </w:rPr>
        <w:t xml:space="preserve"> At enrollment, the patient had highly refractory, slowly progressive multifocal neuroblastoma, including metabolically active cervical and axillary lymph node metastases. Rapid tumor growth during the first days after GD2IL18CART infusion led investigators to initiate radiotherapy on day 4 (total dose 24 Gy in 12 fractions of 2 Gy), to prevent compression of cervical vessels and ulcerative growth. On day 24, the patient developed new persistent fever with capillary leak syndrome after resolution of CAR T-cell-associated inflammatory toxicities. Chest CT revealed bilateral pulmonary infection with radiographic features suggestive of aspergillosis. The episode was successfully managed with antifungal therapy and a short second course of dexamethasone. After consultation with the DMC, the late inflammatory episode was considered more consistent with an infectious trigger than with GD2IL18CART-related toxicity. The patient remained neutropenic and subsequently received a hematopoietic stem cell boost from the donor of a prior haploidentical stem cell transplantation. Persistent grade 4 hematotoxicity without resolution by day 28 fulfilled the protocol definition of DLT. The patient died from progressive disease on day 104.</w:t>
      </w:r>
    </w:p>
    <w:p w14:paraId="50339F45" w14:textId="77777777" w:rsidR="002D5A9A" w:rsidRPr="00B81DCF" w:rsidRDefault="002D5A9A" w:rsidP="002D5A9A">
      <w:pPr>
        <w:spacing w:line="360" w:lineRule="auto"/>
        <w:jc w:val="both"/>
        <w:rPr>
          <w:rFonts w:ascii="Arial" w:hAnsi="Arial" w:cs="Arial"/>
          <w:sz w:val="22"/>
          <w:szCs w:val="22"/>
          <w:lang w:val="en-US"/>
        </w:rPr>
      </w:pPr>
      <w:r w:rsidRPr="00B81DCF">
        <w:rPr>
          <w:rFonts w:ascii="Arial" w:hAnsi="Arial" w:cs="Arial"/>
          <w:b/>
          <w:bCs/>
          <w:sz w:val="22"/>
          <w:szCs w:val="22"/>
          <w:lang w:val="en-US"/>
        </w:rPr>
        <w:t xml:space="preserve">P_11: </w:t>
      </w:r>
      <w:r w:rsidRPr="00B81DCF">
        <w:rPr>
          <w:rFonts w:ascii="Arial" w:hAnsi="Arial" w:cs="Arial"/>
          <w:sz w:val="22"/>
          <w:szCs w:val="22"/>
          <w:lang w:val="en-US"/>
        </w:rPr>
        <w:t>In this patient with refractory neuroblastoma, CRS onset on day 5 coincided with bilateral pneumonia, which responded to broad-spectrum antimicrobial therapy. To limit inflammatory escalation in this setting of a concomitant infectious trigger, the patient received tocilizumab, one dose of siltuximab, anakinra and a dexamethasone pulse. The patient recovered within days and subsequently developed a manageable episode of capillary leak syndrome at the peak of CAR T-cell expansion, without progression to IEC-HS, together with radiographic worsening of bilateral pneumonia. A second steroid pulse and intensified antimicrobial treatment resulted in rapid clinical recovery and resolution of pneumonia. The patient died from progressive disease on day 109.</w:t>
      </w:r>
    </w:p>
    <w:p w14:paraId="677207AF" w14:textId="77777777" w:rsidR="002D5A9A" w:rsidRPr="00B81DCF" w:rsidRDefault="002D5A9A" w:rsidP="002D5A9A">
      <w:pPr>
        <w:spacing w:line="360" w:lineRule="auto"/>
        <w:jc w:val="both"/>
        <w:rPr>
          <w:rFonts w:ascii="Arial" w:hAnsi="Arial" w:cs="Arial"/>
          <w:sz w:val="22"/>
          <w:szCs w:val="22"/>
          <w:lang w:val="en-US"/>
        </w:rPr>
      </w:pPr>
      <w:r w:rsidRPr="00B81DCF">
        <w:rPr>
          <w:rFonts w:ascii="Arial" w:hAnsi="Arial" w:cs="Arial"/>
          <w:b/>
          <w:bCs/>
          <w:sz w:val="22"/>
          <w:szCs w:val="22"/>
          <w:lang w:val="en-US"/>
        </w:rPr>
        <w:t xml:space="preserve">A_03: </w:t>
      </w:r>
      <w:r w:rsidRPr="00B81DCF">
        <w:rPr>
          <w:rFonts w:ascii="Arial" w:hAnsi="Arial" w:cs="Arial"/>
          <w:sz w:val="22"/>
          <w:szCs w:val="22"/>
          <w:lang w:val="en-US"/>
        </w:rPr>
        <w:t>This patient with disseminated Ewing sarcoma had multiple disease manifestations involving bone, bone marrow, visceral organs and lymph nodes at the time of infusion. Although inflammatory toxicity remained limited to grade 2 or lower after infusion, persistent fever and rising liver enzymes despite treatment with anakinra and corticosteroids prompted the addition of ruxolitinib. Failure of hematological recovery by day 28 occurred in the context of both bone marrow disease progression and ongoing inflammation and fulfilled the protocol definition of DLT. The patient recovered from neutropenia after a stem cell boost but subsequently died from progressive disease before day 56.</w:t>
      </w:r>
    </w:p>
    <w:p w14:paraId="1C9DBAD0" w14:textId="77777777" w:rsidR="002D5A9A" w:rsidRDefault="002D5A9A" w:rsidP="002D5A9A">
      <w:pPr>
        <w:spacing w:line="360" w:lineRule="auto"/>
        <w:jc w:val="both"/>
        <w:rPr>
          <w:rFonts w:ascii="Arial" w:hAnsi="Arial" w:cs="Arial"/>
          <w:sz w:val="22"/>
          <w:szCs w:val="22"/>
          <w:lang w:val="en-US"/>
        </w:rPr>
      </w:pPr>
      <w:r w:rsidRPr="00B81DCF">
        <w:rPr>
          <w:rFonts w:ascii="Arial" w:hAnsi="Arial" w:cs="Arial"/>
          <w:sz w:val="22"/>
          <w:szCs w:val="22"/>
          <w:lang w:val="en-US"/>
        </w:rPr>
        <w:t>CRS, cytokine release syndrome; DL, dose level; DLT, dose-limiting toxicity; DMC, data monitoring committee; IEC-HS, immune effector cell-associated hemophagocytic lymphohistiocytosis-like syndrome; IL-6, interleukin-6; LDH, lactate dehydrogenase. DL1, 1 x 10</w:t>
      </w:r>
      <w:r w:rsidRPr="00B81DCF">
        <w:rPr>
          <w:rFonts w:ascii="Arial" w:hAnsi="Arial" w:cs="Arial"/>
          <w:sz w:val="22"/>
          <w:szCs w:val="22"/>
          <w:vertAlign w:val="superscript"/>
          <w:lang w:val="en-US"/>
        </w:rPr>
        <w:t>5</w:t>
      </w:r>
      <w:r w:rsidRPr="00B81DCF">
        <w:rPr>
          <w:rFonts w:ascii="Arial" w:hAnsi="Arial" w:cs="Arial"/>
          <w:sz w:val="22"/>
          <w:szCs w:val="22"/>
          <w:lang w:val="en-US"/>
        </w:rPr>
        <w:t xml:space="preserve"> CAR+ cells/kg, DL2, 5 x 10</w:t>
      </w:r>
      <w:r w:rsidRPr="00B81DCF">
        <w:rPr>
          <w:rFonts w:ascii="Arial" w:hAnsi="Arial" w:cs="Arial"/>
          <w:sz w:val="22"/>
          <w:szCs w:val="22"/>
          <w:vertAlign w:val="superscript"/>
          <w:lang w:val="en-US"/>
        </w:rPr>
        <w:t>5</w:t>
      </w:r>
      <w:r w:rsidRPr="00B81DCF">
        <w:rPr>
          <w:rFonts w:ascii="Arial" w:hAnsi="Arial" w:cs="Arial"/>
          <w:sz w:val="22"/>
          <w:szCs w:val="22"/>
          <w:lang w:val="en-US"/>
        </w:rPr>
        <w:t xml:space="preserve"> CAR+ cells/kg, DL1.25, 2 x 10</w:t>
      </w:r>
      <w:r w:rsidRPr="00B81DCF">
        <w:rPr>
          <w:rFonts w:ascii="Arial" w:hAnsi="Arial" w:cs="Arial"/>
          <w:sz w:val="22"/>
          <w:szCs w:val="22"/>
          <w:vertAlign w:val="superscript"/>
          <w:lang w:val="en-US"/>
        </w:rPr>
        <w:t>5</w:t>
      </w:r>
      <w:r w:rsidRPr="00B81DCF">
        <w:rPr>
          <w:rFonts w:ascii="Arial" w:hAnsi="Arial" w:cs="Arial"/>
          <w:sz w:val="22"/>
          <w:szCs w:val="22"/>
          <w:lang w:val="en-US"/>
        </w:rPr>
        <w:t xml:space="preserve"> CAR+ cells/kg.</w:t>
      </w:r>
    </w:p>
    <w:p w14:paraId="6A14892A" w14:textId="77777777" w:rsidR="002D5A9A" w:rsidRPr="00B81DCF" w:rsidRDefault="002D5A9A" w:rsidP="002D5A9A">
      <w:pPr>
        <w:spacing w:line="360" w:lineRule="auto"/>
        <w:jc w:val="both"/>
        <w:rPr>
          <w:rFonts w:ascii="Arial" w:hAnsi="Arial" w:cs="Arial"/>
          <w:b/>
          <w:bCs/>
          <w:sz w:val="22"/>
          <w:szCs w:val="22"/>
          <w:lang w:val="en-US"/>
        </w:rPr>
      </w:pPr>
    </w:p>
    <w:p w14:paraId="30DEF4AA" w14:textId="77777777" w:rsidR="002D5A9A" w:rsidRPr="00FB0B38" w:rsidRDefault="002D5A9A" w:rsidP="002D5A9A">
      <w:pPr>
        <w:spacing w:line="360" w:lineRule="auto"/>
        <w:jc w:val="both"/>
        <w:rPr>
          <w:rFonts w:ascii="Arial" w:hAnsi="Arial" w:cs="Arial"/>
          <w:sz w:val="22"/>
          <w:szCs w:val="22"/>
          <w:lang w:val="en-US"/>
        </w:rPr>
      </w:pPr>
      <w:bookmarkStart w:id="1" w:name="OLE_LINK2"/>
      <w:r w:rsidRPr="00FB0B38">
        <w:rPr>
          <w:rFonts w:ascii="Arial" w:hAnsi="Arial" w:cs="Arial"/>
          <w:b/>
          <w:bCs/>
          <w:sz w:val="22"/>
          <w:szCs w:val="22"/>
          <w:lang w:val="en-US"/>
        </w:rPr>
        <w:t xml:space="preserve">Extended Data Figure 4. GD2 expression in tumor tissues before and after GD2IL18CART infusion. </w:t>
      </w:r>
      <w:r w:rsidRPr="00FB0B38">
        <w:rPr>
          <w:rFonts w:ascii="Arial" w:hAnsi="Arial" w:cs="Arial"/>
          <w:sz w:val="22"/>
          <w:szCs w:val="22"/>
          <w:lang w:val="en-US"/>
        </w:rPr>
        <w:t xml:space="preserve">GD2 expression was determined by immunofluorescence staining in FFPE tumor biopsies obtained before treatment and at indicated post-treatment time points in selected patients with </w:t>
      </w:r>
      <w:r w:rsidRPr="00FB0B38">
        <w:rPr>
          <w:rFonts w:ascii="Arial" w:hAnsi="Arial" w:cs="Arial"/>
          <w:b/>
          <w:bCs/>
          <w:sz w:val="22"/>
          <w:szCs w:val="22"/>
          <w:lang w:val="en-US"/>
        </w:rPr>
        <w:t>(A)</w:t>
      </w:r>
      <w:r w:rsidRPr="00FB0B38">
        <w:rPr>
          <w:rFonts w:ascii="Arial" w:hAnsi="Arial" w:cs="Arial"/>
          <w:sz w:val="22"/>
          <w:szCs w:val="22"/>
          <w:lang w:val="en-US"/>
        </w:rPr>
        <w:t xml:space="preserve"> neuroblastoma, </w:t>
      </w:r>
      <w:r w:rsidRPr="00FB0B38">
        <w:rPr>
          <w:rFonts w:ascii="Arial" w:hAnsi="Arial" w:cs="Arial"/>
          <w:b/>
          <w:bCs/>
          <w:sz w:val="22"/>
          <w:szCs w:val="22"/>
          <w:lang w:val="en-US"/>
        </w:rPr>
        <w:t>(B)</w:t>
      </w:r>
      <w:r w:rsidRPr="00FB0B38">
        <w:rPr>
          <w:rFonts w:ascii="Arial" w:hAnsi="Arial" w:cs="Arial"/>
          <w:sz w:val="22"/>
          <w:szCs w:val="22"/>
          <w:lang w:val="en-US"/>
        </w:rPr>
        <w:t xml:space="preserve"> Ewing sarcoma and </w:t>
      </w:r>
      <w:r w:rsidRPr="00FB0B38">
        <w:rPr>
          <w:rFonts w:ascii="Arial" w:hAnsi="Arial" w:cs="Arial"/>
          <w:b/>
          <w:bCs/>
          <w:sz w:val="22"/>
          <w:szCs w:val="22"/>
          <w:lang w:val="en-US"/>
        </w:rPr>
        <w:t>(C)</w:t>
      </w:r>
      <w:r w:rsidRPr="00FB0B38">
        <w:rPr>
          <w:rFonts w:ascii="Arial" w:hAnsi="Arial" w:cs="Arial"/>
          <w:sz w:val="22"/>
          <w:szCs w:val="22"/>
          <w:lang w:val="en-US"/>
        </w:rPr>
        <w:t xml:space="preserve"> breast cancer. Staining and semiquantitative scoring were performed as described in Extended Data Figure 1 and previously</w:t>
      </w:r>
      <w:r w:rsidRPr="00FB0B38">
        <w:rPr>
          <w:rFonts w:ascii="Arial" w:hAnsi="Arial" w:cs="Arial"/>
          <w:sz w:val="22"/>
          <w:szCs w:val="22"/>
          <w:vertAlign w:val="superscript"/>
          <w:lang w:val="en-US"/>
        </w:rPr>
        <w:fldChar w:fldCharType="begin">
          <w:fldData xml:space="preserve">PEVuZE5vdGU+PENpdGU+PEF1dGhvcj5LYWlsYXlhbmdpcmk8L0F1dGhvcj48WWVhcj4yMDI0PC9Z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</w:fldData>
        </w:fldChar>
      </w:r>
      <w:r w:rsidRPr="00FB0B38">
        <w:rPr>
          <w:rFonts w:ascii="Arial" w:hAnsi="Arial" w:cs="Arial"/>
          <w:sz w:val="22"/>
          <w:szCs w:val="22"/>
          <w:vertAlign w:val="superscript"/>
          <w:lang w:val="en-US"/>
        </w:rPr>
        <w:instrText xml:space="preserve"> ADDIN EN.CITE </w:instrText>
      </w:r>
      <w:r w:rsidRPr="00FB0B38">
        <w:rPr>
          <w:rFonts w:ascii="Arial" w:hAnsi="Arial" w:cs="Arial"/>
          <w:sz w:val="22"/>
          <w:szCs w:val="22"/>
          <w:vertAlign w:val="superscript"/>
          <w:lang w:val="en-US"/>
        </w:rPr>
        <w:fldChar w:fldCharType="begin">
          <w:fldData xml:space="preserve">PEVuZE5vdGU+PENpdGU+PEF1dGhvcj5LYWlsYXlhbmdpcmk8L0F1dGhvcj48WWVhcj4yMDI0PC9Z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</w:fldData>
        </w:fldChar>
      </w:r>
      <w:r w:rsidRPr="00FB0B38">
        <w:rPr>
          <w:rFonts w:ascii="Arial" w:hAnsi="Arial" w:cs="Arial"/>
          <w:sz w:val="22"/>
          <w:szCs w:val="22"/>
          <w:vertAlign w:val="superscript"/>
          <w:lang w:val="en-US"/>
        </w:rPr>
        <w:instrText xml:space="preserve"> ADDIN EN.CITE.DATA </w:instrText>
      </w:r>
      <w:r w:rsidRPr="00FB0B38">
        <w:rPr>
          <w:rFonts w:ascii="Arial" w:hAnsi="Arial" w:cs="Arial"/>
          <w:sz w:val="22"/>
          <w:szCs w:val="22"/>
          <w:vertAlign w:val="superscript"/>
          <w:lang w:val="en-US"/>
        </w:rPr>
      </w:r>
      <w:r w:rsidRPr="00FB0B38">
        <w:rPr>
          <w:rFonts w:ascii="Arial" w:hAnsi="Arial" w:cs="Arial"/>
          <w:sz w:val="22"/>
          <w:szCs w:val="22"/>
          <w:vertAlign w:val="superscript"/>
          <w:lang w:val="en-US"/>
        </w:rPr>
        <w:fldChar w:fldCharType="end"/>
      </w:r>
      <w:r w:rsidRPr="00FB0B38">
        <w:rPr>
          <w:rFonts w:ascii="Arial" w:hAnsi="Arial" w:cs="Arial"/>
          <w:sz w:val="22"/>
          <w:szCs w:val="22"/>
          <w:vertAlign w:val="superscript"/>
          <w:lang w:val="en-US"/>
        </w:rPr>
      </w:r>
      <w:r w:rsidRPr="00FB0B38">
        <w:rPr>
          <w:rFonts w:ascii="Arial" w:hAnsi="Arial" w:cs="Arial"/>
          <w:sz w:val="22"/>
          <w:szCs w:val="22"/>
          <w:vertAlign w:val="superscript"/>
          <w:lang w:val="en-US"/>
        </w:rPr>
        <w:fldChar w:fldCharType="separate"/>
      </w:r>
      <w:r w:rsidRPr="00FB0B38">
        <w:rPr>
          <w:rFonts w:ascii="Arial" w:hAnsi="Arial" w:cs="Arial"/>
          <w:noProof/>
          <w:sz w:val="22"/>
          <w:szCs w:val="22"/>
          <w:vertAlign w:val="superscript"/>
          <w:lang w:val="en-US"/>
        </w:rPr>
        <w:t>28</w:t>
      </w:r>
      <w:r w:rsidRPr="00FB0B38">
        <w:rPr>
          <w:rFonts w:ascii="Arial" w:hAnsi="Arial" w:cs="Arial"/>
          <w:sz w:val="22"/>
          <w:szCs w:val="22"/>
          <w:vertAlign w:val="superscript"/>
          <w:lang w:val="en-US"/>
        </w:rPr>
        <w:fldChar w:fldCharType="end"/>
      </w:r>
      <w:r w:rsidRPr="00FB0B38">
        <w:rPr>
          <w:rFonts w:ascii="Arial" w:hAnsi="Arial" w:cs="Arial"/>
          <w:sz w:val="22"/>
          <w:szCs w:val="22"/>
          <w:lang w:val="en-US"/>
        </w:rPr>
        <w:t xml:space="preserve">. For P_02 and A_07, noninvasive </w:t>
      </w:r>
      <w:r w:rsidRPr="00FB0B38">
        <w:rPr>
          <w:rFonts w:ascii="Arial" w:hAnsi="Arial" w:cs="Arial"/>
          <w:i/>
          <w:iCs/>
          <w:sz w:val="22"/>
          <w:szCs w:val="22"/>
          <w:lang w:val="en-US"/>
        </w:rPr>
        <w:t>in vivo</w:t>
      </w:r>
      <w:r w:rsidRPr="00FB0B38">
        <w:rPr>
          <w:rFonts w:ascii="Arial" w:hAnsi="Arial" w:cs="Arial"/>
          <w:sz w:val="22"/>
          <w:szCs w:val="22"/>
          <w:lang w:val="en-US"/>
        </w:rPr>
        <w:t xml:space="preserve"> GD2 imaging using [64Cu]Cu-NOTA-ch14.18/CHO-PET/CT was performed outside the clinical study. Images are shown in comparison with [123I]-mIBG scintigraphy (P_02) and [¹⁸F]FDG-PET/CT (A_07), respectively. Serial chest CT images in A_07 demonstrate a transient partial response of pleuropulmonary Ewing sarcoma manifestations on day 16, followed by recurrence on day 43.</w:t>
      </w:r>
    </w:p>
    <w:bookmarkEnd w:id="1"/>
    <w:p w14:paraId="745CE084" w14:textId="77777777" w:rsidR="002D5A9A" w:rsidRPr="00B81DCF" w:rsidRDefault="002D5A9A" w:rsidP="002D5A9A">
      <w:pPr>
        <w:spacing w:line="360" w:lineRule="auto"/>
        <w:jc w:val="both"/>
        <w:rPr>
          <w:rFonts w:ascii="Arial" w:hAnsi="Arial" w:cs="Arial"/>
          <w:b/>
          <w:bCs/>
          <w:sz w:val="22"/>
          <w:szCs w:val="22"/>
          <w:lang w:val="en-US"/>
        </w:rPr>
      </w:pPr>
    </w:p>
    <w:p w14:paraId="2A1E2217" w14:textId="77777777" w:rsidR="002D5A9A" w:rsidRPr="00B81DCF" w:rsidRDefault="002D5A9A" w:rsidP="002D5A9A">
      <w:pPr>
        <w:spacing w:line="360" w:lineRule="auto"/>
        <w:jc w:val="both"/>
        <w:rPr>
          <w:rFonts w:ascii="Arial" w:hAnsi="Arial" w:cs="Arial"/>
          <w:b/>
          <w:bCs/>
          <w:sz w:val="22"/>
          <w:szCs w:val="22"/>
          <w:lang w:val="en-US"/>
        </w:rPr>
      </w:pPr>
      <w:r w:rsidRPr="00B81DCF">
        <w:rPr>
          <w:rFonts w:ascii="Arial" w:hAnsi="Arial" w:cs="Arial"/>
          <w:b/>
          <w:bCs/>
          <w:sz w:val="22"/>
          <w:szCs w:val="22"/>
          <w:lang w:val="en-US"/>
        </w:rPr>
        <w:t>Extended Data Figure 5. Human anti-chimeric antibody (HACA) analysis.</w:t>
      </w:r>
    </w:p>
    <w:p w14:paraId="610E82D4" w14:textId="77777777" w:rsidR="002D5A9A" w:rsidRDefault="002D5A9A" w:rsidP="002D5A9A">
      <w:pPr>
        <w:spacing w:line="360" w:lineRule="auto"/>
        <w:jc w:val="both"/>
        <w:rPr>
          <w:rFonts w:ascii="Arial" w:hAnsi="Arial" w:cs="Arial"/>
          <w:sz w:val="22"/>
          <w:szCs w:val="22"/>
          <w:lang w:val="en-US"/>
        </w:rPr>
      </w:pPr>
      <w:r w:rsidRPr="00B81DCF">
        <w:rPr>
          <w:rFonts w:ascii="Arial" w:hAnsi="Arial" w:cs="Arial"/>
          <w:sz w:val="22"/>
          <w:szCs w:val="22"/>
          <w:lang w:val="en-US"/>
        </w:rPr>
        <w:t>Serum samples collected from</w:t>
      </w:r>
      <w:r>
        <w:rPr>
          <w:rFonts w:ascii="Arial" w:hAnsi="Arial" w:cs="Arial"/>
          <w:sz w:val="22"/>
          <w:szCs w:val="22"/>
          <w:lang w:val="en-US"/>
        </w:rPr>
        <w:t xml:space="preserve"> all</w:t>
      </w:r>
      <w:r w:rsidRPr="00B81DCF">
        <w:rPr>
          <w:rFonts w:ascii="Arial" w:hAnsi="Arial" w:cs="Arial"/>
          <w:sz w:val="22"/>
          <w:szCs w:val="22"/>
          <w:lang w:val="en-US"/>
        </w:rPr>
        <w:t xml:space="preserve"> patients were analyzed at baseline (</w:t>
      </w:r>
      <w:r>
        <w:rPr>
          <w:rFonts w:ascii="Arial" w:hAnsi="Arial" w:cs="Arial"/>
          <w:sz w:val="22"/>
          <w:szCs w:val="22"/>
          <w:lang w:val="en-US"/>
        </w:rPr>
        <w:t xml:space="preserve">-5 or </w:t>
      </w:r>
      <w:r w:rsidRPr="00B81DCF">
        <w:rPr>
          <w:rFonts w:ascii="Arial" w:hAnsi="Arial" w:cs="Arial"/>
          <w:sz w:val="22"/>
          <w:szCs w:val="22"/>
          <w:lang w:val="en-US"/>
        </w:rPr>
        <w:t xml:space="preserve">day -6, start of lymphodepletive therapy), on day 28 (+/- 2 days) and at last serum assessment with a validated ELISA allowing for the detection of anti-14.18 antibodies. </w:t>
      </w:r>
      <w:r w:rsidRPr="00D970A5">
        <w:rPr>
          <w:rFonts w:ascii="Arial" w:hAnsi="Arial" w:cs="Arial"/>
          <w:b/>
          <w:bCs/>
          <w:sz w:val="22"/>
          <w:szCs w:val="22"/>
          <w:lang w:val="en-US"/>
        </w:rPr>
        <w:t>(A)</w:t>
      </w:r>
      <w:r>
        <w:rPr>
          <w:rFonts w:ascii="Arial" w:hAnsi="Arial" w:cs="Arial"/>
          <w:sz w:val="22"/>
          <w:szCs w:val="22"/>
          <w:lang w:val="en-US"/>
        </w:rPr>
        <w:t xml:space="preserve"> P</w:t>
      </w:r>
      <w:r w:rsidRPr="00D970A5">
        <w:rPr>
          <w:rFonts w:ascii="Arial" w:hAnsi="Arial" w:cs="Arial"/>
          <w:sz w:val="22"/>
          <w:szCs w:val="22"/>
          <w:lang w:val="en-US"/>
        </w:rPr>
        <w:t>ediatric</w:t>
      </w:r>
      <w:r>
        <w:rPr>
          <w:rFonts w:ascii="Arial" w:hAnsi="Arial" w:cs="Arial"/>
          <w:sz w:val="22"/>
          <w:szCs w:val="22"/>
          <w:lang w:val="en-US"/>
        </w:rPr>
        <w:t xml:space="preserve"> patients. </w:t>
      </w:r>
      <w:r w:rsidRPr="00D970A5">
        <w:rPr>
          <w:rFonts w:ascii="Arial" w:hAnsi="Arial" w:cs="Arial"/>
          <w:b/>
          <w:bCs/>
          <w:sz w:val="22"/>
          <w:szCs w:val="22"/>
          <w:lang w:val="en-US"/>
        </w:rPr>
        <w:t>(B)</w:t>
      </w:r>
      <w:r>
        <w:rPr>
          <w:rFonts w:ascii="Arial" w:hAnsi="Arial" w:cs="Arial"/>
          <w:sz w:val="22"/>
          <w:szCs w:val="22"/>
          <w:lang w:val="en-US"/>
        </w:rPr>
        <w:t xml:space="preserve"> Adult patients.  </w:t>
      </w:r>
      <w:r w:rsidRPr="00B81DCF">
        <w:rPr>
          <w:rFonts w:ascii="Arial" w:hAnsi="Arial" w:cs="Arial"/>
          <w:sz w:val="22"/>
          <w:szCs w:val="22"/>
          <w:lang w:val="en-US"/>
        </w:rPr>
        <w:t xml:space="preserve">The lower limits of detection (LOD) of all five experiments performed ranged between 0.00 and 1.98 µg/ml (median 0.44, SD 0.91), and lower limits of quantification (LLOQ) between 0.21 and 2.34 (median 1.21, SD 0.95). Values above LOD/LLOQ are marked in yellow (A_08). The isolated positive result in patient A_08 </w:t>
      </w:r>
      <w:r>
        <w:rPr>
          <w:rFonts w:ascii="Arial" w:hAnsi="Arial" w:cs="Arial"/>
          <w:sz w:val="22"/>
          <w:szCs w:val="22"/>
          <w:lang w:val="en-US"/>
        </w:rPr>
        <w:t xml:space="preserve">(osteosarcoma, non-responder) </w:t>
      </w:r>
      <w:r w:rsidRPr="00B81DCF">
        <w:rPr>
          <w:rFonts w:ascii="Arial" w:hAnsi="Arial" w:cs="Arial"/>
          <w:sz w:val="22"/>
          <w:szCs w:val="22"/>
          <w:lang w:val="en-US"/>
        </w:rPr>
        <w:t>is unlikely to represent treatment-induced HACA, as reactivity was already present at baseline before exposure to GD2IL18CART or previous GD2-directed antibody therapy.</w:t>
      </w:r>
      <w:r>
        <w:rPr>
          <w:rFonts w:ascii="Arial" w:hAnsi="Arial" w:cs="Arial"/>
          <w:sz w:val="22"/>
          <w:szCs w:val="22"/>
          <w:lang w:val="en-US"/>
        </w:rPr>
        <w:t xml:space="preserve"> Orange, neuroblastoma; turquoise, osteosarcoma; purple, Ewing sarcoma; green, breast cancer.</w:t>
      </w:r>
    </w:p>
    <w:p w14:paraId="04BDDAE2" w14:textId="77777777" w:rsidR="002D5A9A" w:rsidRPr="00B81DCF" w:rsidRDefault="002D5A9A" w:rsidP="002D5A9A">
      <w:pPr>
        <w:spacing w:line="360" w:lineRule="auto"/>
        <w:jc w:val="both"/>
        <w:rPr>
          <w:rFonts w:ascii="Arial" w:hAnsi="Arial" w:cs="Arial"/>
          <w:sz w:val="22"/>
          <w:szCs w:val="22"/>
          <w:lang w:val="en-US"/>
        </w:rPr>
      </w:pPr>
    </w:p>
    <w:p w14:paraId="0282B7BE" w14:textId="77777777" w:rsidR="002D5A9A" w:rsidRPr="00B81DCF" w:rsidRDefault="002D5A9A" w:rsidP="002D5A9A">
      <w:pPr>
        <w:spacing w:line="360" w:lineRule="auto"/>
        <w:jc w:val="both"/>
        <w:rPr>
          <w:rFonts w:ascii="Arial" w:hAnsi="Arial" w:cs="Arial"/>
          <w:b/>
          <w:bCs/>
          <w:sz w:val="22"/>
          <w:szCs w:val="22"/>
          <w:lang w:val="en-US"/>
        </w:rPr>
      </w:pPr>
      <w:r w:rsidRPr="00B81DCF">
        <w:rPr>
          <w:rFonts w:ascii="Arial" w:hAnsi="Arial" w:cs="Arial"/>
          <w:b/>
          <w:bCs/>
          <w:sz w:val="22"/>
          <w:szCs w:val="22"/>
          <w:lang w:val="en-US"/>
        </w:rPr>
        <w:t xml:space="preserve">Extended Data Figure 6. CAR T-cell phenotypes in the cell product and in peripheral blood during </w:t>
      </w:r>
      <w:r w:rsidRPr="009B5EC9">
        <w:rPr>
          <w:rFonts w:ascii="Arial" w:hAnsi="Arial" w:cs="Arial"/>
          <w:b/>
          <w:bCs/>
          <w:i/>
          <w:iCs/>
          <w:sz w:val="22"/>
          <w:szCs w:val="22"/>
          <w:lang w:val="en-US"/>
        </w:rPr>
        <w:t>in vivo</w:t>
      </w:r>
      <w:r w:rsidRPr="00B81DCF">
        <w:rPr>
          <w:rFonts w:ascii="Arial" w:hAnsi="Arial" w:cs="Arial"/>
          <w:b/>
          <w:bCs/>
          <w:sz w:val="22"/>
          <w:szCs w:val="22"/>
          <w:lang w:val="en-US"/>
        </w:rPr>
        <w:t xml:space="preserve"> expansion by flow cytometry.</w:t>
      </w:r>
    </w:p>
    <w:p w14:paraId="6BCFAADE" w14:textId="77777777" w:rsidR="002D5A9A" w:rsidRDefault="002D5A9A" w:rsidP="002D5A9A">
      <w:pPr>
        <w:spacing w:line="360" w:lineRule="auto"/>
        <w:jc w:val="both"/>
        <w:rPr>
          <w:rFonts w:ascii="Arial" w:hAnsi="Arial" w:cs="Arial"/>
          <w:color w:val="000000" w:themeColor="text1"/>
          <w:sz w:val="22"/>
          <w:szCs w:val="22"/>
          <w:lang w:val="en-US"/>
        </w:rPr>
      </w:pPr>
      <w:r w:rsidRPr="00B81DCF">
        <w:rPr>
          <w:rFonts w:ascii="Arial" w:hAnsi="Arial" w:cs="Arial"/>
          <w:sz w:val="22"/>
          <w:szCs w:val="22"/>
          <w:lang w:val="en-US"/>
        </w:rPr>
        <w:t>Time parameter was used to monitor instrument stability, doublets were excluded by FSC-H/FSC-A, lymphocytes were determined by CD45+/SSC-A, T</w:t>
      </w:r>
      <w:r>
        <w:rPr>
          <w:rFonts w:ascii="Arial" w:hAnsi="Arial" w:cs="Arial"/>
          <w:sz w:val="22"/>
          <w:szCs w:val="22"/>
          <w:lang w:val="en-US"/>
        </w:rPr>
        <w:t xml:space="preserve"> </w:t>
      </w:r>
      <w:r w:rsidRPr="00B81DCF">
        <w:rPr>
          <w:rFonts w:ascii="Arial" w:hAnsi="Arial" w:cs="Arial"/>
          <w:sz w:val="22"/>
          <w:szCs w:val="22"/>
          <w:lang w:val="en-US"/>
        </w:rPr>
        <w:t>cells were gated by CD3+. T</w:t>
      </w:r>
      <w:r>
        <w:rPr>
          <w:rFonts w:ascii="Arial" w:hAnsi="Arial" w:cs="Arial"/>
          <w:sz w:val="22"/>
          <w:szCs w:val="22"/>
          <w:lang w:val="en-US"/>
        </w:rPr>
        <w:t xml:space="preserve"> </w:t>
      </w:r>
      <w:r w:rsidRPr="00B81DCF">
        <w:rPr>
          <w:rFonts w:ascii="Arial" w:hAnsi="Arial" w:cs="Arial"/>
          <w:sz w:val="22"/>
          <w:szCs w:val="22"/>
          <w:lang w:val="en-US"/>
        </w:rPr>
        <w:t xml:space="preserve">cells were further subdivided into </w:t>
      </w:r>
      <w:r>
        <w:rPr>
          <w:rFonts w:ascii="Arial" w:hAnsi="Arial" w:cs="Arial"/>
          <w:sz w:val="22"/>
          <w:szCs w:val="22"/>
          <w:lang w:val="en-US"/>
        </w:rPr>
        <w:t>CAR-positive</w:t>
      </w:r>
      <w:r w:rsidRPr="00B81DCF">
        <w:rPr>
          <w:rFonts w:ascii="Arial" w:hAnsi="Arial" w:cs="Arial"/>
          <w:sz w:val="22"/>
          <w:szCs w:val="22"/>
          <w:lang w:val="en-US"/>
        </w:rPr>
        <w:t xml:space="preserve"> T</w:t>
      </w:r>
      <w:r>
        <w:rPr>
          <w:rFonts w:ascii="Arial" w:hAnsi="Arial" w:cs="Arial"/>
          <w:sz w:val="22"/>
          <w:szCs w:val="22"/>
          <w:lang w:val="en-US"/>
        </w:rPr>
        <w:t xml:space="preserve"> </w:t>
      </w:r>
      <w:r w:rsidRPr="00B81DCF">
        <w:rPr>
          <w:rFonts w:ascii="Arial" w:hAnsi="Arial" w:cs="Arial"/>
          <w:sz w:val="22"/>
          <w:szCs w:val="22"/>
          <w:lang w:val="en-US"/>
        </w:rPr>
        <w:t>cells (black) and CAR</w:t>
      </w:r>
      <w:r>
        <w:rPr>
          <w:rFonts w:ascii="Arial" w:hAnsi="Arial" w:cs="Arial"/>
          <w:sz w:val="22"/>
          <w:szCs w:val="22"/>
          <w:lang w:val="en-US"/>
        </w:rPr>
        <w:t xml:space="preserve">-negative </w:t>
      </w:r>
      <w:r w:rsidRPr="00B81DCF">
        <w:rPr>
          <w:rFonts w:ascii="Arial" w:hAnsi="Arial" w:cs="Arial"/>
          <w:sz w:val="22"/>
          <w:szCs w:val="22"/>
          <w:lang w:val="en-US"/>
        </w:rPr>
        <w:t>T</w:t>
      </w:r>
      <w:r>
        <w:rPr>
          <w:rFonts w:ascii="Arial" w:hAnsi="Arial" w:cs="Arial"/>
          <w:sz w:val="22"/>
          <w:szCs w:val="22"/>
          <w:lang w:val="en-US"/>
        </w:rPr>
        <w:t xml:space="preserve"> </w:t>
      </w:r>
      <w:r w:rsidRPr="00B81DCF">
        <w:rPr>
          <w:rFonts w:ascii="Arial" w:hAnsi="Arial" w:cs="Arial"/>
          <w:sz w:val="22"/>
          <w:szCs w:val="22"/>
          <w:lang w:val="en-US"/>
        </w:rPr>
        <w:t xml:space="preserve">cells (grey). Populations of </w:t>
      </w:r>
      <w:r>
        <w:rPr>
          <w:rFonts w:ascii="Arial" w:hAnsi="Arial" w:cs="Arial"/>
          <w:sz w:val="22"/>
          <w:szCs w:val="22"/>
          <w:lang w:val="en-US"/>
        </w:rPr>
        <w:t>CAR-positive</w:t>
      </w:r>
      <w:r w:rsidRPr="00B81DCF">
        <w:rPr>
          <w:rFonts w:ascii="Arial" w:hAnsi="Arial" w:cs="Arial"/>
          <w:sz w:val="22"/>
          <w:szCs w:val="22"/>
          <w:lang w:val="en-US"/>
        </w:rPr>
        <w:t xml:space="preserve"> and CAR-</w:t>
      </w:r>
      <w:r>
        <w:rPr>
          <w:rFonts w:ascii="Arial" w:hAnsi="Arial" w:cs="Arial"/>
          <w:sz w:val="22"/>
          <w:szCs w:val="22"/>
          <w:lang w:val="en-US"/>
        </w:rPr>
        <w:t>negative</w:t>
      </w:r>
      <w:r w:rsidRPr="00B81DCF">
        <w:rPr>
          <w:rFonts w:ascii="Arial" w:hAnsi="Arial" w:cs="Arial"/>
          <w:sz w:val="22"/>
          <w:szCs w:val="22"/>
          <w:lang w:val="en-US"/>
        </w:rPr>
        <w:t xml:space="preserve"> T</w:t>
      </w:r>
      <w:r>
        <w:rPr>
          <w:rFonts w:ascii="Arial" w:hAnsi="Arial" w:cs="Arial"/>
          <w:sz w:val="22"/>
          <w:szCs w:val="22"/>
          <w:lang w:val="en-US"/>
        </w:rPr>
        <w:t xml:space="preserve"> </w:t>
      </w:r>
      <w:r w:rsidRPr="00B81DCF">
        <w:rPr>
          <w:rFonts w:ascii="Arial" w:hAnsi="Arial" w:cs="Arial"/>
          <w:sz w:val="22"/>
          <w:szCs w:val="22"/>
          <w:lang w:val="en-US"/>
        </w:rPr>
        <w:t>cells were subdivided into CD4+ and CD8+ T</w:t>
      </w:r>
      <w:r>
        <w:rPr>
          <w:rFonts w:ascii="Arial" w:hAnsi="Arial" w:cs="Arial"/>
          <w:sz w:val="22"/>
          <w:szCs w:val="22"/>
          <w:lang w:val="en-US"/>
        </w:rPr>
        <w:t xml:space="preserve"> </w:t>
      </w:r>
      <w:r w:rsidRPr="00B81DCF">
        <w:rPr>
          <w:rFonts w:ascii="Arial" w:hAnsi="Arial" w:cs="Arial"/>
          <w:sz w:val="22"/>
          <w:szCs w:val="22"/>
          <w:lang w:val="en-US"/>
        </w:rPr>
        <w:t xml:space="preserve">cells. T-cell differentiation of </w:t>
      </w:r>
      <w:r>
        <w:rPr>
          <w:rFonts w:ascii="Arial" w:hAnsi="Arial" w:cs="Arial"/>
          <w:sz w:val="22"/>
          <w:szCs w:val="22"/>
          <w:lang w:val="en-US"/>
        </w:rPr>
        <w:t>CAR-positive</w:t>
      </w:r>
      <w:r w:rsidRPr="00B81DCF">
        <w:rPr>
          <w:rFonts w:ascii="Arial" w:hAnsi="Arial" w:cs="Arial"/>
          <w:sz w:val="22"/>
          <w:szCs w:val="22"/>
          <w:lang w:val="en-US"/>
        </w:rPr>
        <w:t xml:space="preserve"> and CAR</w:t>
      </w:r>
      <w:r>
        <w:rPr>
          <w:rFonts w:ascii="Arial" w:hAnsi="Arial" w:cs="Arial"/>
          <w:sz w:val="22"/>
          <w:szCs w:val="22"/>
          <w:lang w:val="en-US"/>
        </w:rPr>
        <w:t>-negative</w:t>
      </w:r>
      <w:r w:rsidRPr="00B81DCF">
        <w:rPr>
          <w:rFonts w:ascii="Arial" w:hAnsi="Arial" w:cs="Arial"/>
          <w:sz w:val="22"/>
          <w:szCs w:val="22"/>
          <w:lang w:val="en-US"/>
        </w:rPr>
        <w:t xml:space="preserve"> T</w:t>
      </w:r>
      <w:r>
        <w:rPr>
          <w:rFonts w:ascii="Arial" w:hAnsi="Arial" w:cs="Arial"/>
          <w:sz w:val="22"/>
          <w:szCs w:val="22"/>
          <w:lang w:val="en-US"/>
        </w:rPr>
        <w:t xml:space="preserve"> </w:t>
      </w:r>
      <w:r w:rsidRPr="00B81DCF">
        <w:rPr>
          <w:rFonts w:ascii="Arial" w:hAnsi="Arial" w:cs="Arial"/>
          <w:sz w:val="22"/>
          <w:szCs w:val="22"/>
          <w:lang w:val="en-US"/>
        </w:rPr>
        <w:t xml:space="preserve">cells was determined by CCR7/CD45RA staining. </w:t>
      </w:r>
    </w:p>
    <w:p w14:paraId="18DB055B" w14:textId="77777777" w:rsidR="002D5A9A" w:rsidRDefault="002D5A9A" w:rsidP="002D5A9A">
      <w:pPr>
        <w:spacing w:line="360" w:lineRule="auto"/>
        <w:jc w:val="both"/>
        <w:rPr>
          <w:rFonts w:ascii="Arial" w:hAnsi="Arial" w:cs="Arial"/>
          <w:sz w:val="22"/>
          <w:szCs w:val="22"/>
          <w:lang w:val="en-US"/>
        </w:rPr>
      </w:pPr>
      <w:r w:rsidRPr="001A6E6B">
        <w:rPr>
          <w:rFonts w:ascii="Arial" w:hAnsi="Arial" w:cs="Arial"/>
          <w:b/>
          <w:bCs/>
          <w:color w:val="000000" w:themeColor="text1"/>
          <w:sz w:val="22"/>
          <w:szCs w:val="22"/>
          <w:lang w:val="en-US"/>
        </w:rPr>
        <w:t>(A)</w:t>
      </w:r>
      <w:r>
        <w:rPr>
          <w:rFonts w:ascii="Arial" w:hAnsi="Arial" w:cs="Arial"/>
          <w:color w:val="000000" w:themeColor="text1"/>
          <w:sz w:val="22"/>
          <w:szCs w:val="22"/>
          <w:lang w:val="en-US"/>
        </w:rPr>
        <w:t xml:space="preserve"> Gating strategy. </w:t>
      </w:r>
      <w:r w:rsidRPr="00B81DCF">
        <w:rPr>
          <w:rFonts w:ascii="Arial" w:hAnsi="Arial" w:cs="Arial"/>
          <w:sz w:val="22"/>
          <w:szCs w:val="22"/>
          <w:lang w:val="en-US"/>
        </w:rPr>
        <w:t xml:space="preserve">Proportions of CAR T cells with the indicated phenotypes in the peripheral blood of patients post CAR T cell infusion. </w:t>
      </w:r>
      <w:r w:rsidRPr="001A6E6B">
        <w:rPr>
          <w:rFonts w:ascii="Arial" w:hAnsi="Arial" w:cs="Arial"/>
          <w:b/>
          <w:bCs/>
          <w:sz w:val="22"/>
          <w:szCs w:val="22"/>
          <w:lang w:val="en-US"/>
        </w:rPr>
        <w:t>(B-D)</w:t>
      </w:r>
      <w:r>
        <w:rPr>
          <w:rFonts w:ascii="Arial" w:hAnsi="Arial" w:cs="Arial"/>
          <w:sz w:val="22"/>
          <w:szCs w:val="22"/>
          <w:lang w:val="en-US"/>
        </w:rPr>
        <w:t xml:space="preserve"> CAR T-cell analyses </w:t>
      </w:r>
      <w:bookmarkStart w:id="2" w:name="_Hlk237006318"/>
      <w:r w:rsidRPr="00B81DCF">
        <w:rPr>
          <w:rFonts w:ascii="Arial" w:hAnsi="Arial" w:cs="Arial"/>
          <w:sz w:val="22"/>
          <w:szCs w:val="22"/>
          <w:lang w:val="en-US"/>
        </w:rPr>
        <w:t>from</w:t>
      </w:r>
      <w:r>
        <w:rPr>
          <w:rFonts w:ascii="Arial" w:hAnsi="Arial" w:cs="Arial"/>
          <w:sz w:val="22"/>
          <w:szCs w:val="22"/>
          <w:lang w:val="en-US"/>
        </w:rPr>
        <w:t xml:space="preserve"> </w:t>
      </w:r>
      <w:r w:rsidRPr="001A6E6B">
        <w:rPr>
          <w:rFonts w:ascii="Arial" w:hAnsi="Arial" w:cs="Arial"/>
          <w:b/>
          <w:bCs/>
          <w:sz w:val="22"/>
          <w:szCs w:val="22"/>
          <w:lang w:val="en-US"/>
        </w:rPr>
        <w:t>(B)</w:t>
      </w:r>
      <w:r>
        <w:rPr>
          <w:rFonts w:ascii="Arial" w:hAnsi="Arial" w:cs="Arial"/>
          <w:sz w:val="22"/>
          <w:szCs w:val="22"/>
          <w:lang w:val="en-US"/>
        </w:rPr>
        <w:t xml:space="preserve"> </w:t>
      </w:r>
      <w:r w:rsidRPr="00D970A5">
        <w:rPr>
          <w:rFonts w:ascii="Arial" w:hAnsi="Arial" w:cs="Arial"/>
          <w:sz w:val="22"/>
          <w:szCs w:val="22"/>
          <w:lang w:val="en-US"/>
        </w:rPr>
        <w:t>pediatric</w:t>
      </w:r>
      <w:r>
        <w:rPr>
          <w:rFonts w:ascii="Arial" w:hAnsi="Arial" w:cs="Arial"/>
          <w:sz w:val="22"/>
          <w:szCs w:val="22"/>
          <w:lang w:val="en-US"/>
        </w:rPr>
        <w:t xml:space="preserve"> patients</w:t>
      </w:r>
      <w:r w:rsidRPr="00E53FAB">
        <w:rPr>
          <w:lang w:val="en-US"/>
        </w:rPr>
        <w:t xml:space="preserve"> </w:t>
      </w:r>
      <w:r w:rsidRPr="00E53FAB">
        <w:rPr>
          <w:rFonts w:ascii="Arial" w:hAnsi="Arial" w:cs="Arial"/>
          <w:sz w:val="22"/>
          <w:szCs w:val="22"/>
          <w:lang w:val="en-US"/>
        </w:rPr>
        <w:t>treated at DL1</w:t>
      </w:r>
      <w:r>
        <w:rPr>
          <w:rFonts w:ascii="Arial" w:hAnsi="Arial" w:cs="Arial"/>
          <w:sz w:val="22"/>
          <w:szCs w:val="22"/>
          <w:lang w:val="en-US"/>
        </w:rPr>
        <w:t xml:space="preserve">, </w:t>
      </w:r>
      <w:r w:rsidRPr="00E53FAB">
        <w:rPr>
          <w:rFonts w:ascii="Arial" w:hAnsi="Arial" w:cs="Arial"/>
          <w:b/>
          <w:bCs/>
          <w:sz w:val="22"/>
          <w:szCs w:val="22"/>
          <w:lang w:val="en-US"/>
        </w:rPr>
        <w:t>(</w:t>
      </w:r>
      <w:r>
        <w:rPr>
          <w:rFonts w:ascii="Arial" w:hAnsi="Arial" w:cs="Arial"/>
          <w:b/>
          <w:bCs/>
          <w:sz w:val="22"/>
          <w:szCs w:val="22"/>
          <w:lang w:val="en-US"/>
        </w:rPr>
        <w:t>C</w:t>
      </w:r>
      <w:r w:rsidRPr="00E53FAB">
        <w:rPr>
          <w:rFonts w:ascii="Arial" w:hAnsi="Arial" w:cs="Arial"/>
          <w:b/>
          <w:bCs/>
          <w:sz w:val="22"/>
          <w:szCs w:val="22"/>
          <w:lang w:val="en-US"/>
        </w:rPr>
        <w:t>)</w:t>
      </w:r>
      <w:r>
        <w:rPr>
          <w:rFonts w:ascii="Arial" w:hAnsi="Arial" w:cs="Arial"/>
          <w:sz w:val="22"/>
          <w:szCs w:val="22"/>
          <w:lang w:val="en-US"/>
        </w:rPr>
        <w:t xml:space="preserve"> DL1.25 or DL2</w:t>
      </w:r>
      <w:r w:rsidRPr="00D970A5">
        <w:rPr>
          <w:rFonts w:ascii="Arial" w:hAnsi="Arial" w:cs="Arial"/>
          <w:sz w:val="22"/>
          <w:szCs w:val="22"/>
          <w:lang w:val="en-US"/>
        </w:rPr>
        <w:t xml:space="preserve"> </w:t>
      </w:r>
      <w:r>
        <w:rPr>
          <w:rFonts w:ascii="Arial" w:hAnsi="Arial" w:cs="Arial"/>
          <w:sz w:val="22"/>
          <w:szCs w:val="22"/>
          <w:lang w:val="en-US"/>
        </w:rPr>
        <w:t xml:space="preserve">or </w:t>
      </w:r>
      <w:r w:rsidRPr="00D970A5">
        <w:rPr>
          <w:rFonts w:ascii="Arial" w:hAnsi="Arial" w:cs="Arial"/>
          <w:b/>
          <w:bCs/>
          <w:sz w:val="22"/>
          <w:szCs w:val="22"/>
          <w:lang w:val="en-US"/>
        </w:rPr>
        <w:t>(</w:t>
      </w:r>
      <w:r>
        <w:rPr>
          <w:rFonts w:ascii="Arial" w:hAnsi="Arial" w:cs="Arial"/>
          <w:b/>
          <w:bCs/>
          <w:sz w:val="22"/>
          <w:szCs w:val="22"/>
          <w:lang w:val="en-US"/>
        </w:rPr>
        <w:t>D</w:t>
      </w:r>
      <w:r w:rsidRPr="00D970A5">
        <w:rPr>
          <w:rFonts w:ascii="Arial" w:hAnsi="Arial" w:cs="Arial"/>
          <w:b/>
          <w:bCs/>
          <w:sz w:val="22"/>
          <w:szCs w:val="22"/>
          <w:lang w:val="en-US"/>
        </w:rPr>
        <w:t>)</w:t>
      </w:r>
      <w:r>
        <w:rPr>
          <w:rFonts w:ascii="Arial" w:hAnsi="Arial" w:cs="Arial"/>
          <w:sz w:val="22"/>
          <w:szCs w:val="22"/>
          <w:lang w:val="en-US"/>
        </w:rPr>
        <w:t xml:space="preserve"> adult patients treated at DL1.</w:t>
      </w:r>
      <w:bookmarkEnd w:id="2"/>
      <w:r>
        <w:rPr>
          <w:rFonts w:ascii="Arial" w:hAnsi="Arial" w:cs="Arial"/>
          <w:sz w:val="22"/>
          <w:szCs w:val="22"/>
          <w:lang w:val="en-US"/>
        </w:rPr>
        <w:t xml:space="preserve"> </w:t>
      </w:r>
      <w:r w:rsidRPr="00B81DCF">
        <w:rPr>
          <w:rFonts w:ascii="Arial" w:hAnsi="Arial" w:cs="Arial"/>
          <w:color w:val="000000" w:themeColor="text1"/>
          <w:sz w:val="22"/>
          <w:szCs w:val="22"/>
          <w:lang w:val="en-US"/>
        </w:rPr>
        <w:t xml:space="preserve">Tn, naïve T cells; Tcm, central memory T cells; Teff, effector/effector memory T cells; Temra, </w:t>
      </w:r>
      <w:r w:rsidRPr="00B81DCF">
        <w:rPr>
          <w:rStyle w:val="Emphasis"/>
          <w:rFonts w:ascii="Arial" w:eastAsiaTheme="majorEastAsia" w:hAnsi="Arial" w:cs="Arial"/>
          <w:i w:val="0"/>
          <w:iCs w:val="0"/>
          <w:color w:val="000000" w:themeColor="text1"/>
          <w:sz w:val="22"/>
          <w:szCs w:val="22"/>
          <w:lang w:val="en-US"/>
        </w:rPr>
        <w:t>effector memory cells re-expressing CD45RA</w:t>
      </w:r>
      <w:r w:rsidRPr="00B81DCF">
        <w:rPr>
          <w:rFonts w:ascii="Arial" w:hAnsi="Arial" w:cs="Arial"/>
          <w:color w:val="000000" w:themeColor="text1"/>
          <w:sz w:val="22"/>
          <w:szCs w:val="22"/>
          <w:lang w:val="en-US"/>
        </w:rPr>
        <w:t>.</w:t>
      </w:r>
      <w:r>
        <w:rPr>
          <w:rFonts w:ascii="Arial" w:hAnsi="Arial" w:cs="Arial"/>
          <w:color w:val="000000" w:themeColor="text1"/>
          <w:sz w:val="22"/>
          <w:szCs w:val="22"/>
          <w:lang w:val="en-US"/>
        </w:rPr>
        <w:t xml:space="preserve"> </w:t>
      </w:r>
      <w:r w:rsidRPr="000C24AE">
        <w:rPr>
          <w:rFonts w:ascii="Arial" w:hAnsi="Arial" w:cs="Arial"/>
          <w:sz w:val="22"/>
          <w:szCs w:val="22"/>
          <w:lang w:val="en-US"/>
        </w:rPr>
        <w:t>LO</w:t>
      </w:r>
      <w:r>
        <w:rPr>
          <w:rFonts w:ascii="Arial" w:hAnsi="Arial" w:cs="Arial"/>
          <w:sz w:val="22"/>
          <w:szCs w:val="22"/>
          <w:lang w:val="en-US"/>
        </w:rPr>
        <w:t xml:space="preserve">, </w:t>
      </w:r>
      <w:r w:rsidRPr="000C24AE">
        <w:rPr>
          <w:rFonts w:ascii="Arial" w:hAnsi="Arial" w:cs="Arial"/>
          <w:sz w:val="22"/>
          <w:szCs w:val="22"/>
          <w:lang w:val="en-US"/>
        </w:rPr>
        <w:t>last observation</w:t>
      </w:r>
      <w:r>
        <w:rPr>
          <w:rFonts w:ascii="Arial" w:hAnsi="Arial" w:cs="Arial"/>
          <w:sz w:val="22"/>
          <w:szCs w:val="22"/>
          <w:lang w:val="en-US"/>
        </w:rPr>
        <w:t>;</w:t>
      </w:r>
      <w:r w:rsidRPr="000C24AE">
        <w:rPr>
          <w:rFonts w:ascii="Arial" w:hAnsi="Arial" w:cs="Arial"/>
          <w:sz w:val="22"/>
          <w:szCs w:val="22"/>
          <w:lang w:val="en-US"/>
        </w:rPr>
        <w:t xml:space="preserve"> LM</w:t>
      </w:r>
      <w:r>
        <w:rPr>
          <w:rFonts w:ascii="Arial" w:hAnsi="Arial" w:cs="Arial"/>
          <w:sz w:val="22"/>
          <w:szCs w:val="22"/>
          <w:lang w:val="en-US"/>
        </w:rPr>
        <w:t xml:space="preserve">, </w:t>
      </w:r>
      <w:r w:rsidRPr="000C24AE">
        <w:rPr>
          <w:rFonts w:ascii="Arial" w:hAnsi="Arial" w:cs="Arial"/>
          <w:sz w:val="22"/>
          <w:szCs w:val="22"/>
          <w:lang w:val="en-US"/>
        </w:rPr>
        <w:t>last measurement</w:t>
      </w:r>
      <w:r>
        <w:rPr>
          <w:rFonts w:ascii="Arial" w:hAnsi="Arial" w:cs="Arial"/>
          <w:sz w:val="22"/>
          <w:szCs w:val="22"/>
          <w:lang w:val="en-US"/>
        </w:rPr>
        <w:t>.</w:t>
      </w:r>
    </w:p>
    <w:p w14:paraId="25694475" w14:textId="77777777" w:rsidR="002D5A9A" w:rsidRPr="00B81DCF" w:rsidRDefault="002D5A9A" w:rsidP="002D5A9A">
      <w:pPr>
        <w:snapToGrid w:val="0"/>
        <w:spacing w:line="360" w:lineRule="auto"/>
        <w:jc w:val="both"/>
        <w:rPr>
          <w:rFonts w:ascii="Arial" w:hAnsi="Arial" w:cs="Arial"/>
          <w:sz w:val="22"/>
          <w:szCs w:val="22"/>
          <w:lang w:val="en-US"/>
        </w:rPr>
      </w:pPr>
    </w:p>
    <w:p w14:paraId="52741285" w14:textId="77777777" w:rsidR="002D5A9A" w:rsidRPr="00B81DCF" w:rsidRDefault="002D5A9A" w:rsidP="002D5A9A">
      <w:pPr>
        <w:snapToGrid w:val="0"/>
        <w:spacing w:line="360" w:lineRule="auto"/>
        <w:jc w:val="both"/>
        <w:rPr>
          <w:rFonts w:ascii="Arial" w:hAnsi="Arial" w:cs="Arial"/>
          <w:b/>
          <w:bCs/>
          <w:sz w:val="22"/>
          <w:szCs w:val="22"/>
          <w:lang w:val="en-US"/>
        </w:rPr>
      </w:pPr>
      <w:r w:rsidRPr="00B81DCF">
        <w:rPr>
          <w:rFonts w:ascii="Arial" w:hAnsi="Arial" w:cs="Arial"/>
          <w:b/>
          <w:bCs/>
          <w:sz w:val="22"/>
          <w:szCs w:val="22"/>
          <w:lang w:val="en-US"/>
        </w:rPr>
        <w:t>Extended Data Figure 7. Integration Site Analysis (ISA) of individual patient samples.</w:t>
      </w:r>
    </w:p>
    <w:p w14:paraId="49F7663C" w14:textId="77777777" w:rsidR="002D5A9A" w:rsidRDefault="002D5A9A" w:rsidP="002D5A9A">
      <w:pPr>
        <w:pStyle w:val="Caption"/>
        <w:snapToGrid w:val="0"/>
        <w:spacing w:after="0" w:line="360" w:lineRule="auto"/>
        <w:jc w:val="both"/>
        <w:rPr>
          <w:rFonts w:ascii="Arial" w:hAnsi="Arial" w:cs="Arial"/>
          <w:i w:val="0"/>
          <w:iCs w:val="0"/>
          <w:color w:val="auto"/>
          <w:sz w:val="22"/>
          <w:szCs w:val="22"/>
          <w:lang w:val="en-US"/>
        </w:rPr>
      </w:pPr>
      <w:r w:rsidRPr="00B81DCF">
        <w:rPr>
          <w:rFonts w:ascii="Arial" w:hAnsi="Arial" w:cs="Arial"/>
          <w:i w:val="0"/>
          <w:iCs w:val="0"/>
          <w:color w:val="auto"/>
          <w:sz w:val="22"/>
          <w:szCs w:val="22"/>
          <w:lang w:val="en-US"/>
        </w:rPr>
        <w:t>To understand the integration site profile of the lentiviral GD2IL18 vector in T cells of patients, extracted gDNA from the drug products and from peripheral blood at indicated visits (V09, day 14 and V10, day 28) was analyzed using the INSPIIRED (Integration Site Pipeline for paIRed-End reaDs) workflow</w:t>
      </w:r>
      <w:r w:rsidRPr="00B81DCF">
        <w:rPr>
          <w:rFonts w:ascii="Arial" w:hAnsi="Arial" w:cs="Arial"/>
          <w:i w:val="0"/>
          <w:iCs w:val="0"/>
          <w:color w:val="auto"/>
          <w:sz w:val="22"/>
          <w:szCs w:val="22"/>
          <w:lang w:val="en-US"/>
        </w:rPr>
        <w:fldChar w:fldCharType="begin">
          <w:fldData xml:space="preserve">PEVuZE5vdGU+PENpdGU+PEF1dGhvcj5CZXJyeTwvQXV0aG9yPjxZZWFyPjIwMTc8L1llYXI+PFJl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</w:fldData>
        </w:fldChar>
      </w:r>
      <w:r>
        <w:rPr>
          <w:rFonts w:ascii="Arial" w:hAnsi="Arial" w:cs="Arial"/>
          <w:i w:val="0"/>
          <w:iCs w:val="0"/>
          <w:color w:val="auto"/>
          <w:sz w:val="22"/>
          <w:szCs w:val="22"/>
          <w:lang w:val="en-US"/>
        </w:rPr>
        <w:instrText xml:space="preserve"> ADDIN EN.CITE </w:instrText>
      </w:r>
      <w:r>
        <w:rPr>
          <w:rFonts w:ascii="Arial" w:hAnsi="Arial" w:cs="Arial"/>
          <w:i w:val="0"/>
          <w:iCs w:val="0"/>
          <w:color w:val="auto"/>
          <w:sz w:val="22"/>
          <w:szCs w:val="22"/>
          <w:lang w:val="en-US"/>
        </w:rPr>
        <w:fldChar w:fldCharType="begin">
          <w:fldData xml:space="preserve">PEVuZE5vdGU+PENpdGU+PEF1dGhvcj5CZXJyeTwvQXV0aG9yPjxZZWFyPjIwMTc8L1llYXI+PFJl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</w:fldData>
        </w:fldChar>
      </w:r>
      <w:r>
        <w:rPr>
          <w:rFonts w:ascii="Arial" w:hAnsi="Arial" w:cs="Arial"/>
          <w:i w:val="0"/>
          <w:iCs w:val="0"/>
          <w:color w:val="auto"/>
          <w:sz w:val="22"/>
          <w:szCs w:val="22"/>
          <w:lang w:val="en-US"/>
        </w:rPr>
        <w:instrText xml:space="preserve"> ADDIN EN.CITE.DATA </w:instrText>
      </w:r>
      <w:r>
        <w:rPr>
          <w:rFonts w:ascii="Arial" w:hAnsi="Arial" w:cs="Arial"/>
          <w:i w:val="0"/>
          <w:iCs w:val="0"/>
          <w:color w:val="auto"/>
          <w:sz w:val="22"/>
          <w:szCs w:val="22"/>
          <w:lang w:val="en-US"/>
        </w:rPr>
      </w:r>
      <w:r>
        <w:rPr>
          <w:rFonts w:ascii="Arial" w:hAnsi="Arial" w:cs="Arial"/>
          <w:i w:val="0"/>
          <w:iCs w:val="0"/>
          <w:color w:val="auto"/>
          <w:sz w:val="22"/>
          <w:szCs w:val="22"/>
          <w:lang w:val="en-US"/>
        </w:rPr>
        <w:fldChar w:fldCharType="end"/>
      </w:r>
      <w:r w:rsidRPr="00B81DCF">
        <w:rPr>
          <w:rFonts w:ascii="Arial" w:hAnsi="Arial" w:cs="Arial"/>
          <w:i w:val="0"/>
          <w:iCs w:val="0"/>
          <w:color w:val="auto"/>
          <w:sz w:val="22"/>
          <w:szCs w:val="22"/>
          <w:lang w:val="en-US"/>
        </w:rPr>
      </w:r>
      <w:r w:rsidRPr="00B81DCF">
        <w:rPr>
          <w:rFonts w:ascii="Arial" w:hAnsi="Arial" w:cs="Arial"/>
          <w:i w:val="0"/>
          <w:iCs w:val="0"/>
          <w:color w:val="auto"/>
          <w:sz w:val="22"/>
          <w:szCs w:val="22"/>
          <w:lang w:val="en-US"/>
        </w:rPr>
        <w:fldChar w:fldCharType="separate"/>
      </w:r>
      <w:r w:rsidRPr="000B2C4C">
        <w:rPr>
          <w:rFonts w:ascii="Arial" w:hAnsi="Arial" w:cs="Arial"/>
          <w:i w:val="0"/>
          <w:iCs w:val="0"/>
          <w:noProof/>
          <w:color w:val="auto"/>
          <w:sz w:val="22"/>
          <w:szCs w:val="22"/>
          <w:vertAlign w:val="superscript"/>
          <w:lang w:val="en-US"/>
        </w:rPr>
        <w:t>47,48</w:t>
      </w:r>
      <w:r w:rsidRPr="00B81DCF">
        <w:rPr>
          <w:rFonts w:ascii="Arial" w:hAnsi="Arial" w:cs="Arial"/>
          <w:i w:val="0"/>
          <w:iCs w:val="0"/>
          <w:color w:val="auto"/>
          <w:sz w:val="22"/>
          <w:szCs w:val="22"/>
          <w:lang w:val="en-US"/>
        </w:rPr>
        <w:fldChar w:fldCharType="end"/>
      </w:r>
      <w:r w:rsidRPr="00B81DCF">
        <w:rPr>
          <w:rFonts w:ascii="Arial" w:hAnsi="Arial" w:cs="Arial"/>
          <w:i w:val="0"/>
          <w:iCs w:val="0"/>
          <w:color w:val="auto"/>
          <w:sz w:val="22"/>
          <w:szCs w:val="22"/>
          <w:lang w:val="en-US"/>
        </w:rPr>
        <w:t xml:space="preserve">. </w:t>
      </w:r>
      <w:r>
        <w:rPr>
          <w:rFonts w:ascii="Arial" w:hAnsi="Arial" w:cs="Arial"/>
          <w:i w:val="0"/>
          <w:iCs w:val="0"/>
          <w:color w:val="auto"/>
          <w:sz w:val="22"/>
          <w:szCs w:val="22"/>
          <w:lang w:val="en-US"/>
        </w:rPr>
        <w:t xml:space="preserve">Analyses in pediatric patients were limited by restrictions to </w:t>
      </w:r>
      <w:r w:rsidRPr="00B81DCF">
        <w:rPr>
          <w:rFonts w:ascii="Arial" w:hAnsi="Arial" w:cs="Arial"/>
          <w:i w:val="0"/>
          <w:iCs w:val="0"/>
          <w:color w:val="auto"/>
          <w:sz w:val="22"/>
          <w:szCs w:val="22"/>
          <w:lang w:val="en-US"/>
        </w:rPr>
        <w:t>blood sampling for complementary research. The diversity and clonality of samples can be described by the number of unique integration sites (UIS) and their contribution to the overall pool of integrations (</w:t>
      </w:r>
      <w:r>
        <w:rPr>
          <w:rFonts w:ascii="Arial" w:hAnsi="Arial" w:cs="Arial"/>
          <w:i w:val="0"/>
          <w:iCs w:val="0"/>
          <w:color w:val="auto"/>
          <w:sz w:val="22"/>
          <w:szCs w:val="22"/>
          <w:lang w:val="en-US"/>
        </w:rPr>
        <w:t xml:space="preserve">illustrated </w:t>
      </w:r>
      <w:r w:rsidRPr="00B81DCF">
        <w:rPr>
          <w:rFonts w:ascii="Arial" w:hAnsi="Arial" w:cs="Arial"/>
          <w:i w:val="0"/>
          <w:iCs w:val="0"/>
          <w:color w:val="auto"/>
          <w:sz w:val="22"/>
          <w:szCs w:val="22"/>
          <w:lang w:val="en-US"/>
        </w:rPr>
        <w:t xml:space="preserve">by the Shannon diversity index and Gini coefficient). </w:t>
      </w:r>
      <w:r w:rsidRPr="00B81DCF">
        <w:rPr>
          <w:rFonts w:ascii="Arial" w:hAnsi="Arial" w:cs="Arial"/>
          <w:b/>
          <w:bCs/>
          <w:i w:val="0"/>
          <w:iCs w:val="0"/>
          <w:color w:val="auto"/>
          <w:sz w:val="22"/>
          <w:szCs w:val="22"/>
          <w:lang w:val="en-US"/>
        </w:rPr>
        <w:t>(A)</w:t>
      </w:r>
      <w:r w:rsidRPr="00B81DCF">
        <w:rPr>
          <w:rFonts w:ascii="Arial" w:hAnsi="Arial" w:cs="Arial"/>
          <w:b/>
          <w:bCs/>
          <w:color w:val="auto"/>
          <w:sz w:val="22"/>
          <w:szCs w:val="22"/>
          <w:lang w:val="en-US"/>
        </w:rPr>
        <w:t xml:space="preserve"> </w:t>
      </w:r>
      <w:r w:rsidRPr="00B81DCF">
        <w:rPr>
          <w:rFonts w:ascii="Arial" w:hAnsi="Arial" w:cs="Arial"/>
          <w:i w:val="0"/>
          <w:iCs w:val="0"/>
          <w:color w:val="auto"/>
          <w:sz w:val="22"/>
          <w:szCs w:val="22"/>
          <w:lang w:val="en-US"/>
        </w:rPr>
        <w:t>Shannon Diversity Index. Shannon values of 2.1</w:t>
      </w:r>
      <w:r>
        <w:rPr>
          <w:rFonts w:ascii="Arial" w:hAnsi="Arial" w:cs="Arial"/>
          <w:i w:val="0"/>
          <w:iCs w:val="0"/>
          <w:color w:val="auto"/>
          <w:sz w:val="22"/>
          <w:szCs w:val="22"/>
          <w:lang w:val="en-US"/>
        </w:rPr>
        <w:t xml:space="preserve"> </w:t>
      </w:r>
      <w:r w:rsidRPr="00B81DCF">
        <w:rPr>
          <w:rFonts w:ascii="Arial" w:hAnsi="Arial" w:cs="Arial"/>
          <w:i w:val="0"/>
          <w:iCs w:val="0"/>
          <w:color w:val="auto"/>
          <w:sz w:val="22"/>
          <w:szCs w:val="22"/>
          <w:lang w:val="en-US"/>
        </w:rPr>
        <w:t>&lt;</w:t>
      </w:r>
      <w:r>
        <w:rPr>
          <w:rFonts w:ascii="Arial" w:hAnsi="Arial" w:cs="Arial"/>
          <w:i w:val="0"/>
          <w:iCs w:val="0"/>
          <w:color w:val="auto"/>
          <w:sz w:val="22"/>
          <w:szCs w:val="22"/>
          <w:lang w:val="en-US"/>
        </w:rPr>
        <w:t xml:space="preserve"> </w:t>
      </w:r>
      <w:r w:rsidRPr="00B81DCF">
        <w:rPr>
          <w:rFonts w:ascii="Arial" w:hAnsi="Arial" w:cs="Arial"/>
          <w:i w:val="0"/>
          <w:iCs w:val="0"/>
          <w:color w:val="auto"/>
          <w:sz w:val="22"/>
          <w:szCs w:val="22"/>
          <w:lang w:val="en-US"/>
        </w:rPr>
        <w:t>x</w:t>
      </w:r>
      <w:r>
        <w:rPr>
          <w:rFonts w:ascii="Arial" w:hAnsi="Arial" w:cs="Arial"/>
          <w:i w:val="0"/>
          <w:iCs w:val="0"/>
          <w:color w:val="auto"/>
          <w:sz w:val="22"/>
          <w:szCs w:val="22"/>
          <w:lang w:val="en-US"/>
        </w:rPr>
        <w:t xml:space="preserve"> </w:t>
      </w:r>
      <w:r w:rsidRPr="00B81DCF">
        <w:rPr>
          <w:rFonts w:ascii="Arial" w:hAnsi="Arial" w:cs="Arial"/>
          <w:i w:val="0"/>
          <w:iCs w:val="0"/>
          <w:color w:val="auto"/>
          <w:sz w:val="22"/>
          <w:szCs w:val="22"/>
          <w:lang w:val="en-US"/>
        </w:rPr>
        <w:t>≤</w:t>
      </w:r>
      <w:r>
        <w:rPr>
          <w:rFonts w:ascii="Arial" w:hAnsi="Arial" w:cs="Arial"/>
          <w:i w:val="0"/>
          <w:iCs w:val="0"/>
          <w:color w:val="auto"/>
          <w:sz w:val="22"/>
          <w:szCs w:val="22"/>
          <w:lang w:val="en-US"/>
        </w:rPr>
        <w:t xml:space="preserve"> </w:t>
      </w:r>
      <w:r w:rsidRPr="00B81DCF">
        <w:rPr>
          <w:rFonts w:ascii="Arial" w:hAnsi="Arial" w:cs="Arial"/>
          <w:i w:val="0"/>
          <w:iCs w:val="0"/>
          <w:color w:val="auto"/>
          <w:sz w:val="22"/>
          <w:szCs w:val="22"/>
          <w:lang w:val="en-US"/>
        </w:rPr>
        <w:t xml:space="preserve">5.5 show a polyclonal and Shannon values &gt; 5.5 a highly polyclonal situation. All patient samples showed a polyclonal to highly polyclonal integration site pattern. </w:t>
      </w:r>
      <w:r w:rsidRPr="00B81DCF">
        <w:rPr>
          <w:rFonts w:ascii="Arial" w:hAnsi="Arial" w:cs="Arial"/>
          <w:b/>
          <w:bCs/>
          <w:i w:val="0"/>
          <w:iCs w:val="0"/>
          <w:color w:val="auto"/>
          <w:sz w:val="22"/>
          <w:szCs w:val="22"/>
          <w:lang w:val="en-US"/>
        </w:rPr>
        <w:t>(B)</w:t>
      </w:r>
      <w:r w:rsidRPr="00B81DCF">
        <w:rPr>
          <w:rFonts w:ascii="Arial" w:hAnsi="Arial" w:cs="Arial"/>
          <w:b/>
          <w:bCs/>
          <w:color w:val="auto"/>
          <w:sz w:val="22"/>
          <w:szCs w:val="22"/>
          <w:lang w:val="en-US"/>
        </w:rPr>
        <w:t xml:space="preserve"> </w:t>
      </w:r>
      <w:r w:rsidRPr="00B81DCF">
        <w:rPr>
          <w:rFonts w:ascii="Arial" w:hAnsi="Arial" w:cs="Arial"/>
          <w:i w:val="0"/>
          <w:iCs w:val="0"/>
          <w:color w:val="auto"/>
          <w:sz w:val="22"/>
          <w:szCs w:val="22"/>
          <w:lang w:val="en-US"/>
        </w:rPr>
        <w:t>Gini coefficient</w:t>
      </w:r>
      <w:r w:rsidRPr="00B81DCF">
        <w:rPr>
          <w:rFonts w:ascii="Arial" w:hAnsi="Arial" w:cs="Arial"/>
          <w:color w:val="auto"/>
          <w:sz w:val="22"/>
          <w:szCs w:val="22"/>
          <w:lang w:val="en-US"/>
        </w:rPr>
        <w:t xml:space="preserve">. </w:t>
      </w:r>
      <w:r w:rsidRPr="00B81DCF">
        <w:rPr>
          <w:rFonts w:ascii="Arial" w:hAnsi="Arial" w:cs="Arial"/>
          <w:i w:val="0"/>
          <w:iCs w:val="0"/>
          <w:color w:val="auto"/>
          <w:sz w:val="22"/>
          <w:szCs w:val="22"/>
          <w:lang w:val="en-US"/>
        </w:rPr>
        <w:t xml:space="preserve">The Gini index runs from 0 to 1. A low Gini index suggests a polyclonal situation with even sequence abundance distribution. </w:t>
      </w:r>
      <w:r w:rsidRPr="00B81DCF">
        <w:rPr>
          <w:rFonts w:ascii="Arial" w:hAnsi="Arial" w:cs="Arial"/>
          <w:b/>
          <w:bCs/>
          <w:i w:val="0"/>
          <w:iCs w:val="0"/>
          <w:color w:val="auto"/>
          <w:sz w:val="22"/>
          <w:szCs w:val="22"/>
          <w:lang w:val="en-US"/>
        </w:rPr>
        <w:t xml:space="preserve">(C) </w:t>
      </w:r>
      <w:r w:rsidRPr="00B81DCF">
        <w:rPr>
          <w:rFonts w:ascii="Arial" w:hAnsi="Arial" w:cs="Arial"/>
          <w:i w:val="0"/>
          <w:iCs w:val="0"/>
          <w:color w:val="auto"/>
          <w:sz w:val="22"/>
          <w:szCs w:val="22"/>
          <w:lang w:val="en-US"/>
        </w:rPr>
        <w:t>Unique Integration Sites (UIS).</w:t>
      </w:r>
      <w:r w:rsidRPr="00B81DCF">
        <w:rPr>
          <w:rFonts w:ascii="Arial" w:hAnsi="Arial" w:cs="Arial"/>
          <w:b/>
          <w:bCs/>
          <w:color w:val="auto"/>
          <w:sz w:val="22"/>
          <w:szCs w:val="22"/>
          <w:lang w:val="en-US"/>
        </w:rPr>
        <w:t xml:space="preserve"> </w:t>
      </w:r>
      <w:r w:rsidRPr="00B81DCF">
        <w:rPr>
          <w:rFonts w:ascii="Arial" w:hAnsi="Arial" w:cs="Arial"/>
          <w:i w:val="0"/>
          <w:iCs w:val="0"/>
          <w:color w:val="auto"/>
          <w:sz w:val="22"/>
          <w:szCs w:val="22"/>
          <w:lang w:val="en-US"/>
        </w:rPr>
        <w:t xml:space="preserve">The graph shows the number of detected unique integrations within the analyzed sample. </w:t>
      </w:r>
      <w:r w:rsidRPr="00B81DCF">
        <w:rPr>
          <w:rFonts w:ascii="Arial" w:hAnsi="Arial" w:cs="Arial"/>
          <w:b/>
          <w:bCs/>
          <w:i w:val="0"/>
          <w:iCs w:val="0"/>
          <w:color w:val="auto"/>
          <w:sz w:val="22"/>
          <w:szCs w:val="22"/>
          <w:lang w:val="en-US"/>
        </w:rPr>
        <w:t xml:space="preserve">(D) </w:t>
      </w:r>
      <w:r w:rsidRPr="00B81DCF">
        <w:rPr>
          <w:rFonts w:ascii="Arial" w:hAnsi="Arial" w:cs="Arial"/>
          <w:i w:val="0"/>
          <w:iCs w:val="0"/>
          <w:color w:val="auto"/>
          <w:sz w:val="22"/>
          <w:szCs w:val="22"/>
          <w:lang w:val="en-US"/>
        </w:rPr>
        <w:t>UIS near oncogenes. UIS within 100 kb of oncogenes in indicated time</w:t>
      </w:r>
      <w:r>
        <w:rPr>
          <w:rFonts w:ascii="Arial" w:hAnsi="Arial" w:cs="Arial"/>
          <w:i w:val="0"/>
          <w:iCs w:val="0"/>
          <w:color w:val="auto"/>
          <w:sz w:val="22"/>
          <w:szCs w:val="22"/>
          <w:lang w:val="en-US"/>
        </w:rPr>
        <w:t xml:space="preserve"> </w:t>
      </w:r>
      <w:r w:rsidRPr="00B81DCF">
        <w:rPr>
          <w:rFonts w:ascii="Arial" w:hAnsi="Arial" w:cs="Arial"/>
          <w:i w:val="0"/>
          <w:iCs w:val="0"/>
          <w:color w:val="auto"/>
          <w:sz w:val="22"/>
          <w:szCs w:val="22"/>
          <w:lang w:val="en-US"/>
        </w:rPr>
        <w:t xml:space="preserve">points. The green-colored area indicates the confidence intervals of the random controls including the expected mean percentage (16%) of hits close to (proto)-oncogenes according to the size of the dataset. The percentages of hits near oncogenes in patient samples were statistically not different from matched random control datasets. </w:t>
      </w:r>
      <w:r w:rsidRPr="00B81DCF">
        <w:rPr>
          <w:rFonts w:ascii="Arial" w:hAnsi="Arial" w:cs="Arial"/>
          <w:b/>
          <w:bCs/>
          <w:i w:val="0"/>
          <w:iCs w:val="0"/>
          <w:color w:val="auto"/>
          <w:sz w:val="22"/>
          <w:szCs w:val="22"/>
          <w:lang w:val="en-US"/>
        </w:rPr>
        <w:t>(E)</w:t>
      </w:r>
      <w:r w:rsidRPr="00B81DCF">
        <w:rPr>
          <w:rFonts w:ascii="Arial" w:hAnsi="Arial" w:cs="Arial"/>
          <w:i w:val="0"/>
          <w:iCs w:val="0"/>
          <w:color w:val="auto"/>
          <w:sz w:val="22"/>
          <w:szCs w:val="22"/>
          <w:lang w:val="en-US"/>
        </w:rPr>
        <w:t xml:space="preserve"> Stacked bar graphs of the top 10 contributing integrations at each measured time point over time. The colored areas represent the top 10 contributing integrations at any time point. The grey area represents all other integrations. The x-axis gives the time point of sampling in days after treatment. * integration within a transcription unit; ~ integration within 50 kb of proto-oncogene. Overall, all analyzed patient samples showed high Shannon and low Gini ind</w:t>
      </w:r>
      <w:r>
        <w:rPr>
          <w:rFonts w:ascii="Arial" w:hAnsi="Arial" w:cs="Arial"/>
          <w:i w:val="0"/>
          <w:iCs w:val="0"/>
          <w:color w:val="auto"/>
          <w:sz w:val="22"/>
          <w:szCs w:val="22"/>
          <w:lang w:val="en-US"/>
        </w:rPr>
        <w:t>ic</w:t>
      </w:r>
      <w:r w:rsidRPr="00B81DCF">
        <w:rPr>
          <w:rFonts w:ascii="Arial" w:hAnsi="Arial" w:cs="Arial"/>
          <w:i w:val="0"/>
          <w:iCs w:val="0"/>
          <w:color w:val="auto"/>
          <w:sz w:val="22"/>
          <w:szCs w:val="22"/>
          <w:lang w:val="en-US"/>
        </w:rPr>
        <w:t>es, reflecting a polyclonal to highly polyclonal and typical lentiviral insertion site pattern with no dominant clones and no integrations close to high-risk (proto)-oncogenes.</w:t>
      </w:r>
    </w:p>
    <w:p w14:paraId="3319F78B" w14:textId="77777777" w:rsidR="002D5A9A" w:rsidRPr="00FB0B38" w:rsidRDefault="002D5A9A" w:rsidP="002D5A9A">
      <w:pPr>
        <w:rPr>
          <w:lang w:val="en-US" w:eastAsia="en-US"/>
        </w:rPr>
      </w:pPr>
    </w:p>
    <w:p w14:paraId="063A70FB" w14:textId="77777777" w:rsidR="002D5A9A" w:rsidRPr="00B81DCF" w:rsidRDefault="002D5A9A" w:rsidP="002D5A9A">
      <w:pPr>
        <w:spacing w:line="360" w:lineRule="auto"/>
        <w:jc w:val="both"/>
        <w:rPr>
          <w:rFonts w:ascii="Arial" w:hAnsi="Arial" w:cs="Arial"/>
          <w:sz w:val="22"/>
          <w:szCs w:val="22"/>
          <w:lang w:val="en-US"/>
        </w:rPr>
      </w:pPr>
    </w:p>
    <w:p w14:paraId="0B0D0CBA" w14:textId="77777777" w:rsidR="002D5A9A" w:rsidRPr="00B81DCF" w:rsidRDefault="002D5A9A" w:rsidP="002D5A9A">
      <w:pPr>
        <w:spacing w:line="360" w:lineRule="auto"/>
        <w:rPr>
          <w:rFonts w:ascii="Arial" w:hAnsi="Arial" w:cs="Arial"/>
          <w:b/>
          <w:bCs/>
          <w:sz w:val="22"/>
          <w:szCs w:val="22"/>
          <w:lang w:val="en-US"/>
        </w:rPr>
      </w:pPr>
      <w:r w:rsidRPr="00B81DCF">
        <w:rPr>
          <w:rFonts w:ascii="Arial" w:hAnsi="Arial" w:cs="Arial"/>
          <w:b/>
          <w:bCs/>
          <w:sz w:val="22"/>
          <w:szCs w:val="22"/>
          <w:lang w:val="en-US"/>
        </w:rPr>
        <w:t>Extended Data Figure 8. Inflammatory cytokine secretion patterns after GD2IL18CART</w:t>
      </w:r>
    </w:p>
    <w:p w14:paraId="0EADF040" w14:textId="77777777" w:rsidR="002D5A9A" w:rsidRPr="00B81DCF" w:rsidRDefault="002D5A9A" w:rsidP="002D5A9A">
      <w:pPr>
        <w:spacing w:line="360" w:lineRule="auto"/>
        <w:jc w:val="both"/>
        <w:rPr>
          <w:rFonts w:ascii="Arial" w:hAnsi="Arial" w:cs="Arial"/>
          <w:sz w:val="22"/>
          <w:szCs w:val="22"/>
          <w:lang w:val="en-US"/>
        </w:rPr>
      </w:pPr>
      <w:r w:rsidRPr="00B81DCF">
        <w:rPr>
          <w:rFonts w:ascii="Arial" w:hAnsi="Arial" w:cs="Arial"/>
          <w:b/>
          <w:bCs/>
          <w:color w:val="000000" w:themeColor="text1"/>
          <w:sz w:val="22"/>
          <w:szCs w:val="22"/>
          <w:lang w:val="en-US"/>
        </w:rPr>
        <w:t>(A)</w:t>
      </w:r>
      <w:r w:rsidRPr="00B81DCF">
        <w:rPr>
          <w:rFonts w:ascii="Arial" w:hAnsi="Arial" w:cs="Arial"/>
          <w:color w:val="000000" w:themeColor="text1"/>
          <w:sz w:val="22"/>
          <w:szCs w:val="22"/>
          <w:lang w:val="en-US"/>
        </w:rPr>
        <w:t xml:space="preserve"> </w:t>
      </w:r>
      <w:r w:rsidRPr="00B81DCF">
        <w:rPr>
          <w:rFonts w:ascii="Arial" w:hAnsi="Arial" w:cs="Arial"/>
          <w:sz w:val="22"/>
          <w:szCs w:val="22"/>
          <w:lang w:val="en-US"/>
        </w:rPr>
        <w:t xml:space="preserve">Serum concentrations of </w:t>
      </w:r>
      <w:r w:rsidRPr="00B81DCF">
        <w:rPr>
          <w:rFonts w:ascii="Arial" w:hAnsi="Arial" w:cs="Arial"/>
          <w:color w:val="000000" w:themeColor="text1"/>
          <w:sz w:val="22"/>
          <w:szCs w:val="22"/>
          <w:lang w:val="en-US"/>
        </w:rPr>
        <w:t xml:space="preserve">CXCL-10, IL-12, IL2RA, IL-4 and IL-13 in serum of </w:t>
      </w:r>
      <w:r w:rsidRPr="00B81DCF">
        <w:rPr>
          <w:rFonts w:ascii="Arial" w:hAnsi="Arial" w:cs="Arial"/>
          <w:sz w:val="22"/>
          <w:szCs w:val="22"/>
          <w:lang w:val="en-US"/>
        </w:rPr>
        <w:t>pediatric (upper panels) and adult (lower panels) patients</w:t>
      </w:r>
      <w:r w:rsidRPr="00B81DCF">
        <w:rPr>
          <w:rFonts w:ascii="Arial" w:hAnsi="Arial" w:cs="Arial"/>
          <w:color w:val="000000" w:themeColor="text1"/>
          <w:sz w:val="22"/>
          <w:szCs w:val="22"/>
          <w:lang w:val="en-US"/>
        </w:rPr>
        <w:t xml:space="preserve"> by </w:t>
      </w:r>
      <w:r w:rsidRPr="00B81DCF">
        <w:rPr>
          <w:rFonts w:ascii="Arial" w:hAnsi="Arial" w:cs="Arial"/>
          <w:sz w:val="22"/>
          <w:szCs w:val="22"/>
          <w:lang w:val="en-US"/>
        </w:rPr>
        <w:t>Ella™ Automated ELISA.</w:t>
      </w:r>
    </w:p>
    <w:p w14:paraId="41E66EF6" w14:textId="77777777" w:rsidR="002D5A9A" w:rsidRPr="001A6E6B" w:rsidRDefault="002D5A9A" w:rsidP="002D5A9A">
      <w:pPr>
        <w:spacing w:line="360" w:lineRule="auto"/>
        <w:jc w:val="both"/>
        <w:rPr>
          <w:rFonts w:ascii="Arial" w:hAnsi="Arial" w:cs="Arial"/>
          <w:sz w:val="22"/>
          <w:szCs w:val="22"/>
          <w:lang w:val="en-US"/>
        </w:rPr>
      </w:pPr>
      <w:r w:rsidRPr="00B81DCF">
        <w:rPr>
          <w:rFonts w:ascii="Arial" w:hAnsi="Arial" w:cs="Arial"/>
          <w:b/>
          <w:bCs/>
          <w:sz w:val="22"/>
          <w:szCs w:val="22"/>
          <w:lang w:val="en-US"/>
        </w:rPr>
        <w:t>(B)</w:t>
      </w:r>
      <w:r w:rsidRPr="00B81DCF">
        <w:rPr>
          <w:rFonts w:ascii="Arial" w:hAnsi="Arial" w:cs="Arial"/>
          <w:sz w:val="22"/>
          <w:szCs w:val="22"/>
          <w:lang w:val="en-US"/>
        </w:rPr>
        <w:t xml:space="preserve"> Longitudinal serum concentrations of total IL-18 (IL-18/IL-18BP), IL-18BP, IFN-</w:t>
      </w:r>
      <w:r w:rsidRPr="00B81DCF">
        <w:rPr>
          <w:rFonts w:ascii="Arial" w:hAnsi="Arial" w:cs="Arial"/>
          <w:sz w:val="22"/>
          <w:szCs w:val="22"/>
          <w:lang w:val="en-US"/>
        </w:rPr>
        <w:sym w:font="Symbol" w:char="F067"/>
      </w:r>
      <w:r w:rsidRPr="00B81DCF">
        <w:rPr>
          <w:rFonts w:ascii="Arial" w:hAnsi="Arial" w:cs="Arial"/>
          <w:sz w:val="22"/>
          <w:szCs w:val="22"/>
          <w:lang w:val="en-US"/>
        </w:rPr>
        <w:t xml:space="preserve"> and CXCL9 during CAR T-cell expansion and contraction in </w:t>
      </w:r>
      <w:r>
        <w:rPr>
          <w:rFonts w:ascii="Arial" w:hAnsi="Arial" w:cs="Arial"/>
          <w:sz w:val="22"/>
          <w:szCs w:val="22"/>
          <w:lang w:val="en-US"/>
        </w:rPr>
        <w:t xml:space="preserve">four </w:t>
      </w:r>
      <w:r w:rsidRPr="00B81DCF">
        <w:rPr>
          <w:rFonts w:ascii="Arial" w:hAnsi="Arial" w:cs="Arial"/>
          <w:sz w:val="22"/>
          <w:szCs w:val="22"/>
          <w:lang w:val="en-US"/>
        </w:rPr>
        <w:t xml:space="preserve">patients. Cerebrospinal fluid (CSF) concentrations are shown for P_04. P_02 is a neuroblastoma patient with mild inflammatory toxicity and a complete response to GD2IL18CART at DL1. P_04 represents the pediatric Ewing sarcoma patient treated at DL2 who developed fatal hyperinflammation. P_13 represents a pediatric neuroblastoma patient with mild toxicity (maximum grade 1 CRS) and </w:t>
      </w:r>
      <w:r w:rsidRPr="00B81DCF">
        <w:rPr>
          <w:rFonts w:ascii="Arial" w:hAnsi="Arial" w:cs="Arial"/>
          <w:sz w:val="22"/>
          <w:szCs w:val="22"/>
          <w:lang w:val="en-US"/>
        </w:rPr>
        <w:lastRenderedPageBreak/>
        <w:t>stable disease, and A_01 an adult Ewing sarcoma patient with moderate, manageable toxicity, including CRS grade 2, ICANS grade 1 and IEC-HS grade 1, and progressive disease.</w:t>
      </w:r>
    </w:p>
    <w:p w14:paraId="403BB78C" w14:textId="77777777" w:rsidR="002D5A9A" w:rsidRPr="00B81DCF" w:rsidRDefault="002D5A9A" w:rsidP="002D5A9A">
      <w:pPr>
        <w:spacing w:line="360" w:lineRule="auto"/>
        <w:jc w:val="both"/>
        <w:rPr>
          <w:rFonts w:ascii="Arial" w:hAnsi="Arial" w:cs="Arial"/>
          <w:color w:val="000000" w:themeColor="text1"/>
          <w:sz w:val="22"/>
          <w:szCs w:val="22"/>
          <w:lang w:val="en-US"/>
        </w:rPr>
      </w:pPr>
    </w:p>
    <w:p w14:paraId="4DFD4A14" w14:textId="77777777" w:rsidR="002D5A9A" w:rsidRPr="00B81DCF" w:rsidRDefault="002D5A9A" w:rsidP="002D5A9A">
      <w:pPr>
        <w:tabs>
          <w:tab w:val="left" w:pos="2552"/>
        </w:tabs>
        <w:spacing w:line="360" w:lineRule="auto"/>
        <w:jc w:val="both"/>
        <w:rPr>
          <w:rFonts w:ascii="Arial" w:hAnsi="Arial" w:cs="Arial"/>
          <w:b/>
          <w:bCs/>
          <w:sz w:val="22"/>
          <w:szCs w:val="22"/>
          <w:lang w:val="en-US"/>
        </w:rPr>
      </w:pPr>
      <w:r w:rsidRPr="00B81DCF">
        <w:rPr>
          <w:rFonts w:ascii="Arial" w:hAnsi="Arial" w:cs="Arial"/>
          <w:b/>
          <w:bCs/>
          <w:color w:val="000000" w:themeColor="text1"/>
          <w:sz w:val="22"/>
          <w:szCs w:val="22"/>
          <w:lang w:val="en-US"/>
        </w:rPr>
        <w:t>Extended Data Figure 9. Extended data set for multicolor spatial imaging analysis</w:t>
      </w:r>
      <w:r w:rsidRPr="00B81DCF">
        <w:rPr>
          <w:rFonts w:ascii="Arial" w:hAnsi="Arial" w:cs="Arial"/>
          <w:b/>
          <w:bCs/>
          <w:sz w:val="22"/>
          <w:szCs w:val="22"/>
          <w:lang w:val="en-US"/>
        </w:rPr>
        <w:t xml:space="preserve"> </w:t>
      </w:r>
    </w:p>
    <w:p w14:paraId="090FC167" w14:textId="77777777" w:rsidR="002D5A9A" w:rsidRDefault="002D5A9A" w:rsidP="002D5A9A">
      <w:pPr>
        <w:tabs>
          <w:tab w:val="left" w:pos="2552"/>
        </w:tabs>
        <w:spacing w:line="360" w:lineRule="auto"/>
        <w:jc w:val="both"/>
        <w:rPr>
          <w:rFonts w:ascii="Arial" w:hAnsi="Arial" w:cs="Arial"/>
          <w:sz w:val="22"/>
          <w:szCs w:val="22"/>
          <w:lang w:val="en-US"/>
        </w:rPr>
      </w:pPr>
      <w:r w:rsidRPr="00B81DCF">
        <w:rPr>
          <w:rFonts w:ascii="Arial" w:hAnsi="Arial" w:cs="Arial"/>
          <w:b/>
          <w:bCs/>
          <w:sz w:val="22"/>
          <w:szCs w:val="22"/>
          <w:lang w:val="en-US"/>
        </w:rPr>
        <w:t xml:space="preserve">(A) </w:t>
      </w:r>
      <w:r w:rsidRPr="00B81DCF">
        <w:rPr>
          <w:rFonts w:ascii="Arial" w:hAnsi="Arial" w:cs="Arial"/>
          <w:sz w:val="22"/>
          <w:szCs w:val="22"/>
          <w:lang w:val="en-US"/>
        </w:rPr>
        <w:t xml:space="preserve">MICS images of pre-treatment tumor tissue of responding patient P_01. Markers are depicted in colors as indicated. DAPI is omitted in the magnified image for clarity. White rectangle indicates a tertiary lymphoid structure at higher magnification. Scale bars represent 1 mm (B) and 100 µm (D). </w:t>
      </w:r>
      <w:r w:rsidRPr="00B81DCF">
        <w:rPr>
          <w:rFonts w:ascii="Arial" w:hAnsi="Arial" w:cs="Arial"/>
          <w:b/>
          <w:bCs/>
          <w:sz w:val="22"/>
          <w:szCs w:val="22"/>
          <w:lang w:val="en-US"/>
        </w:rPr>
        <w:t>(B)</w:t>
      </w:r>
      <w:r w:rsidRPr="00B81DCF">
        <w:rPr>
          <w:rFonts w:ascii="Arial" w:hAnsi="Arial" w:cs="Arial"/>
          <w:sz w:val="22"/>
          <w:szCs w:val="22"/>
          <w:lang w:val="en-US"/>
        </w:rPr>
        <w:t xml:space="preserve"> Representative violin plot used for cell type annotation, showing marker expression levels of lymphoid subsets after subclustering and overall cell numbers in the pre-treatment sample from patient P_01. </w:t>
      </w:r>
      <w:r w:rsidRPr="00B81DCF">
        <w:rPr>
          <w:rFonts w:ascii="Arial" w:hAnsi="Arial" w:cs="Arial"/>
          <w:b/>
          <w:bCs/>
          <w:sz w:val="22"/>
          <w:szCs w:val="22"/>
          <w:lang w:val="en-US"/>
        </w:rPr>
        <w:t>(C)</w:t>
      </w:r>
      <w:r w:rsidRPr="00B81DCF">
        <w:rPr>
          <w:rFonts w:ascii="Arial" w:hAnsi="Arial" w:cs="Arial"/>
          <w:sz w:val="22"/>
          <w:szCs w:val="22"/>
          <w:lang w:val="en-US"/>
        </w:rPr>
        <w:t xml:space="preserve"> Percentages of total cells assigned to the lymphocyte compartment with and without inclusion of tertiary lymphoid structures (TLS) in P_01. </w:t>
      </w:r>
      <w:r w:rsidRPr="00B81DCF">
        <w:rPr>
          <w:rFonts w:ascii="Arial" w:hAnsi="Arial" w:cs="Arial"/>
          <w:b/>
          <w:bCs/>
          <w:sz w:val="22"/>
          <w:szCs w:val="22"/>
          <w:lang w:val="en-US"/>
        </w:rPr>
        <w:t>(D)</w:t>
      </w:r>
      <w:r w:rsidRPr="00B81DCF">
        <w:rPr>
          <w:rFonts w:ascii="Arial" w:hAnsi="Arial" w:cs="Arial"/>
          <w:sz w:val="22"/>
          <w:szCs w:val="22"/>
          <w:lang w:val="en-US"/>
        </w:rPr>
        <w:t xml:space="preserve"> Percentages of myeloid subsets within the myeloid compartment for pre-treatment samples of responding patients P_01 and P_05 and non-responding patients P_03 and P_06. </w:t>
      </w:r>
      <w:r w:rsidRPr="00B81DCF">
        <w:rPr>
          <w:rFonts w:ascii="Arial" w:hAnsi="Arial" w:cs="Arial"/>
          <w:b/>
          <w:bCs/>
          <w:sz w:val="22"/>
          <w:szCs w:val="22"/>
          <w:lang w:val="en-US"/>
        </w:rPr>
        <w:t>(E)</w:t>
      </w:r>
      <w:r w:rsidRPr="00B81DCF">
        <w:rPr>
          <w:rFonts w:ascii="Arial" w:hAnsi="Arial" w:cs="Arial"/>
          <w:sz w:val="22"/>
          <w:szCs w:val="22"/>
          <w:lang w:val="en-US"/>
        </w:rPr>
        <w:t xml:space="preserve"> Percentages of total cells for </w:t>
      </w:r>
      <w:r w:rsidRPr="00B81DCF">
        <w:rPr>
          <w:rFonts w:ascii="Arial" w:hAnsi="Arial" w:cs="Arial"/>
          <w:color w:val="000000" w:themeColor="text1"/>
          <w:sz w:val="22"/>
          <w:szCs w:val="22"/>
          <w:lang w:val="en-US"/>
        </w:rPr>
        <w:t xml:space="preserve">stroma </w:t>
      </w:r>
      <w:r w:rsidRPr="00B81DCF">
        <w:rPr>
          <w:rFonts w:ascii="Arial" w:hAnsi="Arial" w:cs="Arial"/>
          <w:sz w:val="22"/>
          <w:szCs w:val="22"/>
          <w:lang w:val="en-US"/>
        </w:rPr>
        <w:t>subsets for pre-treatment samples of responding patients P_01 and P_05 and non-responding patients P_03 and P_06.</w:t>
      </w:r>
      <w:r w:rsidRPr="00B81DCF">
        <w:rPr>
          <w:rFonts w:ascii="Arial" w:hAnsi="Arial" w:cs="Arial"/>
          <w:b/>
          <w:bCs/>
          <w:sz w:val="22"/>
          <w:szCs w:val="22"/>
          <w:lang w:val="en-US"/>
        </w:rPr>
        <w:t xml:space="preserve"> (F)</w:t>
      </w:r>
      <w:r w:rsidRPr="00B81DCF">
        <w:rPr>
          <w:rFonts w:ascii="Arial" w:hAnsi="Arial" w:cs="Arial"/>
          <w:sz w:val="22"/>
          <w:szCs w:val="22"/>
          <w:lang w:val="en-US"/>
        </w:rPr>
        <w:t xml:space="preserve"> Percentages of myeloid subsets </w:t>
      </w:r>
      <w:r>
        <w:rPr>
          <w:rFonts w:ascii="Arial" w:hAnsi="Arial" w:cs="Arial"/>
          <w:sz w:val="22"/>
          <w:szCs w:val="22"/>
          <w:lang w:val="en-US"/>
        </w:rPr>
        <w:t xml:space="preserve">within the myeloid compartment of </w:t>
      </w:r>
      <w:r w:rsidRPr="00B81DCF">
        <w:rPr>
          <w:rFonts w:ascii="Arial" w:hAnsi="Arial" w:cs="Arial"/>
          <w:sz w:val="22"/>
          <w:szCs w:val="22"/>
          <w:lang w:val="en-US"/>
        </w:rPr>
        <w:t xml:space="preserve">pre- and post-treatment samples of patient P_03. </w:t>
      </w:r>
      <w:r w:rsidRPr="00B81DCF">
        <w:rPr>
          <w:rFonts w:ascii="Arial" w:hAnsi="Arial" w:cs="Arial"/>
          <w:b/>
          <w:bCs/>
          <w:sz w:val="22"/>
          <w:szCs w:val="22"/>
          <w:lang w:val="en-US"/>
        </w:rPr>
        <w:t>(G)</w:t>
      </w:r>
      <w:r w:rsidRPr="00B81DCF">
        <w:rPr>
          <w:rFonts w:ascii="Arial" w:hAnsi="Arial" w:cs="Arial"/>
          <w:sz w:val="22"/>
          <w:szCs w:val="22"/>
          <w:lang w:val="en-US"/>
        </w:rPr>
        <w:t xml:space="preserve"> Percentages of total cells for </w:t>
      </w:r>
      <w:r w:rsidRPr="00B81DCF">
        <w:rPr>
          <w:rFonts w:ascii="Arial" w:hAnsi="Arial" w:cs="Arial"/>
          <w:color w:val="000000" w:themeColor="text1"/>
          <w:sz w:val="22"/>
          <w:szCs w:val="22"/>
          <w:lang w:val="en-US"/>
        </w:rPr>
        <w:t xml:space="preserve">stroma </w:t>
      </w:r>
      <w:r w:rsidRPr="00B81DCF">
        <w:rPr>
          <w:rFonts w:ascii="Arial" w:hAnsi="Arial" w:cs="Arial"/>
          <w:sz w:val="22"/>
          <w:szCs w:val="22"/>
          <w:lang w:val="en-US"/>
        </w:rPr>
        <w:t xml:space="preserve">subsets </w:t>
      </w:r>
      <w:r>
        <w:rPr>
          <w:rFonts w:ascii="Arial" w:hAnsi="Arial" w:cs="Arial"/>
          <w:sz w:val="22"/>
          <w:szCs w:val="22"/>
          <w:lang w:val="en-US"/>
        </w:rPr>
        <w:t>for</w:t>
      </w:r>
      <w:r w:rsidRPr="00B81DCF">
        <w:rPr>
          <w:rFonts w:ascii="Arial" w:hAnsi="Arial" w:cs="Arial"/>
          <w:sz w:val="22"/>
          <w:szCs w:val="22"/>
          <w:lang w:val="en-US"/>
        </w:rPr>
        <w:t xml:space="preserve"> pre- and post-therapeutic tumor tissue of P_03. </w:t>
      </w:r>
    </w:p>
    <w:p w14:paraId="3C7B419E"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A9A"/>
    <w:rsid w:val="002D5A9A"/>
    <w:rsid w:val="00767E38"/>
    <w:rsid w:val="00866F7D"/>
    <w:rsid w:val="00EE5CC4"/>
    <w:rsid w:val="00FA5B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BB03"/>
  <w15:chartTrackingRefBased/>
  <w15:docId w15:val="{F2DD335F-267C-46E8-8F09-A80353E8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A9A"/>
    <w:pPr>
      <w:spacing w:after="0" w:line="240" w:lineRule="auto"/>
    </w:pPr>
    <w:rPr>
      <w:rFonts w:ascii="Times New Roman" w:eastAsia="Times New Roman" w:hAnsi="Times New Roman" w:cs="Times New Roman"/>
      <w:kern w:val="0"/>
      <w:lang w:val="de-DE" w:eastAsia="en-GB"/>
      <w14:ligatures w14:val="none"/>
    </w:rPr>
  </w:style>
  <w:style w:type="paragraph" w:styleId="Heading1">
    <w:name w:val="heading 1"/>
    <w:basedOn w:val="Normal"/>
    <w:next w:val="Normal"/>
    <w:link w:val="Heading1Char"/>
    <w:uiPriority w:val="9"/>
    <w:qFormat/>
    <w:rsid w:val="002D5A9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2D5A9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2D5A9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2D5A9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2D5A9A"/>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2D5A9A"/>
    <w:pPr>
      <w:keepNext/>
      <w:keepLines/>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2D5A9A"/>
    <w:pPr>
      <w:keepNext/>
      <w:keepLines/>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2D5A9A"/>
    <w:pPr>
      <w:keepNext/>
      <w:keepLines/>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2D5A9A"/>
    <w:pPr>
      <w:keepNext/>
      <w:keepLines/>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A9A"/>
    <w:rPr>
      <w:rFonts w:eastAsiaTheme="majorEastAsia" w:cstheme="majorBidi"/>
      <w:color w:val="272727" w:themeColor="text1" w:themeTint="D8"/>
    </w:rPr>
  </w:style>
  <w:style w:type="paragraph" w:styleId="Title">
    <w:name w:val="Title"/>
    <w:basedOn w:val="Normal"/>
    <w:next w:val="Normal"/>
    <w:link w:val="TitleChar"/>
    <w:uiPriority w:val="10"/>
    <w:qFormat/>
    <w:rsid w:val="002D5A9A"/>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2D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A9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2D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A9A"/>
    <w:pPr>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2D5A9A"/>
    <w:rPr>
      <w:i/>
      <w:iCs/>
      <w:color w:val="404040" w:themeColor="text1" w:themeTint="BF"/>
    </w:rPr>
  </w:style>
  <w:style w:type="paragraph" w:styleId="ListParagraph">
    <w:name w:val="List Paragraph"/>
    <w:basedOn w:val="Normal"/>
    <w:uiPriority w:val="34"/>
    <w:qFormat/>
    <w:rsid w:val="002D5A9A"/>
    <w:pPr>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2D5A9A"/>
    <w:rPr>
      <w:i/>
      <w:iCs/>
      <w:color w:val="0F4761" w:themeColor="accent1" w:themeShade="BF"/>
    </w:rPr>
  </w:style>
  <w:style w:type="paragraph" w:styleId="IntenseQuote">
    <w:name w:val="Intense Quote"/>
    <w:basedOn w:val="Normal"/>
    <w:next w:val="Normal"/>
    <w:link w:val="IntenseQuoteChar"/>
    <w:uiPriority w:val="30"/>
    <w:qFormat/>
    <w:rsid w:val="002D5A9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2D5A9A"/>
    <w:rPr>
      <w:i/>
      <w:iCs/>
      <w:color w:val="0F4761" w:themeColor="accent1" w:themeShade="BF"/>
    </w:rPr>
  </w:style>
  <w:style w:type="character" w:styleId="IntenseReference">
    <w:name w:val="Intense Reference"/>
    <w:basedOn w:val="DefaultParagraphFont"/>
    <w:uiPriority w:val="32"/>
    <w:qFormat/>
    <w:rsid w:val="002D5A9A"/>
    <w:rPr>
      <w:b/>
      <w:bCs/>
      <w:smallCaps/>
      <w:color w:val="0F4761" w:themeColor="accent1" w:themeShade="BF"/>
      <w:spacing w:val="5"/>
    </w:rPr>
  </w:style>
  <w:style w:type="character" w:styleId="Emphasis">
    <w:name w:val="Emphasis"/>
    <w:basedOn w:val="DefaultParagraphFont"/>
    <w:uiPriority w:val="20"/>
    <w:qFormat/>
    <w:rsid w:val="002D5A9A"/>
    <w:rPr>
      <w:i/>
      <w:iCs/>
    </w:rPr>
  </w:style>
  <w:style w:type="table" w:styleId="PlainTable4">
    <w:name w:val="Plain Table 4"/>
    <w:basedOn w:val="TableNormal"/>
    <w:uiPriority w:val="44"/>
    <w:rsid w:val="002D5A9A"/>
    <w:pPr>
      <w:spacing w:after="0" w:line="240" w:lineRule="auto"/>
    </w:pPr>
    <w:rPr>
      <w:lang w:val="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2D5A9A"/>
    <w:pPr>
      <w:spacing w:after="200"/>
    </w:pPr>
    <w:rPr>
      <w:rFonts w:asciiTheme="minorHAnsi" w:eastAsiaTheme="minorHAnsi" w:hAnsiTheme="minorHAnsi" w:cstheme="minorBidi"/>
      <w:i/>
      <w:iCs/>
      <w:color w:val="0E2841"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2389</Words>
  <Characters>13622</Characters>
  <Application>Microsoft Office Word</Application>
  <DocSecurity>0</DocSecurity>
  <Lines>113</Lines>
  <Paragraphs>31</Paragraphs>
  <ScaleCrop>false</ScaleCrop>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2026-10-07T10:30:00Z</dcterms:created>
  <dcterms:modified xsi:type="dcterms:W3CDTF">2026-10-07T10:30:00Z</dcterms:modified>
</cp:coreProperties>
</file>