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2BC6B4">
      <w:pPr>
        <w:spacing w:line="480" w:lineRule="auto"/>
        <w:ind w:firstLine="241" w:firstLineChars="100"/>
        <w:jc w:val="center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Information(SI)</w:t>
      </w:r>
    </w:p>
    <w:p w14:paraId="7CD70205">
      <w:pPr>
        <w:spacing w:line="480" w:lineRule="auto"/>
        <w:ind w:firstLine="241" w:firstLineChars="100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This file includes：</w:t>
      </w:r>
    </w:p>
    <w:p w14:paraId="3466063B">
      <w:pPr>
        <w:numPr>
          <w:ilvl w:val="0"/>
          <w:numId w:val="0"/>
        </w:numPr>
        <w:spacing w:line="480" w:lineRule="auto"/>
        <w:ind w:firstLine="241" w:firstLineChars="100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A.Supplementary figures</w:t>
      </w:r>
    </w:p>
    <w:p w14:paraId="791166B0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Figures A1 to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A5</w:t>
      </w:r>
    </w:p>
    <w:p w14:paraId="75D7D5CD">
      <w:pPr>
        <w:numPr>
          <w:ilvl w:val="0"/>
          <w:numId w:val="0"/>
        </w:numPr>
        <w:spacing w:line="480" w:lineRule="auto"/>
        <w:ind w:firstLine="241" w:firstLineChars="100"/>
        <w:jc w:val="left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B.Supplementary tables</w:t>
      </w:r>
    </w:p>
    <w:p w14:paraId="105D7B14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Tables B1 </w:t>
      </w:r>
    </w:p>
    <w:p w14:paraId="58B1DACB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85661AE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D1D8EE3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5E4E217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30B10CC1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EE5F45E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54DFC52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BB7D9B1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0BA9D3C6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74AF2334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1D14402C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5BCBDDF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65326F19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42341D45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262BE9D9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</w:pPr>
    </w:p>
    <w:p w14:paraId="5A8D69D8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sz w:val="28"/>
          <w:szCs w:val="18"/>
          <w:lang w:val="en-US" w:eastAsia="zh-CN"/>
        </w:rPr>
      </w:pPr>
      <w:bookmarkStart w:id="0" w:name="_Toc6820"/>
      <w:r>
        <w:rPr>
          <w:rFonts w:hint="default" w:ascii="Times New Roman" w:hAnsi="Times New Roman" w:cs="Times New Roman"/>
          <w:sz w:val="28"/>
          <w:szCs w:val="18"/>
          <w:lang w:val="en-US" w:eastAsia="zh-CN"/>
        </w:rPr>
        <w:t>Supplementary figures</w:t>
      </w:r>
      <w:bookmarkEnd w:id="0"/>
    </w:p>
    <w:p w14:paraId="4D957CB1">
      <w:pPr>
        <w:spacing w:line="360" w:lineRule="auto"/>
        <w:ind w:firstLine="420"/>
        <w:rPr>
          <w:rFonts w:hint="default" w:ascii="Times New Roman" w:hAnsi="Times New Roman" w:cs="Times New Roman"/>
          <w:b w:val="0"/>
          <w:bCs w:val="0"/>
          <w:sz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 xml:space="preserve"> supplementary figures were included in this part.</w:t>
      </w:r>
    </w:p>
    <w:p w14:paraId="58D74283">
      <w:pPr>
        <w:rPr>
          <w:rFonts w:hint="default"/>
          <w:lang w:val="en-US" w:eastAsia="zh-CN"/>
        </w:rPr>
      </w:pPr>
    </w:p>
    <w:p w14:paraId="5B762065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drawing>
          <wp:inline distT="0" distB="0" distL="114300" distR="114300">
            <wp:extent cx="5274310" cy="2806700"/>
            <wp:effectExtent l="0" t="0" r="8890" b="0"/>
            <wp:docPr id="1" name="图片 1" descr="补充图片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补充图片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黑体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lang w:val="en-US" w:eastAsia="zh-CN"/>
        </w:rPr>
        <w:t>A1.</w:t>
      </w:r>
      <w:r>
        <w:rPr>
          <w:rFonts w:hint="eastAsia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  <w:t>Principal component analysis (PCA) of gene expression profiles among samples.</w:t>
      </w:r>
    </w:p>
    <w:p w14:paraId="694FDC40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eastAsia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</w:pPr>
    </w:p>
    <w:p w14:paraId="51B40F7E">
      <w:pPr>
        <w:numPr>
          <w:ilvl w:val="0"/>
          <w:numId w:val="0"/>
        </w:numPr>
        <w:spacing w:line="480" w:lineRule="auto"/>
        <w:ind w:firstLine="240" w:firstLineChars="100"/>
        <w:jc w:val="left"/>
        <w:rPr>
          <w:rFonts w:hint="default" w:ascii="Times New Roman" w:hAnsi="Times New Roman" w:eastAsia="黑体" w:cs="Times New Roman"/>
          <w:b w:val="0"/>
          <w:bCs w:val="0"/>
          <w:sz w:val="24"/>
          <w:szCs w:val="24"/>
          <w:lang w:val="en-US" w:eastAsia="zh-CN"/>
        </w:rPr>
      </w:pPr>
    </w:p>
    <w:p w14:paraId="4BF49FBA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60C4695A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56FE0F9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41B41EBE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C747372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73241A8F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6060F693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5F4B5CC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5A9ECCBC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 w:val="0"/>
          <w:bCs w:val="0"/>
          <w:sz w:val="24"/>
          <w:szCs w:val="24"/>
          <w:lang w:val="en-AU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AU" w:eastAsia="zh-CN"/>
        </w:rPr>
        <w:drawing>
          <wp:inline distT="0" distB="0" distL="114300" distR="114300">
            <wp:extent cx="5272405" cy="4143375"/>
            <wp:effectExtent l="0" t="0" r="10795" b="9525"/>
            <wp:docPr id="3" name="图片 3" descr="补充材料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补充材料-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黑体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lang w:val="en-US" w:eastAsia="zh-CN"/>
        </w:rPr>
        <w:t>A2.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AU"/>
        </w:rPr>
        <w:t>Hierarchical clustering heatmap of proteomic profiles in ND, HFD, and HFD+BN groups.</w:t>
      </w:r>
    </w:p>
    <w:p w14:paraId="0514D864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A8CD481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567FA57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78ED7EF4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580E37BE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2DEF6350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3F24279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D38C585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4A4D3A8A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77A38B17">
      <w:pPr>
        <w:spacing w:line="480" w:lineRule="auto"/>
        <w:ind w:firstLine="241" w:firstLineChars="100"/>
        <w:jc w:val="left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AU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AU" w:eastAsia="zh-CN"/>
        </w:rPr>
        <w:drawing>
          <wp:inline distT="0" distB="0" distL="114300" distR="114300">
            <wp:extent cx="5269230" cy="5163185"/>
            <wp:effectExtent l="0" t="0" r="1270" b="5715"/>
            <wp:docPr id="2" name="图片 2" descr="代谢补充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代谢补充图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16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CD059">
      <w:pPr>
        <w:pStyle w:val="4"/>
        <w:keepNext w:val="0"/>
        <w:keepLines w:val="0"/>
        <w:widowControl/>
        <w:suppressLineNumbers w:val="0"/>
        <w:rPr>
          <w:rFonts w:hint="eastAsia" w:ascii="Times New Roman" w:hAnsi="Times New Roman" w:cs="Times New Roman" w:eastAsiaTheme="minorEastAsia"/>
          <w:b w:val="0"/>
          <w:bCs w:val="0"/>
          <w:kern w:val="2"/>
          <w:sz w:val="24"/>
          <w:szCs w:val="24"/>
          <w:lang w:val="en-AU" w:eastAsia="zh-CN" w:bidi="ar-SA"/>
        </w:rPr>
      </w:pPr>
      <w:r>
        <w:rPr>
          <w:rFonts w:ascii="Times New Roman" w:hAnsi="Times New Roman" w:eastAsia="黑体" w:cs="Times New Roman"/>
          <w:b/>
          <w:bCs/>
          <w:sz w:val="24"/>
          <w:szCs w:val="24"/>
        </w:rPr>
        <w:t>Figure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lang w:val="en-US" w:eastAsia="zh-CN"/>
        </w:rPr>
        <w:t>A3.</w:t>
      </w:r>
      <w:r>
        <w:rPr>
          <w:rStyle w:val="8"/>
        </w:rPr>
        <w:t xml:space="preserve"> </w:t>
      </w:r>
      <w:r>
        <w:rPr>
          <w:rFonts w:hint="eastAsia" w:ascii="Times New Roman" w:hAnsi="Times New Roman" w:cs="Times New Roman" w:eastAsiaTheme="minorEastAsia"/>
          <w:b w:val="0"/>
          <w:bCs w:val="0"/>
          <w:kern w:val="2"/>
          <w:sz w:val="24"/>
          <w:szCs w:val="24"/>
          <w:lang w:val="en-AU" w:eastAsia="zh-CN" w:bidi="ar-SA"/>
        </w:rPr>
        <w:t>Metabolic PCA scores plots and OPLS-DA permutation tests. (A, B) Sample distributions for ND vs HFD and HFD vs HFD+BN. (C, D) Permutation tests (Q2 &lt; 0.05) validating model robustness without overfitting.</w:t>
      </w:r>
    </w:p>
    <w:p w14:paraId="423C5E2B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2C8398E3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79B1EB3F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2C22C2D5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1CB125F1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43B975C6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2F829EAC">
      <w:pPr>
        <w:spacing w:line="480" w:lineRule="auto"/>
        <w:ind w:firstLine="241" w:firstLineChars="100"/>
        <w:jc w:val="left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AU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AU" w:eastAsia="zh-CN"/>
        </w:rPr>
        <w:drawing>
          <wp:inline distT="0" distB="0" distL="114300" distR="114300">
            <wp:extent cx="4030345" cy="6719570"/>
            <wp:effectExtent l="0" t="0" r="8255" b="11430"/>
            <wp:docPr id="5" name="图片 5" descr="补充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补充图片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30345" cy="671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31DAC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 w:val="0"/>
          <w:bCs w:val="0"/>
          <w:sz w:val="24"/>
          <w:szCs w:val="24"/>
          <w:lang w:val="en-AU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AU"/>
        </w:rPr>
        <w:t>Fig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lang w:val="en-US" w:eastAsia="zh-CN"/>
        </w:rPr>
        <w:t>A4.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AU"/>
        </w:rPr>
        <w:t xml:space="preserve">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AU"/>
        </w:rPr>
        <w:t>Correlation analysis between differential metabolites and genes. (A) Heatmap of Pearson correlations for selected metabolites and key genes. (B) Global metabolite-gene association matrix. Red indicates positive correlation; blue indicates negative correlation.</w:t>
      </w:r>
    </w:p>
    <w:p w14:paraId="49A0E78A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0AA974F4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22C0EC74">
      <w:pPr>
        <w:spacing w:line="480" w:lineRule="auto"/>
        <w:ind w:firstLine="241" w:firstLineChars="100"/>
        <w:jc w:val="left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AU"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val="en-AU" w:eastAsia="zh-CN"/>
        </w:rPr>
        <w:drawing>
          <wp:inline distT="0" distB="0" distL="114300" distR="114300">
            <wp:extent cx="5269230" cy="4497705"/>
            <wp:effectExtent l="0" t="0" r="1270" b="10795"/>
            <wp:docPr id="4" name="图片 4" descr="FN1和PPARA蛋白3重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N1和PPARA蛋白3重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49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8B15F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66A96999">
      <w:pPr>
        <w:pStyle w:val="3"/>
        <w:keepNext w:val="0"/>
        <w:keepLines w:val="0"/>
        <w:widowControl/>
        <w:suppressLineNumbers w:val="0"/>
        <w:bidi w:val="0"/>
        <w:rPr>
          <w:rStyle w:val="8"/>
          <w:rFonts w:hint="default" w:ascii="Times New Roman" w:hAnsi="Times New Roman" w:cs="Times New Roman"/>
          <w:b w:val="0"/>
          <w:bCs/>
          <w:lang w:val="en-US"/>
        </w:rPr>
      </w:pPr>
      <w:r>
        <w:rPr>
          <w:rStyle w:val="8"/>
          <w:rFonts w:hint="default" w:ascii="Times New Roman" w:hAnsi="Times New Roman" w:cs="Times New Roman"/>
        </w:rPr>
        <w:t>Fig</w:t>
      </w:r>
      <w:r>
        <w:rPr>
          <w:rFonts w:hint="default" w:ascii="Times New Roman" w:hAnsi="Times New Roman" w:eastAsia="黑体" w:cs="Times New Roman"/>
          <w:b/>
          <w:bCs/>
          <w:sz w:val="24"/>
          <w:szCs w:val="24"/>
          <w:lang w:val="en-US" w:eastAsia="zh-CN"/>
        </w:rPr>
        <w:t>A5</w:t>
      </w:r>
      <w:r>
        <w:rPr>
          <w:rStyle w:val="8"/>
          <w:rFonts w:hint="default" w:ascii="Times New Roman" w:hAnsi="Times New Roman" w:cs="Times New Roman"/>
        </w:rPr>
        <w:t>.</w:t>
      </w:r>
      <w:r>
        <w:rPr>
          <w:rStyle w:val="8"/>
        </w:rPr>
        <w:t xml:space="preserve"> </w:t>
      </w:r>
      <w:r>
        <w:rPr>
          <w:rStyle w:val="8"/>
          <w:rFonts w:hint="eastAsia" w:ascii="Times New Roman" w:hAnsi="Times New Roman" w:cs="Times New Roman"/>
          <w:b w:val="0"/>
          <w:bCs/>
          <w:kern w:val="0"/>
          <w:sz w:val="24"/>
          <w:szCs w:val="24"/>
          <w:lang w:val="en-US" w:eastAsia="zh-CN" w:bidi="ar"/>
        </w:rPr>
        <w:t>Cropped and full-length western blot images for FN1 and PPARα. The left panels show the cropped blots presented in the main figures, whereas the right panels show the corresponding full-length, uncropped blots from three independent biological replicates. Red boxes indicate the regions used for cropping. The full-length images retain the membrane boundaries and molecular weight markers. Lane order is ND, HFD, and HFD+BN. β-actin was used as the loading control.</w:t>
      </w:r>
    </w:p>
    <w:p w14:paraId="0EAA2A26">
      <w:pPr>
        <w:pStyle w:val="4"/>
        <w:keepNext w:val="0"/>
        <w:keepLines w:val="0"/>
        <w:widowControl/>
        <w:suppressLineNumbers w:val="0"/>
        <w:rPr>
          <w:rStyle w:val="8"/>
          <w:rFonts w:hint="eastAsia" w:ascii="Times New Roman" w:hAnsi="Times New Roman" w:cs="Times New Roman" w:eastAsiaTheme="minorEastAsia"/>
          <w:b w:val="0"/>
          <w:bCs/>
          <w:lang w:eastAsia="zh-CN"/>
        </w:rPr>
      </w:pPr>
      <w:r>
        <w:rPr>
          <w:rStyle w:val="8"/>
          <w:rFonts w:hint="eastAsia" w:ascii="Times New Roman" w:hAnsi="Times New Roman" w:cs="Times New Roman" w:eastAsiaTheme="minorEastAsia"/>
          <w:b w:val="0"/>
          <w:bCs/>
          <w:lang w:eastAsia="zh-CN"/>
        </w:rPr>
        <w:drawing>
          <wp:inline distT="0" distB="0" distL="114300" distR="114300">
            <wp:extent cx="5271770" cy="3741420"/>
            <wp:effectExtent l="0" t="0" r="11430" b="5080"/>
            <wp:docPr id="6" name="图片 6" descr="serpine1及FgF1蛋白3重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serpine1及FgF1蛋白3重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84AB7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38D58589">
      <w:pPr>
        <w:pStyle w:val="4"/>
        <w:keepNext w:val="0"/>
        <w:keepLines w:val="0"/>
        <w:widowControl/>
        <w:suppressLineNumbers w:val="0"/>
        <w:rPr>
          <w:rStyle w:val="8"/>
          <w:rFonts w:hint="default" w:ascii="Times New Roman" w:hAnsi="Times New Roman" w:eastAsia="宋体" w:cs="Times New Roman"/>
          <w:b w:val="0"/>
          <w:bCs/>
          <w:kern w:val="0"/>
          <w:sz w:val="24"/>
          <w:szCs w:val="24"/>
          <w:lang w:val="en-US" w:eastAsia="zh-CN" w:bidi="ar"/>
        </w:rPr>
      </w:pPr>
      <w:r>
        <w:rPr>
          <w:rStyle w:val="8"/>
          <w:rFonts w:hint="default" w:ascii="Times New Roman" w:hAnsi="Times New Roman" w:cs="Times New Roman"/>
        </w:rPr>
        <w:t>Fig</w:t>
      </w:r>
      <w:r>
        <w:rPr>
          <w:rFonts w:hint="default" w:ascii="Times New Roman" w:hAnsi="Times New Roman" w:eastAsia="黑体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eastAsia="黑体" w:cs="Times New Roman"/>
          <w:b/>
          <w:bCs/>
          <w:sz w:val="24"/>
          <w:szCs w:val="24"/>
          <w:lang w:val="en-US" w:eastAsia="zh-CN"/>
        </w:rPr>
        <w:t>6</w:t>
      </w:r>
      <w:r>
        <w:rPr>
          <w:rStyle w:val="8"/>
          <w:rFonts w:hint="default" w:ascii="Times New Roman" w:hAnsi="Times New Roman" w:eastAsia="宋体" w:cs="Times New Roman"/>
          <w:b w:val="0"/>
          <w:bCs/>
          <w:kern w:val="0"/>
          <w:sz w:val="24"/>
          <w:szCs w:val="24"/>
          <w:lang w:val="en-US" w:eastAsia="zh-CN" w:bidi="ar"/>
        </w:rPr>
        <w:t>.</w:t>
      </w:r>
      <w:r>
        <w:rPr>
          <w:rStyle w:val="8"/>
          <w:rFonts w:hint="eastAsia" w:ascii="Times New Roman" w:hAnsi="Times New Roman" w:eastAsia="宋体" w:cs="Times New Roman"/>
          <w:b w:val="0"/>
          <w:bCs/>
          <w:kern w:val="0"/>
          <w:sz w:val="24"/>
          <w:szCs w:val="24"/>
          <w:lang w:val="en-US" w:eastAsia="zh-CN" w:bidi="ar"/>
        </w:rPr>
        <w:t xml:space="preserve"> Cropped and full-length western blot images for SERPINE1 and FGF1. The left panels show the cropped blots presented in the main figures, whereas the right panels show the corresponding full-length, uncropped blots from three independent biological replicates. Red boxes indicate the regions used for cropping. The full-length images retain the membrane boundaries and molecular weight markers. Lane order is ND, HFD, and HFD+BN. β-actin was used as the loading control.</w:t>
      </w:r>
    </w:p>
    <w:p w14:paraId="207094BF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08E5722E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</w:p>
    <w:p w14:paraId="478C9857">
      <w:pPr>
        <w:spacing w:line="480" w:lineRule="auto"/>
        <w:ind w:firstLine="241" w:firstLineChars="100"/>
        <w:jc w:val="left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bookmarkStart w:id="1" w:name="_GoBack"/>
      <w:bookmarkEnd w:id="1"/>
    </w:p>
    <w:p w14:paraId="1B872788">
      <w:pPr>
        <w:pStyle w:val="2"/>
        <w:keepNext/>
        <w:keepLines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textAlignment w:val="auto"/>
        <w:rPr>
          <w:rFonts w:ascii="Times New Roman" w:hAnsi="Times New Roman" w:cs="Times New Roman"/>
          <w:b/>
          <w:bCs/>
          <w:sz w:val="24"/>
          <w:szCs w:val="24"/>
          <w:lang w:val="en-AU"/>
        </w:rPr>
      </w:pPr>
      <w:r>
        <w:rPr>
          <w:rFonts w:hint="eastAsia" w:ascii="Times New Roman" w:hAnsi="Times New Roman" w:cs="Times New Roman"/>
          <w:sz w:val="28"/>
          <w:szCs w:val="18"/>
          <w:lang w:val="en-US" w:eastAsia="zh-CN"/>
        </w:rPr>
        <w:t>Supplementary Tables</w:t>
      </w:r>
    </w:p>
    <w:p w14:paraId="2A45FC3A">
      <w:pPr>
        <w:rPr>
          <w:lang w:val="en-AU"/>
        </w:rPr>
      </w:pPr>
    </w:p>
    <w:p w14:paraId="7049467D">
      <w:pPr>
        <w:spacing w:line="480" w:lineRule="auto"/>
        <w:ind w:firstLine="241" w:firstLineChars="100"/>
        <w:jc w:val="left"/>
        <w:rPr>
          <w:vertAlign w:val="baselin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AU"/>
        </w:rPr>
        <w:t>Supplementary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Table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B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Primers used in our experiments.</w:t>
      </w:r>
    </w:p>
    <w:tbl>
      <w:tblPr>
        <w:tblStyle w:val="6"/>
        <w:tblpPr w:leftFromText="180" w:rightFromText="180" w:vertAnchor="text" w:horzAnchor="page" w:tblpX="1804" w:tblpY="307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1"/>
        <w:gridCol w:w="4278"/>
      </w:tblGrid>
      <w:tr w14:paraId="79AA7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489" w:type="pct"/>
            <w:vAlign w:val="center"/>
          </w:tcPr>
          <w:p w14:paraId="024A6690">
            <w:pPr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Primer name</w:t>
            </w:r>
          </w:p>
        </w:tc>
        <w:tc>
          <w:tcPr>
            <w:tcW w:w="2510" w:type="pct"/>
            <w:vAlign w:val="center"/>
          </w:tcPr>
          <w:p w14:paraId="1BF1E205">
            <w:pPr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sz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</w:rPr>
              <w:t>Primer sequence (5'to3')</w:t>
            </w:r>
          </w:p>
        </w:tc>
      </w:tr>
      <w:tr w14:paraId="64400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89" w:type="pct"/>
            <w:vAlign w:val="center"/>
          </w:tcPr>
          <w:p w14:paraId="4E83F5DD">
            <w:pPr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vertAlign w:val="baseline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</w:rPr>
              <w:t>Mouse β-Actin-F (Internal reference)</w:t>
            </w:r>
          </w:p>
        </w:tc>
        <w:tc>
          <w:tcPr>
            <w:tcW w:w="2510" w:type="pct"/>
            <w:shd w:val="clear" w:color="auto" w:fill="FFFFFF"/>
            <w:vAlign w:val="center"/>
          </w:tcPr>
          <w:p w14:paraId="2C266FA0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AGCCATGTACGTAGCCATCC</w:t>
            </w:r>
          </w:p>
        </w:tc>
      </w:tr>
      <w:tr w14:paraId="5D7E5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89" w:type="pct"/>
            <w:vAlign w:val="center"/>
          </w:tcPr>
          <w:p w14:paraId="3C5E6810">
            <w:pPr>
              <w:tabs>
                <w:tab w:val="left" w:pos="1210"/>
              </w:tabs>
              <w:snapToGrid w:val="0"/>
              <w:spacing w:line="48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等线" w:cs="Times New Roman"/>
                <w:sz w:val="2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0"/>
                <w:szCs w:val="20"/>
              </w:rPr>
              <w:t>Mouse β-Actin-R (Internal reference)</w:t>
            </w:r>
          </w:p>
        </w:tc>
        <w:tc>
          <w:tcPr>
            <w:tcW w:w="2510" w:type="pct"/>
            <w:shd w:val="clear" w:color="auto" w:fill="FFFFFF"/>
            <w:vAlign w:val="center"/>
          </w:tcPr>
          <w:p w14:paraId="2D782952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CTCCAGCTGTGGTGGTGAA</w:t>
            </w:r>
          </w:p>
        </w:tc>
      </w:tr>
      <w:tr w14:paraId="40502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89" w:type="pct"/>
            <w:shd w:val="clear" w:color="auto" w:fill="FFFFFF"/>
            <w:vAlign w:val="center"/>
          </w:tcPr>
          <w:p w14:paraId="6E931AE8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ppara-F</w:t>
            </w:r>
          </w:p>
        </w:tc>
        <w:tc>
          <w:tcPr>
            <w:tcW w:w="2510" w:type="pct"/>
            <w:shd w:val="clear" w:color="auto" w:fill="FFFFFF"/>
            <w:vAlign w:val="center"/>
          </w:tcPr>
          <w:p w14:paraId="512A1E07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AGAGCCCCATCTGTCCTCTC</w:t>
            </w:r>
          </w:p>
        </w:tc>
      </w:tr>
      <w:tr w14:paraId="043E7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89" w:type="pct"/>
            <w:shd w:val="clear" w:color="auto" w:fill="FFFFFF"/>
            <w:vAlign w:val="center"/>
          </w:tcPr>
          <w:p w14:paraId="434770B6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ppara-R</w:t>
            </w:r>
          </w:p>
        </w:tc>
        <w:tc>
          <w:tcPr>
            <w:tcW w:w="2510" w:type="pct"/>
            <w:shd w:val="clear" w:color="auto" w:fill="FFFFFF"/>
            <w:vAlign w:val="center"/>
          </w:tcPr>
          <w:p w14:paraId="2F8B3033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ACTGGTAGTCTGCAAAACCAAA</w:t>
            </w:r>
          </w:p>
        </w:tc>
      </w:tr>
      <w:tr w14:paraId="4DA86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89" w:type="pct"/>
            <w:shd w:val="clear" w:color="auto" w:fill="FFFFFF"/>
            <w:vAlign w:val="center"/>
          </w:tcPr>
          <w:p w14:paraId="7ED487F2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Serpine1-F</w:t>
            </w:r>
          </w:p>
        </w:tc>
        <w:tc>
          <w:tcPr>
            <w:tcW w:w="2510" w:type="pct"/>
            <w:shd w:val="clear" w:color="auto" w:fill="FFFFFF"/>
            <w:vAlign w:val="center"/>
          </w:tcPr>
          <w:p w14:paraId="694D5922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TTCAGCCCTTGCTTGCCTC</w:t>
            </w:r>
          </w:p>
        </w:tc>
      </w:tr>
      <w:tr w14:paraId="52E31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89" w:type="pct"/>
            <w:shd w:val="clear" w:color="auto" w:fill="FFFFFF"/>
            <w:vAlign w:val="center"/>
          </w:tcPr>
          <w:p w14:paraId="0C8D2711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Serpine1-R</w:t>
            </w:r>
          </w:p>
        </w:tc>
        <w:tc>
          <w:tcPr>
            <w:tcW w:w="2510" w:type="pct"/>
            <w:shd w:val="clear" w:color="auto" w:fill="FFFFFF"/>
            <w:vAlign w:val="center"/>
          </w:tcPr>
          <w:p w14:paraId="5CC07127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ACACTTTTACTCCGAAGTCGGT</w:t>
            </w:r>
          </w:p>
        </w:tc>
      </w:tr>
      <w:tr w14:paraId="26E52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89" w:type="pct"/>
            <w:shd w:val="clear" w:color="auto" w:fill="FFFFFF"/>
            <w:vAlign w:val="center"/>
          </w:tcPr>
          <w:p w14:paraId="67E54FCA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Fgf1-F</w:t>
            </w:r>
          </w:p>
        </w:tc>
        <w:tc>
          <w:tcPr>
            <w:tcW w:w="2510" w:type="pct"/>
            <w:shd w:val="clear" w:color="auto" w:fill="FFFFFF"/>
            <w:vAlign w:val="center"/>
          </w:tcPr>
          <w:p w14:paraId="0573FB61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CCCTGACCGAGAGGTTCAAC</w:t>
            </w:r>
          </w:p>
        </w:tc>
      </w:tr>
      <w:tr w14:paraId="7C96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89" w:type="pct"/>
            <w:shd w:val="clear" w:color="auto" w:fill="FFFFFF"/>
            <w:vAlign w:val="center"/>
          </w:tcPr>
          <w:p w14:paraId="20343FEF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Fgf1-R</w:t>
            </w:r>
          </w:p>
        </w:tc>
        <w:tc>
          <w:tcPr>
            <w:tcW w:w="2510" w:type="pct"/>
            <w:shd w:val="clear" w:color="auto" w:fill="FFFFFF"/>
            <w:vAlign w:val="center"/>
          </w:tcPr>
          <w:p w14:paraId="227B615E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GTCCCTTGTCCCATCCACG</w:t>
            </w:r>
          </w:p>
        </w:tc>
      </w:tr>
      <w:tr w14:paraId="51CCA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89" w:type="pct"/>
            <w:shd w:val="clear" w:color="auto" w:fill="FFFFFF"/>
            <w:vAlign w:val="center"/>
          </w:tcPr>
          <w:p w14:paraId="25DA193D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Fn1-F</w:t>
            </w:r>
          </w:p>
        </w:tc>
        <w:tc>
          <w:tcPr>
            <w:tcW w:w="2510" w:type="pct"/>
            <w:shd w:val="clear" w:color="auto" w:fill="FFFFFF"/>
            <w:vAlign w:val="center"/>
          </w:tcPr>
          <w:p w14:paraId="5EDB2EE3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TTCAAGTGTGATCCCCATGAAG</w:t>
            </w:r>
          </w:p>
        </w:tc>
      </w:tr>
      <w:tr w14:paraId="1E9CF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489" w:type="pct"/>
            <w:shd w:val="clear" w:color="auto" w:fill="FFFFFF"/>
            <w:vAlign w:val="center"/>
          </w:tcPr>
          <w:p w14:paraId="386C9171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Fn1-R</w:t>
            </w:r>
          </w:p>
        </w:tc>
        <w:tc>
          <w:tcPr>
            <w:tcW w:w="2510" w:type="pct"/>
            <w:shd w:val="clear" w:color="auto" w:fill="FFFFFF"/>
            <w:vAlign w:val="center"/>
          </w:tcPr>
          <w:p w14:paraId="1976B5C6">
            <w:pPr>
              <w:keepNext w:val="0"/>
              <w:keepLines w:val="0"/>
              <w:widowControl/>
              <w:suppressLineNumbers w:val="0"/>
              <w:snapToGrid w:val="0"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CAGGTCTACGGCAGTTGTCA</w:t>
            </w:r>
          </w:p>
        </w:tc>
      </w:tr>
    </w:tbl>
    <w:p w14:paraId="621A37D6">
      <w:pPr>
        <w:rPr>
          <w:vertAlign w:val="baseline"/>
        </w:rPr>
      </w:pPr>
    </w:p>
    <w:p w14:paraId="24AC0B64"/>
    <w:p w14:paraId="180CD9D0"/>
    <w:p w14:paraId="7EA2AF14"/>
    <w:p w14:paraId="4A6115F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99FD6"/>
    <w:multiLevelType w:val="multilevel"/>
    <w:tmpl w:val="BF299FD6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D50CB"/>
    <w:rsid w:val="0F2C1D70"/>
    <w:rsid w:val="10526AE6"/>
    <w:rsid w:val="143B3161"/>
    <w:rsid w:val="1ECA47D6"/>
    <w:rsid w:val="22992878"/>
    <w:rsid w:val="29B91A13"/>
    <w:rsid w:val="2D8F379E"/>
    <w:rsid w:val="2E36221C"/>
    <w:rsid w:val="2F0A57B7"/>
    <w:rsid w:val="30911F7B"/>
    <w:rsid w:val="36B45B6E"/>
    <w:rsid w:val="4024447D"/>
    <w:rsid w:val="40BD31F5"/>
    <w:rsid w:val="42AB2039"/>
    <w:rsid w:val="4F3B19B7"/>
    <w:rsid w:val="54CA318A"/>
    <w:rsid w:val="57CD188A"/>
    <w:rsid w:val="5D8440F2"/>
    <w:rsid w:val="627E6DCC"/>
    <w:rsid w:val="6A332977"/>
    <w:rsid w:val="7F140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26</Words>
  <Characters>173</Characters>
  <Lines>0</Lines>
  <Paragraphs>0</Paragraphs>
  <TotalTime>4</TotalTime>
  <ScaleCrop>false</ScaleCrop>
  <LinksUpToDate>false</LinksUpToDate>
  <CharactersWithSpaces>191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2026-08-06T11:17:00Z</dcterms:created>
  <dc:creator>LENOVO</dc:creator>
  <cp:lastModifiedBy>修心</cp:lastModifiedBy>
  <dcterms:modified xsi:type="dcterms:W3CDTF">2026-09-24T03:33:08Z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eyJoZGlkIjoiMmZkMDI5MGRkZTNmZDIwNDA4YTc5ODZhNjc1OGJhNzEiLCJ1c2VySWQiOiI0NTg5MjEyMzQifQ==</vt:lpwstr>
  </property>
  <property fmtid="{D5CDD505-2E9C-101B-9397-08002B2CF9AE}" pid="4" name="ICV">
    <vt:lpwstr>47A4A38F055248E380D8DC9D69979305_12</vt:lpwstr>
  </property>
</Properties>
</file>