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690CC">
      <w:pPr>
        <w:pStyle w:val="31"/>
      </w:pPr>
      <w:r>
        <w:t>Supplementary Information on Algorithmic Explanation</w:t>
      </w:r>
    </w:p>
    <w:p w14:paraId="6C328E34">
      <w:pPr>
        <w:spacing w:after="180"/>
      </w:pPr>
      <w:r>
        <w:t>This document lists the legal and technical materials associated with selected claims in the manuscript and explains the role of each source.</w:t>
      </w:r>
    </w:p>
    <w:p w14:paraId="14C65EA0">
      <w:pPr>
        <w:pStyle w:val="3"/>
      </w:pPr>
      <w:r>
        <w:t>Table 1 Legal Materials and Judgments</w:t>
      </w:r>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53B864D9">
        <w:trPr>
          <w:tblHeader/>
        </w:trPr>
        <w:tc>
          <w:tcPr>
            <w:tcW w:w="9821" w:type="dxa"/>
            <w:gridSpan w:val="2"/>
            <w:shd w:val="clear" w:color="auto" w:fill="244061"/>
            <w:tcMar>
              <w:top w:w="105" w:type="dxa"/>
              <w:left w:w="130" w:type="dxa"/>
              <w:bottom w:w="105" w:type="dxa"/>
              <w:right w:w="130" w:type="dxa"/>
            </w:tcMar>
            <w:vAlign w:val="center"/>
          </w:tcPr>
          <w:p w14:paraId="756A2F7C">
            <w:pPr>
              <w:spacing w:after="0"/>
            </w:pPr>
            <w:r>
              <w:rPr>
                <w:rFonts w:ascii="Aptos" w:hAnsi="Aptos"/>
                <w:b/>
                <w:color w:val="FFFFFF"/>
                <w:sz w:val="20"/>
              </w:rPr>
              <w:t>SI 1  China and Brazil automated decision making provisions</w:t>
            </w:r>
          </w:p>
        </w:tc>
      </w:tr>
      <w:tr w14:paraId="7808D9A3">
        <w:tc>
          <w:tcPr>
            <w:tcW w:w="1757" w:type="dxa"/>
            <w:shd w:val="clear" w:color="auto" w:fill="EAF0F6"/>
            <w:tcMar>
              <w:top w:w="95" w:type="dxa"/>
              <w:left w:w="115" w:type="dxa"/>
              <w:bottom w:w="95" w:type="dxa"/>
              <w:right w:w="115" w:type="dxa"/>
            </w:tcMar>
            <w:vAlign w:val="center"/>
          </w:tcPr>
          <w:p w14:paraId="48F5D955">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29C80B71">
            <w:pPr>
              <w:spacing w:after="100" w:line="271" w:lineRule="auto"/>
              <w:jc w:val="left"/>
            </w:pPr>
            <w:r>
              <w:rPr>
                <w:rFonts w:hint="default" w:ascii="Times New Roman" w:hAnsi="Times New Roman" w:cs="Times New Roman"/>
                <w:color w:val="000000"/>
                <w:sz w:val="20"/>
                <w:szCs w:val="20"/>
              </w:rPr>
              <w:t>Introduction, paragraph 1</w:t>
            </w:r>
          </w:p>
        </w:tc>
      </w:tr>
      <w:tr w14:paraId="3747F494">
        <w:tc>
          <w:tcPr>
            <w:tcW w:w="1757" w:type="dxa"/>
            <w:shd w:val="clear" w:color="auto" w:fill="EAF0F6"/>
            <w:tcMar>
              <w:top w:w="95" w:type="dxa"/>
              <w:left w:w="115" w:type="dxa"/>
              <w:bottom w:w="95" w:type="dxa"/>
              <w:right w:w="115" w:type="dxa"/>
            </w:tcMar>
            <w:vAlign w:val="center"/>
          </w:tcPr>
          <w:p w14:paraId="439EAFD7">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545B3277">
            <w:pPr>
              <w:spacing w:after="100" w:line="271" w:lineRule="auto"/>
              <w:jc w:val="left"/>
              <w:rPr>
                <w:rFonts w:hint="default" w:ascii="Times New Roman" w:hAnsi="Times New Roman" w:cs="Times New Roman"/>
              </w:rPr>
            </w:pPr>
            <w:r>
              <w:rPr>
                <w:rFonts w:hint="default" w:ascii="Times New Roman" w:hAnsi="Times New Roman" w:cs="Times New Roman"/>
                <w:color w:val="000000"/>
                <w:sz w:val="19"/>
              </w:rPr>
              <w:t>Beyond the United Kingdom, which has left the EU, non-EU countries such as China and Brazil have also largely taken these provisions as a reference, enacting corresponding rules on the right to object to automated decision-making and on explanatory disclosure</w:t>
            </w:r>
          </w:p>
        </w:tc>
      </w:tr>
      <w:tr w14:paraId="723F7244">
        <w:tc>
          <w:tcPr>
            <w:tcW w:w="1757" w:type="dxa"/>
            <w:shd w:val="clear" w:color="auto" w:fill="EAF0F6"/>
            <w:tcMar>
              <w:top w:w="95" w:type="dxa"/>
              <w:left w:w="115" w:type="dxa"/>
              <w:bottom w:w="95" w:type="dxa"/>
              <w:right w:w="115" w:type="dxa"/>
            </w:tcMar>
            <w:vAlign w:val="center"/>
          </w:tcPr>
          <w:p w14:paraId="0B553246">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06FA91BB">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1.China, 2021-Personal Information Protection Law, art. 24(3): Where a decision that may have a significant impact on an individual's rights and interests is made through automated decision making, the individual shall have the right to request clarification from the personal information processor and the right to refuse the processor for making the decision only through automated decision making.</w:t>
            </w:r>
          </w:p>
          <w:p w14:paraId="421A5C3E">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2.Brazil, LGPD art. 20:Article 20. The data subject is entitled to request the review of decisions made solely</w:t>
            </w:r>
          </w:p>
          <w:p w14:paraId="752D9889">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based on automated processing of personal data that affect his/her interests, including</w:t>
            </w:r>
          </w:p>
          <w:p w14:paraId="4BA0E46B">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decisions intended to define his/her personal, professional, consumer and credit profile or</w:t>
            </w:r>
          </w:p>
          <w:p w14:paraId="42600C57">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aspects of his/her personality. (New wording given by Law No. 13,853/2019)</w:t>
            </w:r>
          </w:p>
          <w:p w14:paraId="3D5CECBF">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Paragraph 1. The controller shall provide, upon request, clear and adequate</w:t>
            </w:r>
          </w:p>
          <w:p w14:paraId="322D0AD2">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information on the criteria and procedures used for an automated decision, complying with</w:t>
            </w:r>
          </w:p>
          <w:p w14:paraId="0980BC8E">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trade and industrial secrets.</w:t>
            </w:r>
          </w:p>
          <w:p w14:paraId="2F39529B">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Paragraph 2. In the event of failure to offer the information set forth in paragraph 1 of</w:t>
            </w:r>
          </w:p>
          <w:p w14:paraId="39BA0AEE">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this article based on the compliance with trade and industrial secrets, the national authority may</w:t>
            </w:r>
          </w:p>
          <w:p w14:paraId="30E96B2C">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carry out an audit to verify discriminatory aspects in the automated processing of personal data.</w:t>
            </w:r>
          </w:p>
          <w:p w14:paraId="6C39F5D1">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Paragraph 3. (vetoed). (Included by Law No. 13,853/2019)</w:t>
            </w:r>
          </w:p>
        </w:tc>
      </w:tr>
      <w:tr w14:paraId="057EF6D3">
        <w:tc>
          <w:tcPr>
            <w:tcW w:w="1757" w:type="dxa"/>
            <w:shd w:val="clear" w:color="auto" w:fill="EAF0F6"/>
            <w:tcMar>
              <w:top w:w="95" w:type="dxa"/>
              <w:left w:w="115" w:type="dxa"/>
              <w:bottom w:w="95" w:type="dxa"/>
              <w:right w:w="115" w:type="dxa"/>
            </w:tcMar>
            <w:vAlign w:val="center"/>
          </w:tcPr>
          <w:p w14:paraId="7BCAEBDD">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57FF31EA">
            <w:pPr>
              <w:spacing w:after="100" w:line="271" w:lineRule="auto"/>
              <w:jc w:val="left"/>
              <w:rPr>
                <w:rFonts w:hint="default" w:ascii="Times New Roman" w:hAnsi="Times New Roman" w:cs="Times New Roman"/>
              </w:rPr>
            </w:pPr>
            <w:r>
              <w:rPr>
                <w:rFonts w:hint="default" w:ascii="Times New Roman" w:hAnsi="Times New Roman" w:cs="Times New Roman"/>
                <w:color w:val="000000"/>
                <w:sz w:val="19"/>
              </w:rPr>
              <w:t>The article does not undertake a statistical analysis of algorithmic-explanation rules in non-EU jurisdictions. These examples are used to support the proposition that many countries have been influenced by the EU approach to algorithmic explanation. The Chinese and Brazilian provisions listed here resemble GDPR Article 22 and were enacted after the GDPR. On that basis, the manuscript infers that the algorithmic-explanation legislation of some non-EU countries drew on the EU model.</w:t>
            </w:r>
          </w:p>
        </w:tc>
      </w:tr>
      <w:tr w14:paraId="75BB6269">
        <w:tc>
          <w:tcPr>
            <w:tcW w:w="1757" w:type="dxa"/>
            <w:shd w:val="clear" w:color="auto" w:fill="EAF0F6"/>
            <w:tcMar>
              <w:top w:w="95" w:type="dxa"/>
              <w:left w:w="115" w:type="dxa"/>
              <w:bottom w:w="95" w:type="dxa"/>
              <w:right w:w="115" w:type="dxa"/>
            </w:tcMar>
            <w:vAlign w:val="center"/>
          </w:tcPr>
          <w:p w14:paraId="7FBE1BE3">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669529C4">
            <w:pPr>
              <w:spacing w:after="6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"http://en.npc.gov.cn.cdurl.cn/2021-12/29/c_694559.htm" \h </w:instrText>
            </w:r>
            <w:r>
              <w:rPr>
                <w:rFonts w:hint="default" w:ascii="Times New Roman" w:hAnsi="Times New Roman" w:cs="Times New Roman"/>
              </w:rPr>
              <w:fldChar w:fldCharType="separate"/>
            </w:r>
            <w:r>
              <w:rPr>
                <w:rFonts w:hint="default" w:ascii="Times New Roman" w:hAnsi="Times New Roman" w:cs="Times New Roman"/>
                <w:color w:val="1F4E79"/>
                <w:u w:val="single"/>
              </w:rPr>
              <w:t>China Personal Information Protection Law Article 24</w:t>
            </w:r>
            <w:r>
              <w:rPr>
                <w:rFonts w:hint="default" w:ascii="Times New Roman" w:hAnsi="Times New Roman" w:cs="Times New Roman"/>
                <w:color w:val="1F4E79"/>
                <w:u w:val="single"/>
              </w:rPr>
              <w:fldChar w:fldCharType="end"/>
            </w:r>
          </w:p>
          <w:p w14:paraId="634BD5D6">
            <w:pPr>
              <w:spacing w:after="6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"https://www.gov.br/anpd/pt-br/centrais-de-conteudo/outros-documentos-e-publicacoes-institucionais/lgpd-en-lei-no-13-709-capa.pdf" \h </w:instrText>
            </w:r>
            <w:r>
              <w:rPr>
                <w:rFonts w:hint="default" w:ascii="Times New Roman" w:hAnsi="Times New Roman" w:cs="Times New Roman"/>
              </w:rPr>
              <w:fldChar w:fldCharType="separate"/>
            </w:r>
            <w:r>
              <w:rPr>
                <w:rFonts w:hint="default" w:ascii="Times New Roman" w:hAnsi="Times New Roman" w:cs="Times New Roman"/>
                <w:color w:val="1F4E79"/>
                <w:u w:val="single"/>
              </w:rPr>
              <w:t>Brazil General Personal Data Protection Law Article 20</w:t>
            </w:r>
            <w:r>
              <w:rPr>
                <w:rFonts w:hint="default" w:ascii="Times New Roman" w:hAnsi="Times New Roman" w:cs="Times New Roman"/>
                <w:color w:val="1F4E79"/>
                <w:u w:val="single"/>
              </w:rPr>
              <w:fldChar w:fldCharType="end"/>
            </w:r>
          </w:p>
        </w:tc>
      </w:tr>
    </w:tbl>
    <w:p w14:paraId="3F5C3F4A">
      <w:pPr>
        <w:spacing w:before="0" w:after="60"/>
      </w:pPr>
      <w:bookmarkStart w:id="0" w:name="_GoBack"/>
      <w:bookmarkEnd w:id="0"/>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733BDBB5">
        <w:trPr>
          <w:tblHeader/>
        </w:trPr>
        <w:tc>
          <w:tcPr>
            <w:tcW w:w="9821" w:type="dxa"/>
            <w:gridSpan w:val="2"/>
            <w:shd w:val="clear" w:color="auto" w:fill="244061"/>
            <w:tcMar>
              <w:top w:w="105" w:type="dxa"/>
              <w:left w:w="130" w:type="dxa"/>
              <w:bottom w:w="105" w:type="dxa"/>
              <w:right w:w="130" w:type="dxa"/>
            </w:tcMar>
            <w:vAlign w:val="center"/>
          </w:tcPr>
          <w:p w14:paraId="7B6B560E">
            <w:pPr>
              <w:spacing w:after="0"/>
            </w:pPr>
            <w:r>
              <w:rPr>
                <w:rFonts w:ascii="Aptos" w:hAnsi="Aptos"/>
                <w:b/>
                <w:color w:val="FFFFFF"/>
                <w:sz w:val="20"/>
              </w:rPr>
              <w:t>SI 2  Judicial examples of resistance to explanation</w:t>
            </w:r>
          </w:p>
        </w:tc>
      </w:tr>
      <w:tr w14:paraId="71B40B22">
        <w:tc>
          <w:tcPr>
            <w:tcW w:w="1757" w:type="dxa"/>
            <w:shd w:val="clear" w:color="auto" w:fill="EAF0F6"/>
            <w:tcMar>
              <w:top w:w="95" w:type="dxa"/>
              <w:left w:w="115" w:type="dxa"/>
              <w:bottom w:w="95" w:type="dxa"/>
              <w:right w:w="115" w:type="dxa"/>
            </w:tcMar>
            <w:vAlign w:val="center"/>
          </w:tcPr>
          <w:p w14:paraId="79FA00A4">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3344E9FC">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Introduction, paragraph 1</w:t>
            </w:r>
          </w:p>
        </w:tc>
      </w:tr>
      <w:tr w14:paraId="433FA732">
        <w:tc>
          <w:tcPr>
            <w:tcW w:w="1757" w:type="dxa"/>
            <w:shd w:val="clear" w:color="auto" w:fill="EAF0F6"/>
            <w:tcMar>
              <w:top w:w="95" w:type="dxa"/>
              <w:left w:w="115" w:type="dxa"/>
              <w:bottom w:w="95" w:type="dxa"/>
              <w:right w:w="115" w:type="dxa"/>
            </w:tcMar>
            <w:vAlign w:val="center"/>
          </w:tcPr>
          <w:p w14:paraId="238F5278">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2441FFE6">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Nevertheless, although the regime of algorithmic explanation has been adopted by many countries, its institutional practice is far from satisfactory, and the resistance of some market actors to algorithmic explanation is fairly pronounced.</w:t>
            </w:r>
          </w:p>
        </w:tc>
      </w:tr>
      <w:tr w14:paraId="642E27E5">
        <w:tc>
          <w:tcPr>
            <w:tcW w:w="1757" w:type="dxa"/>
            <w:shd w:val="clear" w:color="auto" w:fill="EAF0F6"/>
            <w:tcMar>
              <w:top w:w="95" w:type="dxa"/>
              <w:left w:w="115" w:type="dxa"/>
              <w:bottom w:w="95" w:type="dxa"/>
              <w:right w:w="115" w:type="dxa"/>
            </w:tcMar>
            <w:vAlign w:val="center"/>
          </w:tcPr>
          <w:p w14:paraId="0D59C81D">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36F8584A">
            <w:pPr>
              <w:spacing w:after="30" w:line="254"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1. OQ v Land Hessen, Case C-634/21, ECLI:EU:C:2023:957, paras. 14-16.</w:t>
            </w:r>
          </w:p>
          <w:p w14:paraId="2BBDAD97">
            <w:pPr>
              <w:spacing w:after="30" w:line="254"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2. App Drivers &amp; Couriers Union v. Uber B.V., ECLI:NL:GHAMS:2023:793, paras. 3.21-3.29.</w:t>
            </w:r>
          </w:p>
        </w:tc>
      </w:tr>
      <w:tr w14:paraId="19171A28">
        <w:tc>
          <w:tcPr>
            <w:tcW w:w="1757" w:type="dxa"/>
            <w:shd w:val="clear" w:color="auto" w:fill="EAF0F6"/>
            <w:tcMar>
              <w:top w:w="95" w:type="dxa"/>
              <w:left w:w="115" w:type="dxa"/>
              <w:bottom w:w="95" w:type="dxa"/>
              <w:right w:w="115" w:type="dxa"/>
            </w:tcMar>
            <w:vAlign w:val="center"/>
          </w:tcPr>
          <w:p w14:paraId="73DE106D">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59E9BFA4">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The facts of these two cases are presented as evidence that market actors have resisted algorithmic explanation. In particular, the manuscript identifies arguments based on trade secrets and human review.</w:t>
            </w:r>
          </w:p>
        </w:tc>
      </w:tr>
      <w:tr w14:paraId="24A79A15">
        <w:tc>
          <w:tcPr>
            <w:tcW w:w="1757" w:type="dxa"/>
            <w:shd w:val="clear" w:color="auto" w:fill="EAF0F6"/>
            <w:tcMar>
              <w:top w:w="95" w:type="dxa"/>
              <w:left w:w="115" w:type="dxa"/>
              <w:bottom w:w="95" w:type="dxa"/>
              <w:right w:w="115" w:type="dxa"/>
            </w:tcMar>
            <w:vAlign w:val="center"/>
          </w:tcPr>
          <w:p w14:paraId="79BA3EEE">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3569BD30">
            <w:pPr>
              <w:spacing w:after="60"/>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"https://eur-lex.europa.eu/legal-content/EN/TXT/?uri=CELEX:62021CJ0634." \h </w:instrText>
            </w:r>
            <w:r>
              <w:rPr>
                <w:rFonts w:hint="default" w:ascii="Times New Roman" w:hAnsi="Times New Roman" w:cs="Times New Roman"/>
                <w:sz w:val="20"/>
                <w:szCs w:val="20"/>
              </w:rPr>
              <w:fldChar w:fldCharType="separate"/>
            </w:r>
            <w:r>
              <w:rPr>
                <w:rFonts w:hint="default" w:ascii="Times New Roman" w:hAnsi="Times New Roman" w:cs="Times New Roman"/>
                <w:color w:val="1F4E79"/>
                <w:sz w:val="20"/>
                <w:szCs w:val="20"/>
                <w:u w:val="single"/>
              </w:rPr>
              <w:t>Case C-634/21 judgment</w:t>
            </w:r>
            <w:r>
              <w:rPr>
                <w:rFonts w:hint="default" w:ascii="Times New Roman" w:hAnsi="Times New Roman" w:cs="Times New Roman"/>
                <w:color w:val="1F4E79"/>
                <w:sz w:val="20"/>
                <w:szCs w:val="20"/>
                <w:u w:val="single"/>
              </w:rPr>
              <w:fldChar w:fldCharType="end"/>
            </w:r>
          </w:p>
          <w:p w14:paraId="39CBFC32">
            <w:pPr>
              <w:spacing w:after="60"/>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"https://uitspraken.rechtspraak.nl/details?id=ECLI:NL:GHAMS:2023:793" \h </w:instrText>
            </w:r>
            <w:r>
              <w:rPr>
                <w:rFonts w:hint="default" w:ascii="Times New Roman" w:hAnsi="Times New Roman" w:cs="Times New Roman"/>
                <w:sz w:val="20"/>
                <w:szCs w:val="20"/>
              </w:rPr>
              <w:fldChar w:fldCharType="separate"/>
            </w:r>
            <w:r>
              <w:rPr>
                <w:rFonts w:hint="default" w:ascii="Times New Roman" w:hAnsi="Times New Roman" w:cs="Times New Roman"/>
                <w:color w:val="1F4E79"/>
                <w:sz w:val="20"/>
                <w:szCs w:val="20"/>
                <w:u w:val="single"/>
              </w:rPr>
              <w:t>App Drivers and Couriers Union v Uber judgment</w:t>
            </w:r>
            <w:r>
              <w:rPr>
                <w:rFonts w:hint="default" w:ascii="Times New Roman" w:hAnsi="Times New Roman" w:cs="Times New Roman"/>
                <w:color w:val="1F4E79"/>
                <w:sz w:val="20"/>
                <w:szCs w:val="20"/>
                <w:u w:val="single"/>
              </w:rPr>
              <w:fldChar w:fldCharType="end"/>
            </w:r>
          </w:p>
        </w:tc>
      </w:tr>
    </w:tbl>
    <w:p w14:paraId="2F59ABA6">
      <w:pPr>
        <w:spacing w:before="0" w:after="60"/>
      </w:pPr>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1B19CA2F">
        <w:trPr>
          <w:tblHeader/>
        </w:trPr>
        <w:tc>
          <w:tcPr>
            <w:tcW w:w="9821" w:type="dxa"/>
            <w:gridSpan w:val="2"/>
            <w:shd w:val="clear" w:color="auto" w:fill="244061"/>
            <w:tcMar>
              <w:top w:w="105" w:type="dxa"/>
              <w:left w:w="130" w:type="dxa"/>
              <w:bottom w:w="105" w:type="dxa"/>
              <w:right w:w="130" w:type="dxa"/>
            </w:tcMar>
            <w:vAlign w:val="center"/>
          </w:tcPr>
          <w:p w14:paraId="77A6A991">
            <w:pPr>
              <w:spacing w:after="0"/>
            </w:pPr>
            <w:r>
              <w:rPr>
                <w:rFonts w:ascii="Aptos" w:hAnsi="Aptos"/>
                <w:b/>
                <w:color w:val="FFFFFF"/>
                <w:sz w:val="20"/>
              </w:rPr>
              <w:t>SI 3  Data Protection Directive Articles 12 and 15</w:t>
            </w:r>
          </w:p>
        </w:tc>
      </w:tr>
      <w:tr w14:paraId="3D5ACD9F">
        <w:tc>
          <w:tcPr>
            <w:tcW w:w="1757" w:type="dxa"/>
            <w:shd w:val="clear" w:color="auto" w:fill="EAF0F6"/>
            <w:tcMar>
              <w:top w:w="95" w:type="dxa"/>
              <w:left w:w="115" w:type="dxa"/>
              <w:bottom w:w="95" w:type="dxa"/>
              <w:right w:w="115" w:type="dxa"/>
            </w:tcMar>
            <w:vAlign w:val="center"/>
          </w:tcPr>
          <w:p w14:paraId="61825C7F">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435B3429">
            <w:pPr>
              <w:spacing w:after="100" w:line="271" w:lineRule="auto"/>
              <w:jc w:val="left"/>
            </w:pPr>
            <w:r>
              <w:rPr>
                <w:rFonts w:ascii="Aptos" w:hAnsi="Aptos"/>
                <w:color w:val="000000"/>
                <w:sz w:val="19"/>
              </w:rPr>
              <w:t>Introduction, paragraph 2</w:t>
            </w:r>
          </w:p>
        </w:tc>
      </w:tr>
      <w:tr w14:paraId="6880CEC1">
        <w:tc>
          <w:tcPr>
            <w:tcW w:w="1757" w:type="dxa"/>
            <w:shd w:val="clear" w:color="auto" w:fill="EAF0F6"/>
            <w:tcMar>
              <w:top w:w="95" w:type="dxa"/>
              <w:left w:w="115" w:type="dxa"/>
              <w:bottom w:w="95" w:type="dxa"/>
              <w:right w:w="115" w:type="dxa"/>
            </w:tcMar>
            <w:vAlign w:val="center"/>
          </w:tcPr>
          <w:p w14:paraId="77D6F4E4">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1CD181F2">
            <w:pPr>
              <w:spacing w:after="100" w:line="271" w:lineRule="auto"/>
              <w:jc w:val="left"/>
            </w:pPr>
            <w:r>
              <w:rPr>
                <w:rFonts w:ascii="Aptos" w:hAnsi="Aptos"/>
                <w:color w:val="000000"/>
                <w:sz w:val="19"/>
              </w:rPr>
              <w:t>The EU’s regime of algorithmic explanation was set out in Articles 12 and 15 of the 1995 Data Protection Directive, whose regulatory object at the time of its enactment was primarily computer automation based on database encoding.</w:t>
            </w:r>
          </w:p>
        </w:tc>
      </w:tr>
      <w:tr w14:paraId="0C2174D1">
        <w:tc>
          <w:tcPr>
            <w:tcW w:w="1757" w:type="dxa"/>
            <w:shd w:val="clear" w:color="auto" w:fill="EAF0F6"/>
            <w:tcMar>
              <w:top w:w="95" w:type="dxa"/>
              <w:left w:w="115" w:type="dxa"/>
              <w:bottom w:w="95" w:type="dxa"/>
              <w:right w:w="115" w:type="dxa"/>
            </w:tcMar>
            <w:vAlign w:val="center"/>
          </w:tcPr>
          <w:p w14:paraId="4DE3A411">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2F12E77A">
            <w:pPr>
              <w:spacing w:after="30" w:line="254" w:lineRule="auto"/>
              <w:jc w:val="left"/>
            </w:pPr>
            <w:r>
              <w:rPr>
                <w:rFonts w:ascii="Aptos" w:hAnsi="Aptos"/>
                <w:b/>
                <w:color w:val="000000"/>
                <w:sz w:val="17"/>
              </w:rPr>
              <w:t>Article 12</w:t>
            </w:r>
          </w:p>
          <w:p w14:paraId="3ECB1A9B">
            <w:pPr>
              <w:spacing w:after="30" w:line="254" w:lineRule="auto"/>
              <w:jc w:val="left"/>
            </w:pPr>
            <w:r>
              <w:rPr>
                <w:rFonts w:ascii="Aptos" w:hAnsi="Aptos"/>
                <w:b/>
                <w:color w:val="000000"/>
                <w:sz w:val="17"/>
              </w:rPr>
              <w:t>Right of access</w:t>
            </w:r>
          </w:p>
          <w:p w14:paraId="73B79F81">
            <w:pPr>
              <w:spacing w:after="30" w:line="254" w:lineRule="auto"/>
              <w:jc w:val="left"/>
            </w:pPr>
            <w:r>
              <w:rPr>
                <w:rFonts w:ascii="Aptos" w:hAnsi="Aptos"/>
                <w:color w:val="000000"/>
                <w:sz w:val="17"/>
              </w:rPr>
              <w:t>Member States shall guarantee every data subject the right to obtain from the controller:</w:t>
            </w:r>
          </w:p>
          <w:p w14:paraId="7688DB16">
            <w:pPr>
              <w:spacing w:after="30" w:line="254" w:lineRule="auto"/>
              <w:jc w:val="left"/>
            </w:pPr>
            <w:r>
              <w:rPr>
                <w:rFonts w:ascii="Aptos" w:hAnsi="Aptos"/>
                <w:color w:val="000000"/>
                <w:sz w:val="17"/>
              </w:rPr>
              <w:t>(a) without constraint at reasonable intervals and without excessive delay or expense:</w:t>
            </w:r>
          </w:p>
          <w:p w14:paraId="77061B57">
            <w:pPr>
              <w:spacing w:after="30" w:line="254" w:lineRule="auto"/>
              <w:jc w:val="left"/>
            </w:pPr>
            <w:r>
              <w:rPr>
                <w:rFonts w:ascii="Aptos" w:hAnsi="Aptos"/>
                <w:color w:val="000000"/>
                <w:sz w:val="17"/>
              </w:rPr>
              <w:t>- confirmation as to whether or not data relating to him are being processed and information at least as to the purposes of the processing, the categories of data concerned, and the recipients or categories of recipients to whom the data are disclosed,</w:t>
            </w:r>
          </w:p>
          <w:p w14:paraId="2B738288">
            <w:pPr>
              <w:spacing w:after="30" w:line="254" w:lineRule="auto"/>
              <w:jc w:val="left"/>
            </w:pPr>
            <w:r>
              <w:rPr>
                <w:rFonts w:ascii="Aptos" w:hAnsi="Aptos"/>
                <w:color w:val="000000"/>
                <w:sz w:val="17"/>
              </w:rPr>
              <w:t>- communication to him in an intelligible form of the data undergoing processing and of any available information as to their source,</w:t>
            </w:r>
          </w:p>
          <w:p w14:paraId="2794B911">
            <w:pPr>
              <w:spacing w:after="30" w:line="254" w:lineRule="auto"/>
              <w:jc w:val="left"/>
            </w:pPr>
            <w:r>
              <w:rPr>
                <w:rFonts w:ascii="Aptos" w:hAnsi="Aptos"/>
                <w:color w:val="000000"/>
                <w:sz w:val="17"/>
              </w:rPr>
              <w:t>- knowledge of the logic involved in any automatic processing of data concerning him at least in the case of the automated decisions referred to in Article 15 (1);</w:t>
            </w:r>
          </w:p>
          <w:p w14:paraId="36E5CBD5">
            <w:pPr>
              <w:spacing w:after="30" w:line="254" w:lineRule="auto"/>
              <w:jc w:val="left"/>
            </w:pPr>
            <w:r>
              <w:rPr>
                <w:rFonts w:ascii="Aptos" w:hAnsi="Aptos"/>
                <w:color w:val="000000"/>
                <w:sz w:val="17"/>
              </w:rPr>
              <w:t>(b) as appropriate the rectification, erasure or blocking of data the processing of which does not comply with the provisions of this Directive, in particular because of the incomplete or inaccurate nature of the data;</w:t>
            </w:r>
          </w:p>
          <w:p w14:paraId="683B81C4">
            <w:pPr>
              <w:spacing w:after="30" w:line="254" w:lineRule="auto"/>
              <w:jc w:val="left"/>
            </w:pPr>
            <w:r>
              <w:rPr>
                <w:rFonts w:ascii="Aptos" w:hAnsi="Aptos"/>
                <w:color w:val="000000"/>
                <w:sz w:val="17"/>
              </w:rPr>
              <w:t>(c) notification to third parties to whom the data have been disclosed of any rectification, erasure or blocking carried out in compliance with (b), unless this proves impossible or involves a disproportionate effort.</w:t>
            </w:r>
          </w:p>
          <w:p w14:paraId="3E4A69BA">
            <w:pPr>
              <w:spacing w:after="30" w:line="254" w:lineRule="auto"/>
              <w:jc w:val="left"/>
            </w:pPr>
            <w:r>
              <w:rPr>
                <w:rFonts w:ascii="Aptos" w:hAnsi="Aptos"/>
                <w:b/>
                <w:color w:val="000000"/>
                <w:sz w:val="17"/>
              </w:rPr>
              <w:t>Article 15</w:t>
            </w:r>
          </w:p>
          <w:p w14:paraId="2E88C97E">
            <w:pPr>
              <w:spacing w:after="30" w:line="254" w:lineRule="auto"/>
              <w:jc w:val="left"/>
            </w:pPr>
            <w:r>
              <w:rPr>
                <w:rFonts w:ascii="Aptos" w:hAnsi="Aptos"/>
                <w:b/>
                <w:color w:val="000000"/>
                <w:sz w:val="17"/>
              </w:rPr>
              <w:t>Automated individual decisions</w:t>
            </w:r>
          </w:p>
          <w:p w14:paraId="102E285A">
            <w:pPr>
              <w:spacing w:after="30" w:line="254" w:lineRule="auto"/>
              <w:jc w:val="left"/>
            </w:pPr>
            <w:r>
              <w:rPr>
                <w:rFonts w:ascii="Aptos" w:hAnsi="Aptos"/>
                <w:color w:val="000000"/>
                <w:sz w:val="17"/>
              </w:rPr>
              <w:t>1. Member States shall grant the right to every person not to be subject to a decision which produces legal effects concerning him or significantly affects him and which is based solely on automated processing of data intended to evaluate certain personal aspects relating to him, such as his performance at work, creditworthiness, reliability, conduct, etc.</w:t>
            </w:r>
          </w:p>
          <w:p w14:paraId="3B877DA9">
            <w:pPr>
              <w:spacing w:after="30" w:line="254" w:lineRule="auto"/>
              <w:jc w:val="left"/>
            </w:pPr>
            <w:r>
              <w:rPr>
                <w:rFonts w:ascii="Aptos" w:hAnsi="Aptos"/>
                <w:color w:val="000000"/>
                <w:sz w:val="17"/>
              </w:rPr>
              <w:t>2. Subject to the other Articles of this Directive, Member States shall provide that a person may be subjected to a decision of the kind referred to in paragraph 1 if that decision:</w:t>
            </w:r>
          </w:p>
          <w:p w14:paraId="618AD93F">
            <w:pPr>
              <w:spacing w:after="30" w:line="254" w:lineRule="auto"/>
              <w:jc w:val="left"/>
            </w:pPr>
            <w:r>
              <w:rPr>
                <w:rFonts w:ascii="Aptos" w:hAnsi="Aptos"/>
                <w:color w:val="000000"/>
                <w:sz w:val="17"/>
              </w:rPr>
              <w:t>(a) is taken in the course of the entering into or performance of a contract, provided the request for the entering into or the performance of the contract, lodged by the data subject, has been satisfied or that there are suitable measures to safeguard his legitimate interests, such as arrangements allowing him to put his point of view; or</w:t>
            </w:r>
          </w:p>
          <w:p w14:paraId="68778CBA">
            <w:pPr>
              <w:spacing w:after="30" w:line="254" w:lineRule="auto"/>
              <w:jc w:val="left"/>
            </w:pPr>
            <w:r>
              <w:rPr>
                <w:rFonts w:ascii="Aptos" w:hAnsi="Aptos"/>
                <w:color w:val="000000"/>
                <w:sz w:val="17"/>
              </w:rPr>
              <w:t>(b) is authorized by a law which also lays down measures to safeguard the data subject's legitimate interests.</w:t>
            </w:r>
          </w:p>
        </w:tc>
      </w:tr>
      <w:tr w14:paraId="12FB6D01">
        <w:tc>
          <w:tcPr>
            <w:tcW w:w="1757" w:type="dxa"/>
            <w:shd w:val="clear" w:color="auto" w:fill="EAF0F6"/>
            <w:tcMar>
              <w:top w:w="95" w:type="dxa"/>
              <w:left w:w="115" w:type="dxa"/>
              <w:bottom w:w="95" w:type="dxa"/>
              <w:right w:w="115" w:type="dxa"/>
            </w:tcMar>
            <w:vAlign w:val="center"/>
          </w:tcPr>
          <w:p w14:paraId="5B7FDE9A">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61856032">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Article 12 sets out information rights concerning the purposes of processing, the categories of data concerned, and the logic involved in automated processing. Article 15 provides a right not to be subject to certain decisions based solely on automated processing.</w:t>
            </w:r>
          </w:p>
        </w:tc>
      </w:tr>
      <w:tr w14:paraId="47A38FAF">
        <w:tc>
          <w:tcPr>
            <w:tcW w:w="1757" w:type="dxa"/>
            <w:shd w:val="clear" w:color="auto" w:fill="EAF0F6"/>
            <w:tcMar>
              <w:top w:w="95" w:type="dxa"/>
              <w:left w:w="115" w:type="dxa"/>
              <w:bottom w:w="95" w:type="dxa"/>
              <w:right w:w="115" w:type="dxa"/>
            </w:tcMar>
            <w:vAlign w:val="center"/>
          </w:tcPr>
          <w:p w14:paraId="5A7930DB">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0D97CCB0">
            <w:pPr>
              <w:spacing w:after="60"/>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"https://eur-lex.europa.eu/eli/dir/1995/46/oj/eng" \h </w:instrText>
            </w:r>
            <w:r>
              <w:rPr>
                <w:rFonts w:hint="default" w:ascii="Times New Roman" w:hAnsi="Times New Roman" w:cs="Times New Roman"/>
                <w:sz w:val="20"/>
                <w:szCs w:val="20"/>
              </w:rPr>
              <w:fldChar w:fldCharType="separate"/>
            </w:r>
            <w:r>
              <w:rPr>
                <w:rFonts w:hint="default" w:ascii="Times New Roman" w:hAnsi="Times New Roman" w:cs="Times New Roman"/>
                <w:color w:val="1F4E79"/>
                <w:sz w:val="20"/>
                <w:szCs w:val="20"/>
                <w:u w:val="single"/>
              </w:rPr>
              <w:t>Directive 95/46/EC official text</w:t>
            </w:r>
            <w:r>
              <w:rPr>
                <w:rFonts w:hint="default" w:ascii="Times New Roman" w:hAnsi="Times New Roman" w:cs="Times New Roman"/>
                <w:color w:val="1F4E79"/>
                <w:sz w:val="20"/>
                <w:szCs w:val="20"/>
                <w:u w:val="single"/>
              </w:rPr>
              <w:fldChar w:fldCharType="end"/>
            </w:r>
          </w:p>
        </w:tc>
      </w:tr>
    </w:tbl>
    <w:p w14:paraId="26E6D204">
      <w:pPr>
        <w:spacing w:before="0" w:after="60"/>
      </w:pPr>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26B66847">
        <w:trPr>
          <w:tblHeader/>
        </w:trPr>
        <w:tc>
          <w:tcPr>
            <w:tcW w:w="9821" w:type="dxa"/>
            <w:gridSpan w:val="2"/>
            <w:shd w:val="clear" w:color="auto" w:fill="244061"/>
            <w:tcMar>
              <w:top w:w="105" w:type="dxa"/>
              <w:left w:w="130" w:type="dxa"/>
              <w:bottom w:w="105" w:type="dxa"/>
              <w:right w:w="130" w:type="dxa"/>
            </w:tcMar>
            <w:vAlign w:val="center"/>
          </w:tcPr>
          <w:p w14:paraId="65AB3DF9">
            <w:pPr>
              <w:spacing w:after="0"/>
            </w:pPr>
            <w:r>
              <w:rPr>
                <w:rFonts w:ascii="Aptos" w:hAnsi="Aptos"/>
                <w:b/>
                <w:color w:val="FFFFFF"/>
                <w:sz w:val="20"/>
              </w:rPr>
              <w:t>SI 4  Dun and Bradstreet and the explanation standard</w:t>
            </w:r>
          </w:p>
        </w:tc>
      </w:tr>
      <w:tr w14:paraId="7B6B421E">
        <w:tc>
          <w:tcPr>
            <w:tcW w:w="1757" w:type="dxa"/>
            <w:shd w:val="clear" w:color="auto" w:fill="EAF0F6"/>
            <w:tcMar>
              <w:top w:w="95" w:type="dxa"/>
              <w:left w:w="115" w:type="dxa"/>
              <w:bottom w:w="95" w:type="dxa"/>
              <w:right w:w="115" w:type="dxa"/>
            </w:tcMar>
            <w:vAlign w:val="center"/>
          </w:tcPr>
          <w:p w14:paraId="471CB012">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26E8C926">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Section 2, paragraph 2</w:t>
            </w:r>
          </w:p>
        </w:tc>
      </w:tr>
      <w:tr w14:paraId="72FB7CF5">
        <w:tc>
          <w:tcPr>
            <w:tcW w:w="1757" w:type="dxa"/>
            <w:shd w:val="clear" w:color="auto" w:fill="EAF0F6"/>
            <w:tcMar>
              <w:top w:w="95" w:type="dxa"/>
              <w:left w:w="115" w:type="dxa"/>
              <w:bottom w:w="95" w:type="dxa"/>
              <w:right w:w="115" w:type="dxa"/>
            </w:tcMar>
            <w:vAlign w:val="center"/>
          </w:tcPr>
          <w:p w14:paraId="045DE447">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609D085B">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Judging by the existing EU explanation standard, although the Ck v. Dun &amp; Bradstreet case has rejected the formal transparency of disclosing the algorithmic code, it still retains the model-priority structure of explanation</w:t>
            </w:r>
          </w:p>
        </w:tc>
      </w:tr>
      <w:tr w14:paraId="00432EED">
        <w:tc>
          <w:tcPr>
            <w:tcW w:w="1757" w:type="dxa"/>
            <w:shd w:val="clear" w:color="auto" w:fill="EAF0F6"/>
            <w:tcMar>
              <w:top w:w="95" w:type="dxa"/>
              <w:left w:w="115" w:type="dxa"/>
              <w:bottom w:w="95" w:type="dxa"/>
              <w:right w:w="115" w:type="dxa"/>
            </w:tcMar>
            <w:vAlign w:val="center"/>
          </w:tcPr>
          <w:p w14:paraId="5C3381CC">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549EDCD4">
            <w:pPr>
              <w:spacing w:after="30" w:line="254"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CK v Dun &amp; Bradstreet Austria GmbH and Magistrat der Stadt Wien, ECLI:EU:C:2025:117, paras. 59-61.</w:t>
            </w:r>
          </w:p>
        </w:tc>
      </w:tr>
      <w:tr w14:paraId="1C7F784F">
        <w:tc>
          <w:tcPr>
            <w:tcW w:w="1757" w:type="dxa"/>
            <w:shd w:val="clear" w:color="auto" w:fill="EAF0F6"/>
            <w:tcMar>
              <w:top w:w="95" w:type="dxa"/>
              <w:left w:w="115" w:type="dxa"/>
              <w:bottom w:w="95" w:type="dxa"/>
              <w:right w:w="115" w:type="dxa"/>
            </w:tcMar>
            <w:vAlign w:val="center"/>
          </w:tcPr>
          <w:p w14:paraId="56286FCA">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4F06FAA7">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On the one hand, the Court requires information on the procedures and principles actually applied to personal-data processing so that the data subject can exercise the rights provided by GDPR Article 22. On the other hand, the Court states that algorithmic complexity does not remove the duty to explain. The manuscript therefore infers that, despite identifying concrete explanatory needs, the Court still proceeds on the premise that the algorithmic procedures, principles, and related information can be obtained.</w:t>
            </w:r>
          </w:p>
        </w:tc>
      </w:tr>
      <w:tr w14:paraId="294D4336">
        <w:tc>
          <w:tcPr>
            <w:tcW w:w="1757" w:type="dxa"/>
            <w:shd w:val="clear" w:color="auto" w:fill="EAF0F6"/>
            <w:tcMar>
              <w:top w:w="95" w:type="dxa"/>
              <w:left w:w="115" w:type="dxa"/>
              <w:bottom w:w="95" w:type="dxa"/>
              <w:right w:w="115" w:type="dxa"/>
            </w:tcMar>
            <w:vAlign w:val="center"/>
          </w:tcPr>
          <w:p w14:paraId="3E43D059">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37BE0D57">
            <w:pPr>
              <w:spacing w:after="60"/>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"https://eur-lex.europa.eu/legal-content/EN/TXT/?uri=celex:62022CJ0203" \h </w:instrText>
            </w:r>
            <w:r>
              <w:rPr>
                <w:rFonts w:hint="default" w:ascii="Times New Roman" w:hAnsi="Times New Roman" w:cs="Times New Roman"/>
                <w:sz w:val="20"/>
                <w:szCs w:val="20"/>
              </w:rPr>
              <w:fldChar w:fldCharType="separate"/>
            </w:r>
            <w:r>
              <w:rPr>
                <w:rFonts w:hint="default" w:ascii="Times New Roman" w:hAnsi="Times New Roman" w:cs="Times New Roman"/>
                <w:color w:val="1F4E79"/>
                <w:sz w:val="20"/>
                <w:szCs w:val="20"/>
                <w:u w:val="single"/>
              </w:rPr>
              <w:t>Case C-203/22 judgment</w:t>
            </w:r>
            <w:r>
              <w:rPr>
                <w:rFonts w:hint="default" w:ascii="Times New Roman" w:hAnsi="Times New Roman" w:cs="Times New Roman"/>
                <w:color w:val="1F4E79"/>
                <w:sz w:val="20"/>
                <w:szCs w:val="20"/>
                <w:u w:val="single"/>
              </w:rPr>
              <w:fldChar w:fldCharType="end"/>
            </w:r>
          </w:p>
        </w:tc>
      </w:tr>
    </w:tbl>
    <w:p w14:paraId="7F42E4C4">
      <w:pPr>
        <w:spacing w:before="0" w:after="60"/>
      </w:pPr>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2317BD74">
        <w:trPr>
          <w:tblHeader/>
        </w:trPr>
        <w:tc>
          <w:tcPr>
            <w:tcW w:w="9821" w:type="dxa"/>
            <w:gridSpan w:val="2"/>
            <w:shd w:val="clear" w:color="auto" w:fill="244061"/>
            <w:tcMar>
              <w:top w:w="105" w:type="dxa"/>
              <w:left w:w="130" w:type="dxa"/>
              <w:bottom w:w="105" w:type="dxa"/>
              <w:right w:w="130" w:type="dxa"/>
            </w:tcMar>
            <w:vAlign w:val="center"/>
          </w:tcPr>
          <w:p w14:paraId="21F08277">
            <w:pPr>
              <w:spacing w:after="0"/>
            </w:pPr>
            <w:r>
              <w:rPr>
                <w:rFonts w:ascii="Aptos" w:hAnsi="Aptos"/>
                <w:b/>
                <w:color w:val="FFFFFF"/>
                <w:sz w:val="20"/>
              </w:rPr>
              <w:t>SI 5  Dun and Bradstreet and the accuracy of supplied information</w:t>
            </w:r>
          </w:p>
        </w:tc>
      </w:tr>
      <w:tr w14:paraId="0D0B4FDD">
        <w:tc>
          <w:tcPr>
            <w:tcW w:w="1757" w:type="dxa"/>
            <w:shd w:val="clear" w:color="auto" w:fill="EAF0F6"/>
            <w:tcMar>
              <w:top w:w="95" w:type="dxa"/>
              <w:left w:w="115" w:type="dxa"/>
              <w:bottom w:w="95" w:type="dxa"/>
              <w:right w:w="115" w:type="dxa"/>
            </w:tcMar>
            <w:vAlign w:val="center"/>
          </w:tcPr>
          <w:p w14:paraId="75B273E4">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002339F6">
            <w:pPr>
              <w:spacing w:after="100" w:line="271" w:lineRule="auto"/>
              <w:jc w:val="left"/>
              <w:rPr>
                <w:rFonts w:hint="default" w:ascii="Times New Roman" w:hAnsi="Times New Roman" w:cs="Times New Roman"/>
              </w:rPr>
            </w:pPr>
            <w:r>
              <w:rPr>
                <w:rFonts w:hint="default" w:ascii="Times New Roman" w:hAnsi="Times New Roman" w:cs="Times New Roman"/>
                <w:color w:val="000000"/>
                <w:sz w:val="19"/>
              </w:rPr>
              <w:t>Section 4.1.2, paragraph 2</w:t>
            </w:r>
          </w:p>
        </w:tc>
      </w:tr>
      <w:tr w14:paraId="575AB0C1">
        <w:tc>
          <w:tcPr>
            <w:tcW w:w="1757" w:type="dxa"/>
            <w:shd w:val="clear" w:color="auto" w:fill="EAF0F6"/>
            <w:tcMar>
              <w:top w:w="95" w:type="dxa"/>
              <w:left w:w="115" w:type="dxa"/>
              <w:bottom w:w="95" w:type="dxa"/>
              <w:right w:w="115" w:type="dxa"/>
            </w:tcMar>
            <w:vAlign w:val="center"/>
          </w:tcPr>
          <w:p w14:paraId="0EE55B16">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5C6D4C9D">
            <w:pPr>
              <w:spacing w:after="100" w:line="271" w:lineRule="auto"/>
              <w:jc w:val="left"/>
              <w:rPr>
                <w:rFonts w:hint="default" w:ascii="Times New Roman" w:hAnsi="Times New Roman" w:cs="Times New Roman"/>
              </w:rPr>
            </w:pPr>
            <w:r>
              <w:rPr>
                <w:rFonts w:hint="default" w:ascii="Times New Roman" w:hAnsi="Times New Roman" w:cs="Times New Roman"/>
                <w:color w:val="000000"/>
                <w:sz w:val="19"/>
              </w:rPr>
              <w:t>For example, in the EU Dun &amp; Bradstreet case, the information provided by D&amp;B was in fact inconsistent with the facts (CK v Dun &amp; Bradstreet Austria).</w:t>
            </w:r>
          </w:p>
        </w:tc>
      </w:tr>
      <w:tr w14:paraId="05BD630D">
        <w:tc>
          <w:tcPr>
            <w:tcW w:w="1757" w:type="dxa"/>
            <w:shd w:val="clear" w:color="auto" w:fill="EAF0F6"/>
            <w:tcMar>
              <w:top w:w="95" w:type="dxa"/>
              <w:left w:w="115" w:type="dxa"/>
              <w:bottom w:w="95" w:type="dxa"/>
              <w:right w:w="115" w:type="dxa"/>
            </w:tcMar>
            <w:vAlign w:val="center"/>
          </w:tcPr>
          <w:p w14:paraId="7AE17B33">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5C534E48">
            <w:pPr>
              <w:spacing w:after="30" w:line="254" w:lineRule="auto"/>
              <w:jc w:val="left"/>
              <w:rPr>
                <w:rFonts w:hint="default" w:ascii="Times New Roman" w:hAnsi="Times New Roman" w:cs="Times New Roman"/>
              </w:rPr>
            </w:pPr>
            <w:r>
              <w:rPr>
                <w:rFonts w:hint="default" w:ascii="Times New Roman" w:hAnsi="Times New Roman" w:cs="Times New Roman"/>
                <w:color w:val="000000"/>
                <w:sz w:val="17"/>
              </w:rPr>
              <w:t>CK v Dun &amp; Bradstreet Austria GmbH and Magistrat der Stadt Wien, ECLI:EU:C:2025:117, paras. 28 and 64-65.</w:t>
            </w:r>
          </w:p>
        </w:tc>
      </w:tr>
      <w:tr w14:paraId="5318DC12">
        <w:tc>
          <w:tcPr>
            <w:tcW w:w="1757" w:type="dxa"/>
            <w:shd w:val="clear" w:color="auto" w:fill="EAF0F6"/>
            <w:tcMar>
              <w:top w:w="95" w:type="dxa"/>
              <w:left w:w="115" w:type="dxa"/>
              <w:bottom w:w="95" w:type="dxa"/>
              <w:right w:w="115" w:type="dxa"/>
            </w:tcMar>
            <w:vAlign w:val="center"/>
          </w:tcPr>
          <w:p w14:paraId="2918864F">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4DD83425">
            <w:pPr>
              <w:spacing w:after="100" w:line="271" w:lineRule="auto"/>
              <w:jc w:val="left"/>
              <w:rPr>
                <w:rFonts w:hint="default" w:ascii="Times New Roman" w:hAnsi="Times New Roman" w:cs="Times New Roman"/>
              </w:rPr>
            </w:pPr>
            <w:r>
              <w:rPr>
                <w:rFonts w:hint="default" w:ascii="Times New Roman" w:hAnsi="Times New Roman" w:cs="Times New Roman"/>
                <w:color w:val="000000"/>
                <w:sz w:val="19"/>
              </w:rPr>
              <w:t>First, the referring court asked whether GDPR Article 15(1)(h) enables the data subject to verify the accuracy of the information supplied by the controller. Second, the manuscript reads the Court as identifying a conflict between information supplied by D&amp;B and the facts experienced by CK, and infers that D&amp;B supplied irrelevant or false information.</w:t>
            </w:r>
          </w:p>
        </w:tc>
      </w:tr>
      <w:tr w14:paraId="1C07D06B">
        <w:tc>
          <w:tcPr>
            <w:tcW w:w="1757" w:type="dxa"/>
            <w:shd w:val="clear" w:color="auto" w:fill="EAF0F6"/>
            <w:tcMar>
              <w:top w:w="95" w:type="dxa"/>
              <w:left w:w="115" w:type="dxa"/>
              <w:bottom w:w="95" w:type="dxa"/>
              <w:right w:w="115" w:type="dxa"/>
            </w:tcMar>
            <w:vAlign w:val="center"/>
          </w:tcPr>
          <w:p w14:paraId="346A391E">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59D260E1">
            <w:pPr>
              <w:spacing w:after="6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"https://eur-lex.europa.eu/legal-content/EN/TXT/?uri=celex:62022CJ0203" \h </w:instrText>
            </w:r>
            <w:r>
              <w:rPr>
                <w:rFonts w:hint="default" w:ascii="Times New Roman" w:hAnsi="Times New Roman" w:cs="Times New Roman"/>
              </w:rPr>
              <w:fldChar w:fldCharType="separate"/>
            </w:r>
            <w:r>
              <w:rPr>
                <w:rFonts w:hint="default" w:ascii="Times New Roman" w:hAnsi="Times New Roman" w:cs="Times New Roman"/>
                <w:color w:val="1F4E79"/>
                <w:u w:val="single"/>
              </w:rPr>
              <w:t>Case C-203/22 judgment</w:t>
            </w:r>
            <w:r>
              <w:rPr>
                <w:rFonts w:hint="default" w:ascii="Times New Roman" w:hAnsi="Times New Roman" w:cs="Times New Roman"/>
                <w:color w:val="1F4E79"/>
                <w:u w:val="single"/>
              </w:rPr>
              <w:fldChar w:fldCharType="end"/>
            </w:r>
          </w:p>
        </w:tc>
      </w:tr>
    </w:tbl>
    <w:p w14:paraId="05FD9018">
      <w:pPr>
        <w:spacing w:before="0" w:after="60"/>
      </w:pPr>
    </w:p>
    <w:p w14:paraId="7C560268">
      <w:pPr>
        <w:pStyle w:val="3"/>
      </w:pPr>
      <w:r>
        <w:t>Table 2 Technical and Commercial Materials</w:t>
      </w:r>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36985403">
        <w:trPr>
          <w:tblHeader/>
        </w:trPr>
        <w:tc>
          <w:tcPr>
            <w:tcW w:w="9821" w:type="dxa"/>
            <w:gridSpan w:val="2"/>
            <w:shd w:val="clear" w:color="auto" w:fill="244061"/>
            <w:tcMar>
              <w:top w:w="105" w:type="dxa"/>
              <w:left w:w="130" w:type="dxa"/>
              <w:bottom w:w="105" w:type="dxa"/>
              <w:right w:w="130" w:type="dxa"/>
            </w:tcMar>
            <w:vAlign w:val="center"/>
          </w:tcPr>
          <w:p w14:paraId="2CC8FCE3">
            <w:pPr>
              <w:spacing w:after="0"/>
            </w:pPr>
            <w:r>
              <w:rPr>
                <w:rFonts w:ascii="Aptos" w:hAnsi="Aptos"/>
                <w:b/>
                <w:color w:val="FFFFFF"/>
                <w:sz w:val="20"/>
              </w:rPr>
              <w:t>SI 6  Platform advertising explanation interfaces</w:t>
            </w:r>
          </w:p>
        </w:tc>
      </w:tr>
      <w:tr w14:paraId="49BC393B">
        <w:tc>
          <w:tcPr>
            <w:tcW w:w="1757" w:type="dxa"/>
            <w:shd w:val="clear" w:color="auto" w:fill="EAF0F6"/>
            <w:tcMar>
              <w:top w:w="95" w:type="dxa"/>
              <w:left w:w="115" w:type="dxa"/>
              <w:bottom w:w="95" w:type="dxa"/>
              <w:right w:w="115" w:type="dxa"/>
            </w:tcMar>
            <w:vAlign w:val="center"/>
          </w:tcPr>
          <w:p w14:paraId="1FBB871B">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619DEBF0">
            <w:pPr>
              <w:spacing w:after="100" w:line="271"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color w:val="000000"/>
                <w:sz w:val="20"/>
                <w:szCs w:val="20"/>
              </w:rPr>
              <w:t>Introduction, paragraph 1</w:t>
            </w:r>
          </w:p>
        </w:tc>
      </w:tr>
      <w:tr w14:paraId="633F34AD">
        <w:tc>
          <w:tcPr>
            <w:tcW w:w="1757" w:type="dxa"/>
            <w:shd w:val="clear" w:color="auto" w:fill="EAF0F6"/>
            <w:tcMar>
              <w:top w:w="95" w:type="dxa"/>
              <w:left w:w="115" w:type="dxa"/>
              <w:bottom w:w="95" w:type="dxa"/>
              <w:right w:w="115" w:type="dxa"/>
            </w:tcMar>
            <w:vAlign w:val="center"/>
          </w:tcPr>
          <w:p w14:paraId="097D02E4">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5818D196">
            <w:pPr>
              <w:spacing w:after="100" w:line="271"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color w:val="000000"/>
                <w:sz w:val="20"/>
                <w:szCs w:val="20"/>
              </w:rPr>
              <w:t>At the commercial level, it can likewise be confirmed that, although information such as “Why am I seeing this ad”and System Cards discloses the decision logic, operating mechanisms and other information of algorithms, such information is mostly standardised compliance templates, with the explanatory content of different platforms being highly convergent and of low relevance to existing problems such as algorithmic bias and information cocoons.</w:t>
            </w:r>
          </w:p>
        </w:tc>
      </w:tr>
      <w:tr w14:paraId="3DD2276F">
        <w:tc>
          <w:tcPr>
            <w:tcW w:w="1757" w:type="dxa"/>
            <w:shd w:val="clear" w:color="auto" w:fill="EAF0F6"/>
            <w:tcMar>
              <w:top w:w="95" w:type="dxa"/>
              <w:left w:w="115" w:type="dxa"/>
              <w:bottom w:w="95" w:type="dxa"/>
              <w:right w:w="115" w:type="dxa"/>
            </w:tcMar>
            <w:vAlign w:val="center"/>
          </w:tcPr>
          <w:p w14:paraId="15388AFD">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72FEADA7">
            <w:pPr>
              <w:spacing w:after="30" w:line="254"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color w:val="000000"/>
                <w:sz w:val="20"/>
                <w:szCs w:val="20"/>
              </w:rPr>
              <w:t>1.Meta：Increasing Our Ads Transparency</w:t>
            </w:r>
          </w:p>
          <w:p w14:paraId="1FD4F3B9">
            <w:pPr>
              <w:spacing w:after="30" w:line="254"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color w:val="000000"/>
                <w:sz w:val="20"/>
                <w:szCs w:val="20"/>
              </w:rPr>
              <w:t>2.Tiktok：Furthering our advertising transparency efforts: Introducing “About this ad”</w:t>
            </w:r>
          </w:p>
          <w:p w14:paraId="5F4E75D4">
            <w:pPr>
              <w:spacing w:after="30" w:line="254"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color w:val="000000"/>
                <w:sz w:val="20"/>
                <w:szCs w:val="20"/>
              </w:rPr>
              <w:t>3.LinkedIn:Why am I seeing this ad?</w:t>
            </w:r>
          </w:p>
        </w:tc>
      </w:tr>
      <w:tr w14:paraId="062963CD">
        <w:tc>
          <w:tcPr>
            <w:tcW w:w="1757" w:type="dxa"/>
            <w:shd w:val="clear" w:color="auto" w:fill="EAF0F6"/>
            <w:tcMar>
              <w:top w:w="95" w:type="dxa"/>
              <w:left w:w="115" w:type="dxa"/>
              <w:bottom w:w="95" w:type="dxa"/>
              <w:right w:w="115" w:type="dxa"/>
            </w:tcMar>
            <w:vAlign w:val="center"/>
          </w:tcPr>
          <w:p w14:paraId="4E5DFC11">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2AB47080">
            <w:pPr>
              <w:spacing w:after="100" w:line="271" w:lineRule="auto"/>
              <w:jc w:val="left"/>
              <w:rPr>
                <w:rFonts w:hint="default" w:ascii="Times New Roman Regular" w:hAnsi="Times New Roman Regular" w:cs="Times New Roman Regular"/>
                <w:sz w:val="20"/>
                <w:szCs w:val="20"/>
              </w:rPr>
            </w:pPr>
            <w:r>
              <w:rPr>
                <w:rFonts w:hint="default" w:ascii="Times New Roman Regular" w:hAnsi="Times New Roman Regular" w:cs="Times New Roman Regular"/>
                <w:color w:val="000000"/>
                <w:sz w:val="20"/>
                <w:szCs w:val="20"/>
              </w:rPr>
              <w:t>The article does not collect and analyze the algorithmic-explanation practices of all market actors as an empirical study. However, the advertising-explanation features identified for major platforms such as Meta, TikTok, and LinkedIn all organize information around the reasons for ad delivery and user-control options, showing a degree of formulaic presentation. In the manuscript’s assessment, the information disclosed remains a basic overview and is insufficient for users to verify data sources or distinguish the advertiser’s decisions from the platform’s contribution.</w:t>
            </w:r>
          </w:p>
        </w:tc>
      </w:tr>
      <w:tr w14:paraId="0762EE14">
        <w:tc>
          <w:tcPr>
            <w:tcW w:w="1757" w:type="dxa"/>
            <w:shd w:val="clear" w:color="auto" w:fill="EAF0F6"/>
            <w:tcMar>
              <w:top w:w="95" w:type="dxa"/>
              <w:left w:w="115" w:type="dxa"/>
              <w:bottom w:w="95" w:type="dxa"/>
              <w:right w:w="115" w:type="dxa"/>
            </w:tcMar>
            <w:vAlign w:val="center"/>
          </w:tcPr>
          <w:p w14:paraId="2C13099D">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35A3CD44">
            <w:pPr>
              <w:spacing w:after="60"/>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HYPERLINK "https://about.fb.com/news/2023/02/increasing-our-ads-transparency/" \h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color w:val="1F4E79"/>
                <w:sz w:val="20"/>
                <w:szCs w:val="20"/>
                <w:u w:val="single"/>
              </w:rPr>
              <w:t>Meta advertising transparency page</w:t>
            </w:r>
            <w:r>
              <w:rPr>
                <w:rFonts w:hint="default" w:ascii="Times New Roman Regular" w:hAnsi="Times New Roman Regular" w:cs="Times New Roman Regular"/>
                <w:color w:val="1F4E79"/>
                <w:sz w:val="20"/>
                <w:szCs w:val="20"/>
                <w:u w:val="single"/>
              </w:rPr>
              <w:fldChar w:fldCharType="end"/>
            </w:r>
          </w:p>
          <w:p w14:paraId="1D44E7B8">
            <w:pPr>
              <w:spacing w:after="60"/>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HYPERLINK "https://ads.tiktok.com/business/en-US/blog/introducing-about-this-ad" \h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color w:val="1F4E79"/>
                <w:sz w:val="20"/>
                <w:szCs w:val="20"/>
                <w:u w:val="single"/>
              </w:rPr>
              <w:t>TikTok About This Ad page</w:t>
            </w:r>
            <w:r>
              <w:rPr>
                <w:rFonts w:hint="default" w:ascii="Times New Roman Regular" w:hAnsi="Times New Roman Regular" w:cs="Times New Roman Regular"/>
                <w:color w:val="1F4E79"/>
                <w:sz w:val="20"/>
                <w:szCs w:val="20"/>
                <w:u w:val="single"/>
              </w:rPr>
              <w:fldChar w:fldCharType="end"/>
            </w:r>
          </w:p>
          <w:p w14:paraId="7397C8FF">
            <w:pPr>
              <w:spacing w:after="60"/>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fldChar w:fldCharType="begin"/>
            </w:r>
            <w:r>
              <w:rPr>
                <w:rFonts w:hint="default" w:ascii="Times New Roman Regular" w:hAnsi="Times New Roman Regular" w:cs="Times New Roman Regular"/>
                <w:sz w:val="20"/>
                <w:szCs w:val="20"/>
              </w:rPr>
              <w:instrText xml:space="preserve"> HYPERLINK "https://www.linkedin.com/blog/engineering/trust-and-safety/why-am-i-seeing-this-ad" \h </w:instrText>
            </w:r>
            <w:r>
              <w:rPr>
                <w:rFonts w:hint="default" w:ascii="Times New Roman Regular" w:hAnsi="Times New Roman Regular" w:cs="Times New Roman Regular"/>
                <w:sz w:val="20"/>
                <w:szCs w:val="20"/>
              </w:rPr>
              <w:fldChar w:fldCharType="separate"/>
            </w:r>
            <w:r>
              <w:rPr>
                <w:rFonts w:hint="default" w:ascii="Times New Roman Regular" w:hAnsi="Times New Roman Regular" w:cs="Times New Roman Regular"/>
                <w:color w:val="1F4E79"/>
                <w:sz w:val="20"/>
                <w:szCs w:val="20"/>
                <w:u w:val="single"/>
              </w:rPr>
              <w:t>LinkedIn engineering article</w:t>
            </w:r>
            <w:r>
              <w:rPr>
                <w:rFonts w:hint="default" w:ascii="Times New Roman Regular" w:hAnsi="Times New Roman Regular" w:cs="Times New Roman Regular"/>
                <w:color w:val="1F4E79"/>
                <w:sz w:val="20"/>
                <w:szCs w:val="20"/>
                <w:u w:val="single"/>
              </w:rPr>
              <w:fldChar w:fldCharType="end"/>
            </w:r>
          </w:p>
        </w:tc>
      </w:tr>
    </w:tbl>
    <w:p w14:paraId="60105462">
      <w:pPr>
        <w:spacing w:before="0" w:after="60"/>
      </w:pPr>
    </w:p>
    <w:tbl>
      <w:tblPr>
        <w:tblStyle w:val="32"/>
        <w:tblW w:w="0" w:type="auto"/>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Layout w:type="fixed"/>
        <w:tblCellMar>
          <w:top w:w="0" w:type="dxa"/>
          <w:left w:w="108" w:type="dxa"/>
          <w:bottom w:w="0" w:type="dxa"/>
          <w:right w:w="108" w:type="dxa"/>
        </w:tblCellMar>
      </w:tblPr>
      <w:tblGrid>
        <w:gridCol w:w="1757"/>
        <w:gridCol w:w="8064"/>
      </w:tblGrid>
      <w:tr w14:paraId="750FD705">
        <w:trPr>
          <w:tblHeader/>
        </w:trPr>
        <w:tc>
          <w:tcPr>
            <w:tcW w:w="9821" w:type="dxa"/>
            <w:gridSpan w:val="2"/>
            <w:shd w:val="clear" w:color="auto" w:fill="244061"/>
            <w:tcMar>
              <w:top w:w="105" w:type="dxa"/>
              <w:left w:w="130" w:type="dxa"/>
              <w:bottom w:w="105" w:type="dxa"/>
              <w:right w:w="130" w:type="dxa"/>
            </w:tcMar>
            <w:vAlign w:val="center"/>
          </w:tcPr>
          <w:p w14:paraId="78362C2C">
            <w:pPr>
              <w:spacing w:after="0"/>
            </w:pPr>
            <w:r>
              <w:rPr>
                <w:rFonts w:ascii="Aptos" w:hAnsi="Aptos"/>
                <w:b/>
                <w:color w:val="FFFFFF"/>
                <w:sz w:val="20"/>
              </w:rPr>
              <w:t>SI 7  Frontier model red teaming and unexpected behavior</w:t>
            </w:r>
          </w:p>
        </w:tc>
      </w:tr>
      <w:tr w14:paraId="18A407D8">
        <w:tc>
          <w:tcPr>
            <w:tcW w:w="1757" w:type="dxa"/>
            <w:shd w:val="clear" w:color="auto" w:fill="EAF0F6"/>
            <w:tcMar>
              <w:top w:w="95" w:type="dxa"/>
              <w:left w:w="115" w:type="dxa"/>
              <w:bottom w:w="95" w:type="dxa"/>
              <w:right w:w="115" w:type="dxa"/>
            </w:tcMar>
            <w:vAlign w:val="center"/>
          </w:tcPr>
          <w:p w14:paraId="76D4E538">
            <w:pPr>
              <w:spacing w:after="100" w:line="271" w:lineRule="auto"/>
              <w:jc w:val="left"/>
            </w:pPr>
            <w:r>
              <w:rPr>
                <w:rFonts w:ascii="Aptos" w:hAnsi="Aptos"/>
                <w:b/>
                <w:color w:val="000000"/>
                <w:sz w:val="17"/>
              </w:rPr>
              <w:t>Manuscript location</w:t>
            </w:r>
          </w:p>
        </w:tc>
        <w:tc>
          <w:tcPr>
            <w:tcW w:w="8064" w:type="dxa"/>
            <w:tcMar>
              <w:top w:w="95" w:type="dxa"/>
              <w:left w:w="115" w:type="dxa"/>
              <w:bottom w:w="95" w:type="dxa"/>
              <w:right w:w="115" w:type="dxa"/>
            </w:tcMar>
            <w:vAlign w:val="center"/>
          </w:tcPr>
          <w:p w14:paraId="4C6DB113">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Section 4.1.1</w:t>
            </w:r>
          </w:p>
        </w:tc>
      </w:tr>
      <w:tr w14:paraId="6E0E381E">
        <w:tc>
          <w:tcPr>
            <w:tcW w:w="1757" w:type="dxa"/>
            <w:shd w:val="clear" w:color="auto" w:fill="EAF0F6"/>
            <w:tcMar>
              <w:top w:w="95" w:type="dxa"/>
              <w:left w:w="115" w:type="dxa"/>
              <w:bottom w:w="95" w:type="dxa"/>
              <w:right w:w="115" w:type="dxa"/>
            </w:tcMar>
            <w:vAlign w:val="center"/>
          </w:tcPr>
          <w:p w14:paraId="5CB67F71">
            <w:pPr>
              <w:spacing w:after="100" w:line="271" w:lineRule="auto"/>
              <w:jc w:val="left"/>
            </w:pPr>
            <w:r>
              <w:rPr>
                <w:rFonts w:ascii="Aptos" w:hAnsi="Aptos"/>
                <w:b/>
                <w:color w:val="000000"/>
                <w:sz w:val="17"/>
              </w:rPr>
              <w:t>Claim in manuscript</w:t>
            </w:r>
          </w:p>
        </w:tc>
        <w:tc>
          <w:tcPr>
            <w:tcW w:w="8064" w:type="dxa"/>
            <w:tcMar>
              <w:top w:w="95" w:type="dxa"/>
              <w:left w:w="115" w:type="dxa"/>
              <w:bottom w:w="95" w:type="dxa"/>
              <w:right w:w="115" w:type="dxa"/>
            </w:tcMar>
            <w:vAlign w:val="center"/>
          </w:tcPr>
          <w:p w14:paraId="329EA413">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By comparison, under the substitute standard, existing techniques for identifying risks do not depend on decomposing the model internals, but rely mainly on technical schemes such as red-teaming; moreover, red-teaming at the market level mostly adopts the most cutting-edge AI models, and the risks discovered under such testing basically constitute the limit of human foreseeability.</w:t>
            </w:r>
          </w:p>
        </w:tc>
      </w:tr>
      <w:tr w14:paraId="05481417">
        <w:tc>
          <w:tcPr>
            <w:tcW w:w="1757" w:type="dxa"/>
            <w:shd w:val="clear" w:color="auto" w:fill="EAF0F6"/>
            <w:tcMar>
              <w:top w:w="95" w:type="dxa"/>
              <w:left w:w="115" w:type="dxa"/>
              <w:bottom w:w="95" w:type="dxa"/>
              <w:right w:w="115" w:type="dxa"/>
            </w:tcMar>
            <w:vAlign w:val="center"/>
          </w:tcPr>
          <w:p w14:paraId="4C393B3C">
            <w:pPr>
              <w:spacing w:after="100" w:line="271" w:lineRule="auto"/>
              <w:jc w:val="left"/>
            </w:pPr>
            <w:r>
              <w:rPr>
                <w:rFonts w:ascii="Aptos" w:hAnsi="Aptos"/>
                <w:b/>
                <w:color w:val="000000"/>
                <w:sz w:val="17"/>
              </w:rPr>
              <w:t>Supporting material</w:t>
            </w:r>
          </w:p>
        </w:tc>
        <w:tc>
          <w:tcPr>
            <w:tcW w:w="8064" w:type="dxa"/>
            <w:tcMar>
              <w:top w:w="95" w:type="dxa"/>
              <w:left w:w="115" w:type="dxa"/>
              <w:bottom w:w="95" w:type="dxa"/>
              <w:right w:w="115" w:type="dxa"/>
            </w:tcMar>
            <w:vAlign w:val="center"/>
          </w:tcPr>
          <w:p w14:paraId="6931A02C">
            <w:pPr>
              <w:spacing w:after="30" w:line="254"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GPT-4o System Card, sections “Risk identification, assessment and mitigation” and “External Red Teaming”.</w:t>
            </w:r>
          </w:p>
          <w:p w14:paraId="0F4C79E0">
            <w:pPr>
              <w:spacing w:after="30" w:line="254"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Incident Report: unsanctioned agent behaviour during cyber testing, section “What happened”.</w:t>
            </w:r>
          </w:p>
        </w:tc>
      </w:tr>
      <w:tr w14:paraId="47C9E633">
        <w:tc>
          <w:tcPr>
            <w:tcW w:w="1757" w:type="dxa"/>
            <w:shd w:val="clear" w:color="auto" w:fill="EAF0F6"/>
            <w:tcMar>
              <w:top w:w="95" w:type="dxa"/>
              <w:left w:w="115" w:type="dxa"/>
              <w:bottom w:w="95" w:type="dxa"/>
              <w:right w:w="115" w:type="dxa"/>
            </w:tcMar>
            <w:vAlign w:val="center"/>
          </w:tcPr>
          <w:p w14:paraId="7597B26F">
            <w:pPr>
              <w:spacing w:after="100" w:line="271" w:lineRule="auto"/>
              <w:jc w:val="left"/>
            </w:pPr>
            <w:r>
              <w:rPr>
                <w:rFonts w:ascii="Aptos" w:hAnsi="Aptos"/>
                <w:b/>
                <w:color w:val="000000"/>
                <w:sz w:val="17"/>
              </w:rPr>
              <w:t>Relevance to claim</w:t>
            </w:r>
          </w:p>
        </w:tc>
        <w:tc>
          <w:tcPr>
            <w:tcW w:w="8064" w:type="dxa"/>
            <w:tcMar>
              <w:top w:w="95" w:type="dxa"/>
              <w:left w:w="115" w:type="dxa"/>
              <w:bottom w:w="95" w:type="dxa"/>
              <w:right w:w="115" w:type="dxa"/>
            </w:tcMar>
            <w:vAlign w:val="center"/>
          </w:tcPr>
          <w:p w14:paraId="1724BC53">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1. Before the release of GPT-4o, OpenAI organized more than 100 external red teamers to test versions of the model still under development and specifically explore potential risks arising from new capabilities.</w:t>
            </w:r>
          </w:p>
          <w:p w14:paraId="43BFEC6A">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2. In a 2026 cyber evaluation conducted by the UK AI Security Institute, agents took unauthorized actions directed at real people or organizations in 10 of 122 runs. The Institute stated that the extent and severity of these behaviors exceeded its expectations.</w:t>
            </w:r>
          </w:p>
          <w:p w14:paraId="45DDC0D3">
            <w:pPr>
              <w:spacing w:after="100" w:line="271" w:lineRule="auto"/>
              <w:jc w:val="left"/>
              <w:rPr>
                <w:rFonts w:hint="default" w:ascii="Times New Roman" w:hAnsi="Times New Roman" w:cs="Times New Roman"/>
                <w:sz w:val="20"/>
                <w:szCs w:val="20"/>
              </w:rPr>
            </w:pPr>
            <w:r>
              <w:rPr>
                <w:rFonts w:hint="default" w:ascii="Times New Roman" w:hAnsi="Times New Roman" w:cs="Times New Roman"/>
                <w:color w:val="000000"/>
                <w:sz w:val="20"/>
                <w:szCs w:val="20"/>
              </w:rPr>
              <w:t>The manuscript infers from these examples that major model developers commonly test frontier systems to anticipate risks, and that this form of risk anticipation has been shown to exceed the boundaries of human cognition.</w:t>
            </w:r>
          </w:p>
        </w:tc>
      </w:tr>
      <w:tr w14:paraId="4E04ECB8">
        <w:tc>
          <w:tcPr>
            <w:tcW w:w="1757" w:type="dxa"/>
            <w:shd w:val="clear" w:color="auto" w:fill="EAF0F6"/>
            <w:tcMar>
              <w:top w:w="95" w:type="dxa"/>
              <w:left w:w="115" w:type="dxa"/>
              <w:bottom w:w="95" w:type="dxa"/>
              <w:right w:w="115" w:type="dxa"/>
            </w:tcMar>
            <w:vAlign w:val="center"/>
          </w:tcPr>
          <w:p w14:paraId="616D8AB4">
            <w:pPr>
              <w:spacing w:after="100" w:line="271" w:lineRule="auto"/>
              <w:jc w:val="left"/>
            </w:pPr>
            <w:r>
              <w:rPr>
                <w:rFonts w:ascii="Aptos" w:hAnsi="Aptos"/>
                <w:b/>
                <w:color w:val="000000"/>
                <w:sz w:val="17"/>
              </w:rPr>
              <w:t>Source</w:t>
            </w:r>
          </w:p>
        </w:tc>
        <w:tc>
          <w:tcPr>
            <w:tcW w:w="8064" w:type="dxa"/>
            <w:tcMar>
              <w:top w:w="95" w:type="dxa"/>
              <w:left w:w="115" w:type="dxa"/>
              <w:bottom w:w="95" w:type="dxa"/>
              <w:right w:w="115" w:type="dxa"/>
            </w:tcMar>
            <w:vAlign w:val="center"/>
          </w:tcPr>
          <w:p w14:paraId="785B4ECA">
            <w:pPr>
              <w:spacing w:after="60"/>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"https://openai.com/index/gpt-4o-system-card/" \h </w:instrText>
            </w:r>
            <w:r>
              <w:rPr>
                <w:rFonts w:hint="default" w:ascii="Times New Roman" w:hAnsi="Times New Roman" w:cs="Times New Roman"/>
                <w:sz w:val="20"/>
                <w:szCs w:val="20"/>
              </w:rPr>
              <w:fldChar w:fldCharType="separate"/>
            </w:r>
            <w:r>
              <w:rPr>
                <w:rFonts w:hint="default" w:ascii="Times New Roman" w:hAnsi="Times New Roman" w:cs="Times New Roman"/>
                <w:color w:val="1F4E79"/>
                <w:sz w:val="20"/>
                <w:szCs w:val="20"/>
                <w:u w:val="single"/>
              </w:rPr>
              <w:t>OpenAI GPT-4o System Card</w:t>
            </w:r>
            <w:r>
              <w:rPr>
                <w:rFonts w:hint="default" w:ascii="Times New Roman" w:hAnsi="Times New Roman" w:cs="Times New Roman"/>
                <w:color w:val="1F4E79"/>
                <w:sz w:val="20"/>
                <w:szCs w:val="20"/>
                <w:u w:val="single"/>
              </w:rPr>
              <w:fldChar w:fldCharType="end"/>
            </w:r>
          </w:p>
          <w:p w14:paraId="4B53F70A">
            <w:pPr>
              <w:spacing w:after="60"/>
              <w:rPr>
                <w:rFonts w:hint="default" w:ascii="Times New Roman" w:hAnsi="Times New Roman" w:cs="Times New Roman"/>
                <w:sz w:val="20"/>
                <w:szCs w:val="20"/>
              </w:rPr>
            </w:pP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"https://www.aisi.gov.uk/blog/incident-report-unsanctioned-agent-behaviour-during-cyber-testing" \h </w:instrText>
            </w:r>
            <w:r>
              <w:rPr>
                <w:rFonts w:hint="default" w:ascii="Times New Roman" w:hAnsi="Times New Roman" w:cs="Times New Roman"/>
                <w:sz w:val="20"/>
                <w:szCs w:val="20"/>
              </w:rPr>
              <w:fldChar w:fldCharType="separate"/>
            </w:r>
            <w:r>
              <w:rPr>
                <w:rFonts w:hint="default" w:ascii="Times New Roman" w:hAnsi="Times New Roman" w:cs="Times New Roman"/>
                <w:color w:val="1F4E79"/>
                <w:sz w:val="20"/>
                <w:szCs w:val="20"/>
                <w:u w:val="single"/>
              </w:rPr>
              <w:t>UK AI Security Institute incident report</w:t>
            </w:r>
            <w:r>
              <w:rPr>
                <w:rFonts w:hint="default" w:ascii="Times New Roman" w:hAnsi="Times New Roman" w:cs="Times New Roman"/>
                <w:color w:val="1F4E79"/>
                <w:sz w:val="20"/>
                <w:szCs w:val="20"/>
                <w:u w:val="single"/>
              </w:rPr>
              <w:fldChar w:fldCharType="end"/>
            </w:r>
          </w:p>
        </w:tc>
      </w:tr>
    </w:tbl>
    <w:p w14:paraId="105CFA07">
      <w:pPr>
        <w:spacing w:before="0" w:after="60"/>
      </w:pPr>
    </w:p>
    <w:sectPr>
      <w:footerReference r:id="rId5" w:type="default"/>
      <w:pgSz w:w="11909" w:h="16834"/>
      <w:pgMar w:top="1037" w:right="1037" w:bottom="979" w:left="103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Aptos">
    <w:altName w:val="Helvetica Neue"/>
    <w:panose1 w:val="00000000000000000000"/>
    <w:charset w:val="00"/>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宋体-简">
    <w:panose1 w:val="02010800040101010101"/>
    <w:charset w:val="86"/>
    <w:family w:val="auto"/>
    <w:pitch w:val="default"/>
    <w:sig w:usb0="00000001" w:usb1="080F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A6F3D">
    <w:pPr>
      <w:pStyle w:val="24"/>
    </w:pP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5EBE20">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65EBE20">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9" w:lineRule="auto"/>
      </w:pPr>
      <w:r>
        <w:separator/>
      </w:r>
    </w:p>
  </w:footnote>
  <w:footnote w:type="continuationSeparator" w:id="1">
    <w:p>
      <w:pPr>
        <w:spacing w:before="0" w:after="0" w:line="26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7"/>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BF790BC"/>
    <w:rsid w:val="77FD9894"/>
    <w:rsid w:val="7CC760C9"/>
    <w:rsid w:val="7FB77158"/>
    <w:rsid w:val="ACAD0F36"/>
    <w:rsid w:val="DAEFBF47"/>
    <w:rsid w:val="E0E7BDD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69" w:lineRule="auto"/>
    </w:pPr>
    <w:rPr>
      <w:rFonts w:ascii="Aptos" w:hAnsi="Aptos" w:eastAsiaTheme="minorEastAsia" w:cstheme="minorBidi"/>
      <w:color w:val="000000"/>
      <w:sz w:val="19"/>
      <w:szCs w:val="22"/>
      <w:lang w:val="en-US" w:eastAsia="en-US" w:bidi="ar-SA"/>
    </w:rPr>
  </w:style>
  <w:style w:type="paragraph" w:styleId="3">
    <w:name w:val="heading 1"/>
    <w:basedOn w:val="1"/>
    <w:next w:val="1"/>
    <w:link w:val="138"/>
    <w:qFormat/>
    <w:uiPriority w:val="9"/>
    <w:pPr>
      <w:keepNext/>
      <w:keepLines/>
      <w:spacing w:before="240" w:after="140"/>
      <w:outlineLvl w:val="0"/>
    </w:pPr>
    <w:rPr>
      <w:rFonts w:asciiTheme="majorHAnsi" w:hAnsiTheme="majorHAnsi" w:eastAsiaTheme="majorEastAsia" w:cstheme="majorBidi"/>
      <w:b/>
      <w:bCs/>
      <w:color w:val="000000"/>
      <w:sz w:val="25"/>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120" w:line="240" w:lineRule="auto"/>
      <w:contextualSpacing/>
    </w:pPr>
    <w:rPr>
      <w:rFonts w:asciiTheme="majorHAnsi" w:hAnsiTheme="majorHAnsi" w:eastAsiaTheme="majorEastAsia" w:cstheme="majorBidi"/>
      <w:b/>
      <w:color w:val="000000"/>
      <w:spacing w:val="5"/>
      <w:kern w:val="28"/>
      <w:sz w:val="34"/>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1664</Words>
  <Characters>9482</Characters>
  <Lines>0</Lines>
  <Paragraphs>0</Paragraphs>
  <TotalTime>2</TotalTime>
  <ScaleCrop>false</ScaleCrop>
  <LinksUpToDate>false</LinksUpToDate>
  <CharactersWithSpaces>11032</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zf</cp:lastModifiedBy>
  <dcterms:modified xsi:type="dcterms:W3CDTF">2026-09-30T01:35:20Z</dcterms:modified>
  <dc:title>Supplementary Information on Algorithmic Explanation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3521C58720649EEF31F4BB6A3D92729A_42</vt:lpwstr>
  </property>
</Properties>
</file>