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</w:pPr>
      <w:r>
        <w:rPr>
          <w:rFonts w:ascii="Times New Roman" w:hAnsi="Times New Roman" w:eastAsia="宋体"/>
          <w:b/>
          <w:i w:val="0"/>
          <w:sz w:val="26"/>
        </w:rPr>
        <w:t>Additional file 2. E-value analysis for unmeasured confounding.</w:t>
      </w:r>
    </w:p>
    <w:p>
      <w:pPr>
        <w:spacing w:after="280" w:before="0" w:line="240" w:lineRule="auto"/>
      </w:pPr>
      <w:r>
        <w:rPr>
          <w:rFonts w:ascii="Times New Roman" w:hAnsi="Times New Roman" w:eastAsia="宋体"/>
          <w:b w:val="0"/>
          <w:i/>
          <w:sz w:val="18"/>
        </w:rPr>
        <w:t>This file accompanies the manuscript: Propofol-referenced comparison of midazolam and dexmedetomidine for 28-day mortality in critically ill patients with hepatic failure: a retrospective cohort study of MIMIC-IV and eICU-CRD.</w:t>
      </w:r>
    </w:p>
    <w:p>
      <w:pPr>
        <w:spacing w:after="120" w:before="0" w:line="276" w:lineRule="auto"/>
      </w:pPr>
      <w:r>
        <w:rPr>
          <w:rFonts w:ascii="Times New Roman" w:hAnsi="Times New Roman" w:eastAsia="宋体"/>
          <w:b/>
          <w:i w:val="0"/>
          <w:sz w:val="24"/>
        </w:rPr>
        <w:t>E-value analysis for unmeasured confounding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Analysis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Effect estimate (95% CI)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Approx. RR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E-value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17"/>
              </w:rPr>
              <w:t>E-value for CI limit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MIMIC-IV, Cox, 28-day mortality: midazolam vs propofol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HR 1.48 (1.30-1.69)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1.31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1.95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1.68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MIMIC-IV, Cox, 28-day mortality: dexmedetomidine vs propofol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HR 0.56 (0.45-0.69)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0.67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2.37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1.91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MIMIC-IV, IPTW, in-hospital mortality: midazolam vs propofol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OR 1.57 (1.38-1.78)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1.25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1.80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1.63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MIMIC-IV, IPTW, 28-day mortality: midazolam vs propofol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OR 1.53 (1.34-1.74)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1.21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1.71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1.55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MIMIC-IV, IPTW, in-hospital mortality: dexmedetomidine vs propofol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OR 0.59 (0.51-0.68)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0.72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2.10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1.82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MIMIC-IV, IPTW, 28-day mortality: dexmedetomidine vs propofol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OR 0.62 (0.54-0.72)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0.77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1.93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1.68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eICU-CRD, adjusted, 28-day mortality: midazolam vs propofol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OR 1.62 (1.06-2.42)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1.28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1.88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1.21</w:t>
            </w:r>
          </w:p>
        </w:tc>
      </w:tr>
      <w:tr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eICU-CRD, adjusted, 28-day mortality: dexmedetomidine vs propofol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OR 0.90 (0.53-1.43)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0.94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1.33</w:t>
            </w:r>
          </w:p>
        </w:tc>
        <w:tc>
          <w:tcPr>
            <w:tcW w:type="dxa" w:w="1872"/>
          </w:tcPr>
          <w:p>
            <w:pPr>
              <w:spacing w:after="0" w:before="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7"/>
              </w:rPr>
              <w:t>1.00</w:t>
            </w:r>
          </w:p>
        </w:tc>
      </w:tr>
    </w:tbl>
    <w:p>
      <w:pPr>
        <w:spacing w:after="120" w:before="120" w:line="240" w:lineRule="auto"/>
        <w:jc w:val="both"/>
      </w:pPr>
      <w:r>
        <w:rPr>
          <w:rFonts w:ascii="Times New Roman" w:hAnsi="Times New Roman" w:eastAsia="宋体"/>
          <w:b w:val="0"/>
          <w:i w:val="0"/>
          <w:sz w:val="18"/>
        </w:rPr>
        <w:t>E-values were computed by the method of VanderWeele and Ding. Hazard and odds ratios were converted to approximate risk ratios (HR: RR = (1 - 0.5^sqrt(HR)) / (1 - 0.5^sqrt(1/HR)); OR: RR = OR / (1 - p0 + p0 x OR), where p0 is the mortality risk in the propofol group). The E-value is the minimum strength of association, on the risk-ratio scale, that an unmeasured confounder would need to have with both the exposure and the outcome to explain away the observed association; the E-value for the CI limit is the value required to shift the confidence interval so that it includes the null (a value of 1 means the interval already includes the null). RR risk ratio, HR hazard ratio, OR odds ratio, IPTW inverse-probability-of-treatment weighting.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