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 w:line="276" w:lineRule="auto"/>
      </w:pPr>
      <w:r>
        <w:rPr>
          <w:rFonts w:ascii="Times New Roman" w:hAnsi="Times New Roman" w:eastAsia="宋体"/>
          <w:b/>
          <w:i w:val="0"/>
          <w:sz w:val="26"/>
        </w:rPr>
        <w:t>Additional file 5. Causal mediation analysis.</w:t>
      </w:r>
    </w:p>
    <w:p>
      <w:pPr>
        <w:spacing w:after="280" w:before="0" w:line="240" w:lineRule="auto"/>
      </w:pPr>
      <w:r>
        <w:rPr>
          <w:rFonts w:ascii="Times New Roman" w:hAnsi="Times New Roman" w:eastAsia="宋体"/>
          <w:b w:val="0"/>
          <w:i/>
          <w:sz w:val="18"/>
        </w:rPr>
        <w:t>This file accompanies the manuscript: Propofol-referenced comparison of midazolam and dexmedetomidine for 28-day mortality in critically ill patients with hepatic failure: a retrospective cohort study of MIMIC-IV and eICU-CRD.</w:t>
      </w:r>
    </w:p>
    <w:p>
      <w:pPr>
        <w:spacing w:after="120" w:before="0" w:line="276" w:lineRule="auto"/>
      </w:pPr>
      <w:r>
        <w:rPr>
          <w:rFonts w:ascii="Times New Roman" w:hAnsi="Times New Roman" w:eastAsia="宋体"/>
          <w:b/>
          <w:i w:val="0"/>
          <w:sz w:val="24"/>
        </w:rPr>
        <w:t>Causal mediation analysis of the association between sedative choice and 28-day mortality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56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17"/>
              </w:rPr>
              <w:t>Mediator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17"/>
              </w:rPr>
              <w:t>Comparison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17"/>
              </w:rPr>
              <w:t>N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17"/>
              </w:rPr>
              <w:t>NDE, OR (95% CI)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17"/>
              </w:rPr>
              <w:t>NIE, OR (95% CI)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17"/>
              </w:rPr>
              <w:t>Proportion mediated, % (95% CI)</w:t>
            </w:r>
          </w:p>
        </w:tc>
      </w:tr>
      <w:tr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Mechanical ventilation duration (all patients)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Midazolam vs Propofol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2078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1.61 (1.33-2.00)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0.98 (0.96-1.00)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-3.8 (-11.8 to 0.8)</w:t>
            </w:r>
          </w:p>
        </w:tc>
      </w:tr>
      <w:tr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Mechanical ventilation duration (all patients)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Dexmedetomidine vs Propofol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1765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0.68 (0.51-0.87)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0.98 (0.95-1.00)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4.9 (-0.2 to 17.9)</w:t>
            </w:r>
          </w:p>
        </w:tc>
      </w:tr>
      <w:tr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Mechanical ventilation duration (ventilated only)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Midazolam vs Propofol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1932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1.80 (1.45-2.25)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1.00 (0.99-1.02)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0.4 (-1.1 to 2.5)</w:t>
            </w:r>
          </w:p>
        </w:tc>
      </w:tr>
      <w:tr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Mechanical ventilation duration (ventilated only)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Dexmedetomidine vs Propofol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1649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0.65 (0.48-0.84)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1.06 (1.03-1.11)</w:t>
            </w:r>
          </w:p>
        </w:tc>
        <w:tc>
          <w:tcPr>
            <w:tcW w:type="dxa" w:w="1560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-16.4 (-61.3 to -5.0)</w:t>
            </w:r>
          </w:p>
        </w:tc>
      </w:tr>
    </w:tbl>
    <w:p>
      <w:pPr>
        <w:spacing w:after="120" w:before="120" w:line="240" w:lineRule="auto"/>
        <w:jc w:val="both"/>
      </w:pPr>
      <w:r>
        <w:rPr>
          <w:rFonts w:ascii="Times New Roman" w:hAnsi="Times New Roman" w:eastAsia="宋体"/>
          <w:b w:val="0"/>
          <w:i w:val="0"/>
          <w:sz w:val="18"/>
        </w:rPr>
        <w:t>Causal mediation analysis within the counterfactual framework. Natural direct effects (NDE) and natural indirect effects (NIE) are reported as odds ratios on the log-odds scale, with 95% confidence intervals from 1000 bootstrap resamples. Models were adjusted for age, sex, baseline MELD, Charlson comorbidity index and baseline SOFA score; propofol is the reference. The proportion mediated is the NIE divided by the total effect and is unstable when the total effect is small; a negative value indicates that the indirect effect acts in the opposite direction to the total effect. Because 28-day mortality was common in this cohort, the odds-ratio decomposition is an approximation. Mechanical ventilation refers to the duration of mechanical ventilation; 'ventilated only' restricts the analysis to patients who received mechanical ventilation. Hepatic coma was not assessed as a mediator because it is recorded at admission. NDE natural direct effect, NIE natural indirect effect.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