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Additional file 1. STROBE 2007 Checklist (Cohort Studies)</w:t>
      </w:r>
    </w:p>
    <w:p>
      <w:r>
        <w:t>STROBE statement: von Elm E, Altman DG, Egger M, et al. The Strengthening the Reporting of Observational Studies in Epidemiology (STROBE) statement: guidelines for reporting observational studies. Lancet 2007; 370: 1453–1457.</w:t>
      </w:r>
    </w:p>
    <w:p>
      <w:r>
        <w:rPr>
          <w:i/>
        </w:rPr>
        <w:t>Manuscript: Propofol-referenced comparison of midazolam and dexmedetomidine for 28-day mortality in critically ill patients with hepatic failure: a retrospective cohort study of MIMIC-IV and eICU-CRD (version of 15 September 2026)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720"/>
          </w:tcPr>
          <w:p>
            <w:r>
              <w:rPr>
                <w:b/>
                <w:sz w:val="19"/>
              </w:rPr>
              <w:t>Item</w:t>
            </w:r>
          </w:p>
        </w:tc>
        <w:tc>
          <w:tcPr>
            <w:tcW w:type="dxa" w:w="2160"/>
          </w:tcPr>
          <w:p>
            <w:r>
              <w:rPr>
                <w:b/>
                <w:sz w:val="19"/>
              </w:rPr>
              <w:t>STROBE topic</w:t>
            </w:r>
          </w:p>
        </w:tc>
        <w:tc>
          <w:tcPr>
            <w:tcW w:type="dxa" w:w="4896"/>
          </w:tcPr>
          <w:p>
            <w:r>
              <w:rPr>
                <w:b/>
                <w:sz w:val="19"/>
              </w:rPr>
              <w:t>Recommendation (abridged)</w:t>
            </w:r>
          </w:p>
        </w:tc>
        <w:tc>
          <w:tcPr>
            <w:tcW w:type="dxa" w:w="3024"/>
          </w:tcPr>
          <w:p>
            <w:r>
              <w:rPr>
                <w:b/>
                <w:sz w:val="19"/>
              </w:rPr>
              <w:t>Reported in manuscript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Title and abstract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(a) Indicate the study design with a commonly used term in the title or abstract; (b) provide an informative, balanced structured summary of what was done and what was found.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Title (states "retrospective cohort study"); Abstract (structured Background / Methods / Results / Conclusions, 349 words)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Background/rationale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Explain the scientific background and rationale for the investigation.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Background (paragraphs 1-3: hepatic handling of the three agents, randomised evidence confined to general ICU populations, no trial in hepatic failure)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Objectives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State specific objectives, including any prespecified hypotheses.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Background (final paragraph: midazolam and dexmedetomidine compared with propofol for 28-day mortality, with pre-specified secondary outcomes)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Study design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Present the study design (e.g., cohort) early in the Methods section.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Methods - Study design and data sources ("retrospective multicentre cohort study", reported in accordance with STROBE)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Setting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Describe the setting, locations, and relevant dates, including periods of recruitment, exposure, follow-up, and data collection.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Methods - Study design and data sources (MIMIC-IV v3.1, Beth Israel Deaconess Medical Center, Boston, USA, 2008-2022; eICU-CRD multicentre tele-ICU, 2014-2015; both accessed through PhysioNet)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Participants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(a) Give eligibility criteria and the sources/methods of selection of participants; describe methods of follow-up.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Methods - Study population (adults with hepatic failure, ICD-9 570 / ICD-10 K72, given a qualifying continuous sedative infusion for &gt;=24 h; exclusions stated; first ICU stay per admission retained); Fig. 1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Variables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Clearly define all outcomes, exposures, predictors, potential confounders, and effect modifiers. Give diagnostic criteria if applicable.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Methods - Exposure and Outcomes (primary sedative defined by longest cumulative infusion; primary outcome 28-day all-cause mortality; secondary outcomes listed); Methods - Covariates (a priori list); Table 1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Data sources / measurement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For each variable of interest, give sources of data and details of methods of assessment (measurement).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Methods - Study design and data sources and Covariates (ICD coding, SOFA, APACHE II, Charlson index, MELD computed from bilirubin, INR and creatinine; sepsis per Surviving Sepsis Campaign criteria)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Bias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Describe any efforts to address potential sources of bias.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Methods - Statistical analysis (multivariable adjustment; IPTW with cross-validated, truncated propensity scores; nine alternative specifications); Methods - Sensitivity analysis for unmeasured confounding (E-values 1.95 for midazolam and 2.37 for dexmedetomidine, against propensity-score C-statistics of 0.57-0.59; Additional file 2); Discussion - Strengths and limitations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Study size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Explain how the study size was arrived at.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Methods - Study population (no a priori sample-size calculation; all eligible ICU stays were included: 2358 in MIMIC-IV and 257 in eICU-CRD); Results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Quantitative variables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Explain how quantitative variables were handled in the analyses; describe groupings chosen and why.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Methods - Statistical analysis (continuous secondary outcomes log-transformed; within-drug quartiles of infusion duration); Table 1 footnote (median [IQR] vs n [%])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Statistical methods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(a) Describe all methods, including those to control confounding; (b) subgroup/interaction analyses; (c) how missing data were addressed; (d) how loss to follow-up was addressed; (e) sensitivity analyses.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Methods - Statistical analysis: (a) Kaplan-Meier and log-rank tests; Cox and logistic models (crude, Model 1, Model 2); IPTW from 5-fold cross-validated propensity scores truncated at [0.01, 0.99]; (b) eleven pre-specified subgroups with interaction terms (Additional file 3); (c) complete-case analysis, with baseline MELD imputed from the cohort median; (d) 28-day follow-up complete for every included stay, with deaths occurring after hospital discharge captured (S9); (e) nine alternative specifications (Additional file 4), E-values (Additional file 2) and causal mediation analysis (Additional file 5)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13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Participants (results)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(a) Report numbers at each stage; (b) reasons for non-participation; (c) consider a flow diagram.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Fig. 1; Results - Study population (4693 ICU stays screened in MIMIC-IV, 2335 excluded for no qualifying sedative infusion, 2358 analysed: 2038 patients, 2110 admissions)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14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Descriptive data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(a) Give characteristics of participants and information on exposures/confounders; (b) indicate missing data per variable.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Table 1; Results - Baseline characteristics; missing covariate values handled by complete-case analysis, with baseline MELD imputed from the cohort median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Outcome data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For each main outcome, report number of events, individuals at risk, and time period.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Results - Primary outcome: 28-day survival (2358 ICU stays; 51.5% overall; 61.6% / 49.8% / 38.9% by sedative group; in-hospital mortality 47.3%); Table 1 and Table 2 (group sizes); Table 5 (events by group in eICU-CRD); Fig. 2 (numbers at risk at days 0, 7, 14, 21 and 28)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16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Main results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(a) Give unadjusted and adjusted estimates with 95% CIs; (b) report category boundaries; (c) absolute risk if relevant.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Tables 2-3 (crude, age- and sex-adjusted, fully adjusted and IPTW odds ratios, and Cox hazard ratios, all with 95% CI); Results - Multivariable regression and IPTW and Cox proportional-hazards analysis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17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Other analyses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Report subgroup, interaction, and sensitivity analyses.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Additional file 2 (E-values); Additional file 3 (eleven pre-specified subgroup analyses with interaction tests and a forest plot); Additional file 4 (nine alternative analytic specifications, including age as the timescale, propensity-score matching, overlap weights, competing risks and dose-response); Additional file 5 (causal mediation); Table 4 (secondary outcomes); Table 5 (external validation in eICU-CRD)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18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Key results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Summarise key results with reference to study objectives.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Results; Conclusions (key results summarised with reference to the stated objectives)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19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Limitations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Discuss limitations, including direction and magnitude of potential bias.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Discussion - Strengths and limitations (nine paragraphs; direction and magnitude of residual confounding discussed against the propensity-score C-statistics and the E-values)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Interpretation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Give a cautious overall interpretation considering objectives, limitations, and other evidence.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Discussion (opening and closing paragraphs); Conclusions (findings framed as hypothesis-generating)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21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Generalisability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Discuss the generalisability (external validity) of the results.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Results - External validation in eICU-CRD; Discussion - Strengths and limitations (single-country, English-language databases; multi-ethnic validation needed)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22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Funding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Give the source of funding and the role of funders.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Declarations - Funding (grant no. GZYZS2024U09)</w:t>
            </w:r>
          </w:p>
        </w:tc>
      </w:tr>
      <w:tr>
        <w:tc>
          <w:tcPr>
            <w:tcW w:type="dxa" w:w="720"/>
          </w:tcPr>
          <w:p>
            <w:r>
              <w:rPr>
                <w:sz w:val="18"/>
              </w:rPr>
              <w:t>–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Access to data (other information)</w:t>
            </w:r>
          </w:p>
        </w:tc>
        <w:tc>
          <w:tcPr>
            <w:tcW w:type="dxa" w:w="4896"/>
          </w:tcPr>
          <w:p>
            <w:r>
              <w:rPr>
                <w:sz w:val="18"/>
              </w:rPr>
              <w:t>Describe where and how the study data can be accessed.</w:t>
            </w:r>
          </w:p>
        </w:tc>
        <w:tc>
          <w:tcPr>
            <w:tcW w:type="dxa" w:w="3024"/>
          </w:tcPr>
          <w:p>
            <w:r>
              <w:rPr>
                <w:sz w:val="18"/>
              </w:rPr>
              <w:t>Declarations - Availability of data and materials (PhysioNet for MIMIC-IV and eICU-CRD; derived dataset and analysis code available from the corresponding author)</w:t>
            </w:r>
          </w:p>
        </w:tc>
      </w:tr>
    </w:tbl>
    <w:p/>
    <w:p>
      <w:r>
        <w:t>Note: page numbers are not shown because the manuscript is submitted as an editable Word file; locations are given by section heading or table/figure number. This checklist is submitted as Additional file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