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276" w:lineRule="auto"/>
      </w:pPr>
      <w:r>
        <w:rPr>
          <w:rFonts w:ascii="Times New Roman" w:hAnsi="Times New Roman" w:eastAsia="宋体"/>
          <w:b/>
          <w:i w:val="0"/>
          <w:sz w:val="26"/>
        </w:rPr>
        <w:t>Additional file 4. Sensitivity analyses of the association between sedative choice and 28-day mortality.</w:t>
      </w:r>
    </w:p>
    <w:p>
      <w:pPr>
        <w:spacing w:after="280" w:before="0" w:line="240" w:lineRule="auto"/>
      </w:pPr>
      <w:r>
        <w:rPr>
          <w:rFonts w:ascii="Times New Roman" w:hAnsi="Times New Roman" w:eastAsia="宋体"/>
          <w:b w:val="0"/>
          <w:i/>
          <w:sz w:val="18"/>
        </w:rPr>
        <w:t>This file accompanies the manuscript: Propofol-referenced comparison of midazolam and dexmedetomidine for 28-day mortality in critically ill patients with hepatic failure: a retrospective cohort study of MIMIC-IV and eICU-CRD.</w:t>
      </w:r>
    </w:p>
    <w:p>
      <w:pPr>
        <w:spacing w:after="120" w:before="0" w:line="276" w:lineRule="auto"/>
      </w:pPr>
      <w:r>
        <w:rPr>
          <w:rFonts w:ascii="Times New Roman" w:hAnsi="Times New Roman" w:eastAsia="宋体"/>
          <w:b/>
          <w:i w:val="0"/>
          <w:sz w:val="24"/>
        </w:rPr>
        <w:t>Sensitivity analyses of the association between sedative choice and 28-day mortality</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c>
          <w:tcPr>
            <w:tcW w:type="dxa" w:w="1560"/>
          </w:tcPr>
          <w:p>
            <w:pPr>
              <w:spacing w:after="0" w:before="0" w:line="240" w:lineRule="auto"/>
              <w:jc w:val="center"/>
            </w:pPr>
            <w:r/>
            <w:r>
              <w:rPr>
                <w:rFonts w:ascii="Times New Roman" w:hAnsi="Times New Roman" w:cs="Times New Roman" w:eastAsia="Times New Roman"/>
                <w:b/>
                <w:i w:val="0"/>
                <w:sz w:val="17"/>
              </w:rPr>
              <w:t>Analysis</w:t>
            </w:r>
          </w:p>
        </w:tc>
        <w:tc>
          <w:tcPr>
            <w:tcW w:type="dxa" w:w="1560"/>
          </w:tcPr>
          <w:p>
            <w:pPr>
              <w:spacing w:after="0" w:before="0" w:line="240" w:lineRule="auto"/>
              <w:jc w:val="center"/>
            </w:pPr>
            <w:r/>
            <w:r>
              <w:rPr>
                <w:rFonts w:ascii="Times New Roman" w:hAnsi="Times New Roman" w:cs="Times New Roman" w:eastAsia="Times New Roman"/>
                <w:b/>
                <w:i w:val="0"/>
                <w:sz w:val="17"/>
              </w:rPr>
              <w:t>Estimator</w:t>
            </w:r>
          </w:p>
        </w:tc>
        <w:tc>
          <w:tcPr>
            <w:tcW w:type="dxa" w:w="1560"/>
          </w:tcPr>
          <w:p>
            <w:pPr>
              <w:spacing w:after="0" w:before="0" w:line="240" w:lineRule="auto"/>
              <w:jc w:val="center"/>
            </w:pPr>
            <w:r/>
            <w:r>
              <w:rPr>
                <w:rFonts w:ascii="Times New Roman" w:hAnsi="Times New Roman" w:cs="Times New Roman" w:eastAsia="Times New Roman"/>
                <w:b/>
                <w:i w:val="0"/>
                <w:sz w:val="17"/>
              </w:rPr>
              <w:t>Midazolam vs propofol, estimate (95% CI)</w:t>
            </w:r>
          </w:p>
        </w:tc>
        <w:tc>
          <w:tcPr>
            <w:tcW w:type="dxa" w:w="1560"/>
          </w:tcPr>
          <w:p>
            <w:pPr>
              <w:spacing w:after="0" w:before="0" w:line="240" w:lineRule="auto"/>
              <w:jc w:val="center"/>
            </w:pPr>
            <w:r/>
            <w:r>
              <w:rPr>
                <w:rFonts w:ascii="Times New Roman" w:hAnsi="Times New Roman" w:cs="Times New Roman" w:eastAsia="Times New Roman"/>
                <w:b/>
                <w:i w:val="0"/>
                <w:sz w:val="17"/>
              </w:rPr>
              <w:t>P</w:t>
            </w:r>
          </w:p>
        </w:tc>
        <w:tc>
          <w:tcPr>
            <w:tcW w:type="dxa" w:w="1560"/>
          </w:tcPr>
          <w:p>
            <w:pPr>
              <w:spacing w:after="0" w:before="0" w:line="240" w:lineRule="auto"/>
              <w:jc w:val="center"/>
            </w:pPr>
            <w:r/>
            <w:r>
              <w:rPr>
                <w:rFonts w:ascii="Times New Roman" w:hAnsi="Times New Roman" w:cs="Times New Roman" w:eastAsia="Times New Roman"/>
                <w:b/>
                <w:i w:val="0"/>
                <w:sz w:val="17"/>
              </w:rPr>
              <w:t>Dexmedetomidine vs propofol, estimate (95% CI)</w:t>
            </w:r>
          </w:p>
        </w:tc>
        <w:tc>
          <w:tcPr>
            <w:tcW w:type="dxa" w:w="1560"/>
          </w:tcPr>
          <w:p>
            <w:pPr>
              <w:spacing w:after="0" w:before="0" w:line="240" w:lineRule="auto"/>
              <w:jc w:val="center"/>
            </w:pPr>
            <w:r/>
            <w:r>
              <w:rPr>
                <w:rFonts w:ascii="Times New Roman" w:hAnsi="Times New Roman" w:cs="Times New Roman" w:eastAsia="Times New Roman"/>
                <w:b/>
                <w:i w:val="0"/>
                <w:sz w:val="17"/>
              </w:rPr>
              <w:t>P</w:t>
            </w:r>
          </w:p>
        </w:tc>
      </w:tr>
      <w:tr>
        <w:tc>
          <w:tcPr>
            <w:tcW w:type="dxa" w:w="1560"/>
          </w:tcPr>
          <w:p>
            <w:pPr>
              <w:spacing w:after="0" w:before="0" w:line="240" w:lineRule="auto"/>
            </w:pPr>
            <w:r/>
            <w:r>
              <w:rPr>
                <w:rFonts w:ascii="Times New Roman" w:hAnsi="Times New Roman" w:cs="Times New Roman" w:eastAsia="Times New Roman"/>
                <w:b w:val="0"/>
                <w:i w:val="0"/>
                <w:sz w:val="17"/>
              </w:rPr>
              <w:t>S1  Age as the time scale</w:t>
            </w:r>
          </w:p>
        </w:tc>
        <w:tc>
          <w:tcPr>
            <w:tcW w:type="dxa" w:w="1560"/>
          </w:tcPr>
          <w:p>
            <w:pPr>
              <w:spacing w:after="0" w:before="0" w:line="240" w:lineRule="auto"/>
            </w:pPr>
            <w:r/>
            <w:r>
              <w:rPr>
                <w:rFonts w:ascii="Times New Roman" w:hAnsi="Times New Roman" w:cs="Times New Roman" w:eastAsia="Times New Roman"/>
                <w:b w:val="0"/>
                <w:i w:val="0"/>
                <w:sz w:val="17"/>
              </w:rPr>
              <w:t>Cox HR</w:t>
            </w:r>
          </w:p>
        </w:tc>
        <w:tc>
          <w:tcPr>
            <w:tcW w:type="dxa" w:w="1560"/>
          </w:tcPr>
          <w:p>
            <w:pPr>
              <w:spacing w:after="0" w:before="0" w:line="240" w:lineRule="auto"/>
            </w:pPr>
            <w:r/>
            <w:r>
              <w:rPr>
                <w:rFonts w:ascii="Times New Roman" w:hAnsi="Times New Roman" w:cs="Times New Roman" w:eastAsia="Times New Roman"/>
                <w:b w:val="0"/>
                <w:i w:val="0"/>
                <w:sz w:val="17"/>
              </w:rPr>
              <w:t>1.41 (1.22-1.63)</w:t>
            </w:r>
          </w:p>
        </w:tc>
        <w:tc>
          <w:tcPr>
            <w:tcW w:type="dxa" w:w="1560"/>
          </w:tcPr>
          <w:p>
            <w:pPr>
              <w:spacing w:after="0" w:before="0" w:line="240" w:lineRule="auto"/>
            </w:pPr>
            <w:r/>
            <w:r>
              <w:rPr>
                <w:rFonts w:ascii="Times New Roman" w:hAnsi="Times New Roman" w:cs="Times New Roman" w:eastAsia="Times New Roman"/>
                <w:b w:val="0"/>
                <w:i w:val="0"/>
                <w:sz w:val="17"/>
              </w:rPr>
              <w:t>&lt;0.001</w:t>
            </w:r>
          </w:p>
        </w:tc>
        <w:tc>
          <w:tcPr>
            <w:tcW w:type="dxa" w:w="1560"/>
          </w:tcPr>
          <w:p>
            <w:pPr>
              <w:spacing w:after="0" w:before="0" w:line="240" w:lineRule="auto"/>
            </w:pPr>
            <w:r/>
            <w:r>
              <w:rPr>
                <w:rFonts w:ascii="Times New Roman" w:hAnsi="Times New Roman" w:cs="Times New Roman" w:eastAsia="Times New Roman"/>
                <w:b w:val="0"/>
                <w:i w:val="0"/>
                <w:sz w:val="17"/>
              </w:rPr>
              <w:t>0.54 (0.42-0.68)</w:t>
            </w:r>
          </w:p>
        </w:tc>
        <w:tc>
          <w:tcPr>
            <w:tcW w:type="dxa" w:w="1560"/>
          </w:tcPr>
          <w:p>
            <w:pPr>
              <w:spacing w:after="0" w:before="0" w:line="240" w:lineRule="auto"/>
            </w:pPr>
            <w:r/>
            <w:r>
              <w:rPr>
                <w:rFonts w:ascii="Times New Roman" w:hAnsi="Times New Roman" w:cs="Times New Roman" w:eastAsia="Times New Roman"/>
                <w:b w:val="0"/>
                <w:i w:val="0"/>
                <w:sz w:val="17"/>
              </w:rPr>
              <w:t>&lt;0.001</w:t>
            </w:r>
          </w:p>
        </w:tc>
      </w:tr>
      <w:tr>
        <w:tc>
          <w:tcPr>
            <w:tcW w:type="dxa" w:w="1560"/>
          </w:tcPr>
          <w:p>
            <w:pPr>
              <w:spacing w:after="0" w:before="0" w:line="240" w:lineRule="auto"/>
            </w:pPr>
            <w:r/>
            <w:r>
              <w:rPr>
                <w:rFonts w:ascii="Times New Roman" w:hAnsi="Times New Roman" w:cs="Times New Roman" w:eastAsia="Times New Roman"/>
                <w:b w:val="0"/>
                <w:i w:val="0"/>
                <w:sz w:val="17"/>
              </w:rPr>
              <w:t>S2  Propensity-score matching, 1:1 (428 / 231 matched pairs)</w:t>
            </w:r>
          </w:p>
        </w:tc>
        <w:tc>
          <w:tcPr>
            <w:tcW w:type="dxa" w:w="1560"/>
          </w:tcPr>
          <w:p>
            <w:pPr>
              <w:spacing w:after="0" w:before="0" w:line="240" w:lineRule="auto"/>
            </w:pPr>
            <w:r/>
            <w:r>
              <w:rPr>
                <w:rFonts w:ascii="Times New Roman" w:hAnsi="Times New Roman" w:cs="Times New Roman" w:eastAsia="Times New Roman"/>
                <w:b w:val="0"/>
                <w:i w:val="0"/>
                <w:sz w:val="17"/>
              </w:rPr>
              <w:t>Cox HR, robust</w:t>
            </w:r>
          </w:p>
        </w:tc>
        <w:tc>
          <w:tcPr>
            <w:tcW w:type="dxa" w:w="1560"/>
          </w:tcPr>
          <w:p>
            <w:pPr>
              <w:spacing w:after="0" w:before="0" w:line="240" w:lineRule="auto"/>
            </w:pPr>
            <w:r/>
            <w:r>
              <w:rPr>
                <w:rFonts w:ascii="Times New Roman" w:hAnsi="Times New Roman" w:cs="Times New Roman" w:eastAsia="Times New Roman"/>
                <w:b w:val="0"/>
                <w:i w:val="0"/>
                <w:sz w:val="17"/>
              </w:rPr>
              <w:t>1.28 (1.06-1.55)</w:t>
            </w:r>
          </w:p>
        </w:tc>
        <w:tc>
          <w:tcPr>
            <w:tcW w:type="dxa" w:w="1560"/>
          </w:tcPr>
          <w:p>
            <w:pPr>
              <w:spacing w:after="0" w:before="0" w:line="240" w:lineRule="auto"/>
            </w:pPr>
            <w:r/>
            <w:r>
              <w:rPr>
                <w:rFonts w:ascii="Times New Roman" w:hAnsi="Times New Roman" w:cs="Times New Roman" w:eastAsia="Times New Roman"/>
                <w:b w:val="0"/>
                <w:i w:val="0"/>
                <w:sz w:val="17"/>
              </w:rPr>
              <w:t>0.010</w:t>
            </w:r>
          </w:p>
        </w:tc>
        <w:tc>
          <w:tcPr>
            <w:tcW w:type="dxa" w:w="1560"/>
          </w:tcPr>
          <w:p>
            <w:pPr>
              <w:spacing w:after="0" w:before="0" w:line="240" w:lineRule="auto"/>
            </w:pPr>
            <w:r/>
            <w:r>
              <w:rPr>
                <w:rFonts w:ascii="Times New Roman" w:hAnsi="Times New Roman" w:cs="Times New Roman" w:eastAsia="Times New Roman"/>
                <w:b w:val="0"/>
                <w:i w:val="0"/>
                <w:sz w:val="17"/>
              </w:rPr>
              <w:t>0.58 (0.44-0.78)</w:t>
            </w:r>
          </w:p>
        </w:tc>
        <w:tc>
          <w:tcPr>
            <w:tcW w:type="dxa" w:w="1560"/>
          </w:tcPr>
          <w:p>
            <w:pPr>
              <w:spacing w:after="0" w:before="0" w:line="240" w:lineRule="auto"/>
            </w:pPr>
            <w:r/>
            <w:r>
              <w:rPr>
                <w:rFonts w:ascii="Times New Roman" w:hAnsi="Times New Roman" w:cs="Times New Roman" w:eastAsia="Times New Roman"/>
                <w:b w:val="0"/>
                <w:i w:val="0"/>
                <w:sz w:val="17"/>
              </w:rPr>
              <w:t>&lt;0.001</w:t>
            </w:r>
          </w:p>
        </w:tc>
      </w:tr>
      <w:tr>
        <w:tc>
          <w:tcPr>
            <w:tcW w:type="dxa" w:w="1560"/>
          </w:tcPr>
          <w:p>
            <w:pPr>
              <w:spacing w:after="0" w:before="0" w:line="240" w:lineRule="auto"/>
            </w:pPr>
            <w:r/>
            <w:r>
              <w:rPr>
                <w:rFonts w:ascii="Times New Roman" w:hAnsi="Times New Roman" w:cs="Times New Roman" w:eastAsia="Times New Roman"/>
                <w:b w:val="0"/>
                <w:i w:val="0"/>
                <w:sz w:val="17"/>
              </w:rPr>
              <w:t>S3  Overlap weights</w:t>
            </w:r>
          </w:p>
        </w:tc>
        <w:tc>
          <w:tcPr>
            <w:tcW w:type="dxa" w:w="1560"/>
          </w:tcPr>
          <w:p>
            <w:pPr>
              <w:spacing w:after="0" w:before="0" w:line="240" w:lineRule="auto"/>
            </w:pPr>
            <w:r/>
            <w:r>
              <w:rPr>
                <w:rFonts w:ascii="Times New Roman" w:hAnsi="Times New Roman" w:cs="Times New Roman" w:eastAsia="Times New Roman"/>
                <w:b w:val="0"/>
                <w:i w:val="0"/>
                <w:sz w:val="17"/>
              </w:rPr>
              <w:t>weighted OR</w:t>
            </w:r>
          </w:p>
        </w:tc>
        <w:tc>
          <w:tcPr>
            <w:tcW w:type="dxa" w:w="1560"/>
          </w:tcPr>
          <w:p>
            <w:pPr>
              <w:spacing w:after="0" w:before="0" w:line="240" w:lineRule="auto"/>
            </w:pPr>
            <w:r/>
            <w:r>
              <w:rPr>
                <w:rFonts w:ascii="Times New Roman" w:hAnsi="Times New Roman" w:cs="Times New Roman" w:eastAsia="Times New Roman"/>
                <w:b w:val="0"/>
                <w:i w:val="0"/>
                <w:sz w:val="17"/>
              </w:rPr>
              <w:t>1.52 (1.13-2.04)</w:t>
            </w:r>
          </w:p>
        </w:tc>
        <w:tc>
          <w:tcPr>
            <w:tcW w:type="dxa" w:w="1560"/>
          </w:tcPr>
          <w:p>
            <w:pPr>
              <w:spacing w:after="0" w:before="0" w:line="240" w:lineRule="auto"/>
            </w:pPr>
            <w:r/>
            <w:r>
              <w:rPr>
                <w:rFonts w:ascii="Times New Roman" w:hAnsi="Times New Roman" w:cs="Times New Roman" w:eastAsia="Times New Roman"/>
                <w:b w:val="0"/>
                <w:i w:val="0"/>
                <w:sz w:val="17"/>
              </w:rPr>
              <w:t>0.006</w:t>
            </w:r>
          </w:p>
        </w:tc>
        <w:tc>
          <w:tcPr>
            <w:tcW w:type="dxa" w:w="1560"/>
          </w:tcPr>
          <w:p>
            <w:pPr>
              <w:spacing w:after="0" w:before="0" w:line="240" w:lineRule="auto"/>
            </w:pPr>
            <w:r/>
            <w:r>
              <w:rPr>
                <w:rFonts w:ascii="Times New Roman" w:hAnsi="Times New Roman" w:cs="Times New Roman" w:eastAsia="Times New Roman"/>
                <w:b w:val="0"/>
                <w:i w:val="0"/>
                <w:sz w:val="17"/>
              </w:rPr>
              <w:t>0.59 (0.40-0.88)</w:t>
            </w:r>
          </w:p>
        </w:tc>
        <w:tc>
          <w:tcPr>
            <w:tcW w:type="dxa" w:w="1560"/>
          </w:tcPr>
          <w:p>
            <w:pPr>
              <w:spacing w:after="0" w:before="0" w:line="240" w:lineRule="auto"/>
            </w:pPr>
            <w:r/>
            <w:r>
              <w:rPr>
                <w:rFonts w:ascii="Times New Roman" w:hAnsi="Times New Roman" w:cs="Times New Roman" w:eastAsia="Times New Roman"/>
                <w:b w:val="0"/>
                <w:i w:val="0"/>
                <w:sz w:val="17"/>
              </w:rPr>
              <w:t>0.010</w:t>
            </w:r>
          </w:p>
        </w:tc>
      </w:tr>
      <w:tr>
        <w:tc>
          <w:tcPr>
            <w:tcW w:type="dxa" w:w="1560"/>
          </w:tcPr>
          <w:p>
            <w:pPr>
              <w:spacing w:after="0" w:before="0" w:line="240" w:lineRule="auto"/>
            </w:pPr>
            <w:r/>
            <w:r>
              <w:rPr>
                <w:rFonts w:ascii="Times New Roman" w:hAnsi="Times New Roman" w:cs="Times New Roman" w:eastAsia="Times New Roman"/>
                <w:b w:val="0"/>
                <w:i w:val="0"/>
                <w:sz w:val="17"/>
              </w:rPr>
              <w:t>S4a  Propensity score truncated at 0.05/0.95</w:t>
            </w:r>
          </w:p>
        </w:tc>
        <w:tc>
          <w:tcPr>
            <w:tcW w:type="dxa" w:w="1560"/>
          </w:tcPr>
          <w:p>
            <w:pPr>
              <w:spacing w:after="0" w:before="0" w:line="240" w:lineRule="auto"/>
            </w:pPr>
            <w:r/>
            <w:r>
              <w:rPr>
                <w:rFonts w:ascii="Times New Roman" w:hAnsi="Times New Roman" w:cs="Times New Roman" w:eastAsia="Times New Roman"/>
                <w:b w:val="0"/>
                <w:i w:val="0"/>
                <w:sz w:val="17"/>
              </w:rPr>
              <w:t>IPTW OR</w:t>
            </w:r>
          </w:p>
        </w:tc>
        <w:tc>
          <w:tcPr>
            <w:tcW w:type="dxa" w:w="1560"/>
          </w:tcPr>
          <w:p>
            <w:pPr>
              <w:spacing w:after="0" w:before="0" w:line="240" w:lineRule="auto"/>
            </w:pPr>
            <w:r/>
            <w:r>
              <w:rPr>
                <w:rFonts w:ascii="Times New Roman" w:hAnsi="Times New Roman" w:cs="Times New Roman" w:eastAsia="Times New Roman"/>
                <w:b w:val="0"/>
                <w:i w:val="0"/>
                <w:sz w:val="17"/>
              </w:rPr>
              <w:t>1.53 (1.34-1.74)</w:t>
            </w:r>
          </w:p>
        </w:tc>
        <w:tc>
          <w:tcPr>
            <w:tcW w:type="dxa" w:w="1560"/>
          </w:tcPr>
          <w:p>
            <w:pPr>
              <w:spacing w:after="0" w:before="0" w:line="240" w:lineRule="auto"/>
            </w:pPr>
            <w:r/>
            <w:r>
              <w:rPr>
                <w:rFonts w:ascii="Times New Roman" w:hAnsi="Times New Roman" w:cs="Times New Roman" w:eastAsia="Times New Roman"/>
                <w:b w:val="0"/>
                <w:i w:val="0"/>
                <w:sz w:val="17"/>
              </w:rPr>
              <w:t>&lt;0.001</w:t>
            </w:r>
          </w:p>
        </w:tc>
        <w:tc>
          <w:tcPr>
            <w:tcW w:type="dxa" w:w="1560"/>
          </w:tcPr>
          <w:p>
            <w:pPr>
              <w:spacing w:after="0" w:before="0" w:line="240" w:lineRule="auto"/>
            </w:pPr>
            <w:r/>
            <w:r>
              <w:rPr>
                <w:rFonts w:ascii="Times New Roman" w:hAnsi="Times New Roman" w:cs="Times New Roman" w:eastAsia="Times New Roman"/>
                <w:b w:val="0"/>
                <w:i w:val="0"/>
                <w:sz w:val="17"/>
              </w:rPr>
              <w:t>0.62 (0.54-0.72)</w:t>
            </w:r>
          </w:p>
        </w:tc>
        <w:tc>
          <w:tcPr>
            <w:tcW w:type="dxa" w:w="1560"/>
          </w:tcPr>
          <w:p>
            <w:pPr>
              <w:spacing w:after="0" w:before="0" w:line="240" w:lineRule="auto"/>
            </w:pPr>
            <w:r/>
            <w:r>
              <w:rPr>
                <w:rFonts w:ascii="Times New Roman" w:hAnsi="Times New Roman" w:cs="Times New Roman" w:eastAsia="Times New Roman"/>
                <w:b w:val="0"/>
                <w:i w:val="0"/>
                <w:sz w:val="17"/>
              </w:rPr>
              <w:t>&lt;0.001</w:t>
            </w:r>
          </w:p>
        </w:tc>
      </w:tr>
      <w:tr>
        <w:tc>
          <w:tcPr>
            <w:tcW w:type="dxa" w:w="1560"/>
          </w:tcPr>
          <w:p>
            <w:pPr>
              <w:spacing w:after="0" w:before="0" w:line="240" w:lineRule="auto"/>
            </w:pPr>
            <w:r/>
            <w:r>
              <w:rPr>
                <w:rFonts w:ascii="Times New Roman" w:hAnsi="Times New Roman" w:cs="Times New Roman" w:eastAsia="Times New Roman"/>
                <w:b w:val="0"/>
                <w:i w:val="0"/>
                <w:sz w:val="17"/>
              </w:rPr>
              <w:t>S4b  Propensity score truncated at 0.10/0.90</w:t>
            </w:r>
          </w:p>
        </w:tc>
        <w:tc>
          <w:tcPr>
            <w:tcW w:type="dxa" w:w="1560"/>
          </w:tcPr>
          <w:p>
            <w:pPr>
              <w:spacing w:after="0" w:before="0" w:line="240" w:lineRule="auto"/>
            </w:pPr>
            <w:r/>
            <w:r>
              <w:rPr>
                <w:rFonts w:ascii="Times New Roman" w:hAnsi="Times New Roman" w:cs="Times New Roman" w:eastAsia="Times New Roman"/>
                <w:b w:val="0"/>
                <w:i w:val="0"/>
                <w:sz w:val="17"/>
              </w:rPr>
              <w:t>IPTW OR</w:t>
            </w:r>
          </w:p>
        </w:tc>
        <w:tc>
          <w:tcPr>
            <w:tcW w:type="dxa" w:w="1560"/>
          </w:tcPr>
          <w:p>
            <w:pPr>
              <w:spacing w:after="0" w:before="0" w:line="240" w:lineRule="auto"/>
            </w:pPr>
            <w:r/>
            <w:r>
              <w:rPr>
                <w:rFonts w:ascii="Times New Roman" w:hAnsi="Times New Roman" w:cs="Times New Roman" w:eastAsia="Times New Roman"/>
                <w:b w:val="0"/>
                <w:i w:val="0"/>
                <w:sz w:val="17"/>
              </w:rPr>
              <w:t>1.52 (1.33-1.73)</w:t>
            </w:r>
          </w:p>
        </w:tc>
        <w:tc>
          <w:tcPr>
            <w:tcW w:type="dxa" w:w="1560"/>
          </w:tcPr>
          <w:p>
            <w:pPr>
              <w:spacing w:after="0" w:before="0" w:line="240" w:lineRule="auto"/>
            </w:pPr>
            <w:r/>
            <w:r>
              <w:rPr>
                <w:rFonts w:ascii="Times New Roman" w:hAnsi="Times New Roman" w:cs="Times New Roman" w:eastAsia="Times New Roman"/>
                <w:b w:val="0"/>
                <w:i w:val="0"/>
                <w:sz w:val="17"/>
              </w:rPr>
              <w:t>&lt;0.001</w:t>
            </w:r>
          </w:p>
        </w:tc>
        <w:tc>
          <w:tcPr>
            <w:tcW w:type="dxa" w:w="1560"/>
          </w:tcPr>
          <w:p>
            <w:pPr>
              <w:spacing w:after="0" w:before="0" w:line="240" w:lineRule="auto"/>
            </w:pPr>
            <w:r/>
            <w:r>
              <w:rPr>
                <w:rFonts w:ascii="Times New Roman" w:hAnsi="Times New Roman" w:cs="Times New Roman" w:eastAsia="Times New Roman"/>
                <w:b w:val="0"/>
                <w:i w:val="0"/>
                <w:sz w:val="17"/>
              </w:rPr>
              <w:t>0.62 (0.54-0.72)</w:t>
            </w:r>
          </w:p>
        </w:tc>
        <w:tc>
          <w:tcPr>
            <w:tcW w:type="dxa" w:w="1560"/>
          </w:tcPr>
          <w:p>
            <w:pPr>
              <w:spacing w:after="0" w:before="0" w:line="240" w:lineRule="auto"/>
            </w:pPr>
            <w:r/>
            <w:r>
              <w:rPr>
                <w:rFonts w:ascii="Times New Roman" w:hAnsi="Times New Roman" w:cs="Times New Roman" w:eastAsia="Times New Roman"/>
                <w:b w:val="0"/>
                <w:i w:val="0"/>
                <w:sz w:val="17"/>
              </w:rPr>
              <w:t>&lt;0.001</w:t>
            </w:r>
          </w:p>
        </w:tc>
      </w:tr>
      <w:tr>
        <w:tc>
          <w:tcPr>
            <w:tcW w:type="dxa" w:w="1560"/>
          </w:tcPr>
          <w:p>
            <w:pPr>
              <w:spacing w:after="0" w:before="0" w:line="240" w:lineRule="auto"/>
            </w:pPr>
            <w:r/>
            <w:r>
              <w:rPr>
                <w:rFonts w:ascii="Times New Roman" w:hAnsi="Times New Roman" w:cs="Times New Roman" w:eastAsia="Times New Roman"/>
                <w:b w:val="0"/>
                <w:i w:val="0"/>
                <w:sz w:val="17"/>
              </w:rPr>
              <w:t>S5  Excluding deaths within 48 h of admission (n=1804 / 1588)</w:t>
            </w:r>
          </w:p>
        </w:tc>
        <w:tc>
          <w:tcPr>
            <w:tcW w:type="dxa" w:w="1560"/>
          </w:tcPr>
          <w:p>
            <w:pPr>
              <w:spacing w:after="0" w:before="0" w:line="240" w:lineRule="auto"/>
            </w:pPr>
            <w:r/>
            <w:r>
              <w:rPr>
                <w:rFonts w:ascii="Times New Roman" w:hAnsi="Times New Roman" w:cs="Times New Roman" w:eastAsia="Times New Roman"/>
                <w:b w:val="0"/>
                <w:i w:val="0"/>
                <w:sz w:val="17"/>
              </w:rPr>
              <w:t>Cox HR</w:t>
            </w:r>
          </w:p>
        </w:tc>
        <w:tc>
          <w:tcPr>
            <w:tcW w:type="dxa" w:w="1560"/>
          </w:tcPr>
          <w:p>
            <w:pPr>
              <w:spacing w:after="0" w:before="0" w:line="240" w:lineRule="auto"/>
            </w:pPr>
            <w:r/>
            <w:r>
              <w:rPr>
                <w:rFonts w:ascii="Times New Roman" w:hAnsi="Times New Roman" w:cs="Times New Roman" w:eastAsia="Times New Roman"/>
                <w:b w:val="0"/>
                <w:i w:val="0"/>
                <w:sz w:val="17"/>
              </w:rPr>
              <w:t>1.34 (1.15-1.55)</w:t>
            </w:r>
          </w:p>
        </w:tc>
        <w:tc>
          <w:tcPr>
            <w:tcW w:type="dxa" w:w="1560"/>
          </w:tcPr>
          <w:p>
            <w:pPr>
              <w:spacing w:after="0" w:before="0" w:line="240" w:lineRule="auto"/>
            </w:pPr>
            <w:r/>
            <w:r>
              <w:rPr>
                <w:rFonts w:ascii="Times New Roman" w:hAnsi="Times New Roman" w:cs="Times New Roman" w:eastAsia="Times New Roman"/>
                <w:b w:val="0"/>
                <w:i w:val="0"/>
                <w:sz w:val="17"/>
              </w:rPr>
              <w:t>&lt;0.001</w:t>
            </w:r>
          </w:p>
        </w:tc>
        <w:tc>
          <w:tcPr>
            <w:tcW w:type="dxa" w:w="1560"/>
          </w:tcPr>
          <w:p>
            <w:pPr>
              <w:spacing w:after="0" w:before="0" w:line="240" w:lineRule="auto"/>
            </w:pPr>
            <w:r/>
            <w:r>
              <w:rPr>
                <w:rFonts w:ascii="Times New Roman" w:hAnsi="Times New Roman" w:cs="Times New Roman" w:eastAsia="Times New Roman"/>
                <w:b w:val="0"/>
                <w:i w:val="0"/>
                <w:sz w:val="17"/>
              </w:rPr>
              <w:t>0.60 (0.48-0.76)</w:t>
            </w:r>
          </w:p>
        </w:tc>
        <w:tc>
          <w:tcPr>
            <w:tcW w:type="dxa" w:w="1560"/>
          </w:tcPr>
          <w:p>
            <w:pPr>
              <w:spacing w:after="0" w:before="0" w:line="240" w:lineRule="auto"/>
            </w:pPr>
            <w:r/>
            <w:r>
              <w:rPr>
                <w:rFonts w:ascii="Times New Roman" w:hAnsi="Times New Roman" w:cs="Times New Roman" w:eastAsia="Times New Roman"/>
                <w:b w:val="0"/>
                <w:i w:val="0"/>
                <w:sz w:val="17"/>
              </w:rPr>
              <w:t>&lt;0.001</w:t>
            </w:r>
          </w:p>
        </w:tc>
      </w:tr>
      <w:tr>
        <w:tc>
          <w:tcPr>
            <w:tcW w:type="dxa" w:w="1560"/>
          </w:tcPr>
          <w:p>
            <w:pPr>
              <w:spacing w:after="0" w:before="0" w:line="240" w:lineRule="auto"/>
            </w:pPr>
            <w:r/>
            <w:r>
              <w:rPr>
                <w:rFonts w:ascii="Times New Roman" w:hAnsi="Times New Roman" w:cs="Times New Roman" w:eastAsia="Times New Roman"/>
                <w:b w:val="0"/>
                <w:i w:val="0"/>
                <w:sz w:val="17"/>
              </w:rPr>
              <w:t>S6  First ICU stay only (n=1570 / 1289)</w:t>
            </w:r>
          </w:p>
        </w:tc>
        <w:tc>
          <w:tcPr>
            <w:tcW w:type="dxa" w:w="1560"/>
          </w:tcPr>
          <w:p>
            <w:pPr>
              <w:spacing w:after="0" w:before="0" w:line="240" w:lineRule="auto"/>
            </w:pPr>
            <w:r/>
            <w:r>
              <w:rPr>
                <w:rFonts w:ascii="Times New Roman" w:hAnsi="Times New Roman" w:cs="Times New Roman" w:eastAsia="Times New Roman"/>
                <w:b w:val="0"/>
                <w:i w:val="0"/>
                <w:sz w:val="17"/>
              </w:rPr>
              <w:t>Cox HR</w:t>
            </w:r>
          </w:p>
        </w:tc>
        <w:tc>
          <w:tcPr>
            <w:tcW w:type="dxa" w:w="1560"/>
          </w:tcPr>
          <w:p>
            <w:pPr>
              <w:spacing w:after="0" w:before="0" w:line="240" w:lineRule="auto"/>
            </w:pPr>
            <w:r/>
            <w:r>
              <w:rPr>
                <w:rFonts w:ascii="Times New Roman" w:hAnsi="Times New Roman" w:cs="Times New Roman" w:eastAsia="Times New Roman"/>
                <w:b w:val="0"/>
                <w:i w:val="0"/>
                <w:sz w:val="17"/>
              </w:rPr>
              <w:t>1.42 (1.23-1.65)</w:t>
            </w:r>
          </w:p>
        </w:tc>
        <w:tc>
          <w:tcPr>
            <w:tcW w:type="dxa" w:w="1560"/>
          </w:tcPr>
          <w:p>
            <w:pPr>
              <w:spacing w:after="0" w:before="0" w:line="240" w:lineRule="auto"/>
            </w:pPr>
            <w:r/>
            <w:r>
              <w:rPr>
                <w:rFonts w:ascii="Times New Roman" w:hAnsi="Times New Roman" w:cs="Times New Roman" w:eastAsia="Times New Roman"/>
                <w:b w:val="0"/>
                <w:i w:val="0"/>
                <w:sz w:val="17"/>
              </w:rPr>
              <w:t>&lt;0.001</w:t>
            </w:r>
          </w:p>
        </w:tc>
        <w:tc>
          <w:tcPr>
            <w:tcW w:type="dxa" w:w="1560"/>
          </w:tcPr>
          <w:p>
            <w:pPr>
              <w:spacing w:after="0" w:before="0" w:line="240" w:lineRule="auto"/>
            </w:pPr>
            <w:r/>
            <w:r>
              <w:rPr>
                <w:rFonts w:ascii="Times New Roman" w:hAnsi="Times New Roman" w:cs="Times New Roman" w:eastAsia="Times New Roman"/>
                <w:b w:val="0"/>
                <w:i w:val="0"/>
                <w:sz w:val="17"/>
              </w:rPr>
              <w:t>0.51 (0.40-0.66)</w:t>
            </w:r>
          </w:p>
        </w:tc>
        <w:tc>
          <w:tcPr>
            <w:tcW w:type="dxa" w:w="1560"/>
          </w:tcPr>
          <w:p>
            <w:pPr>
              <w:spacing w:after="0" w:before="0" w:line="240" w:lineRule="auto"/>
            </w:pPr>
            <w:r/>
            <w:r>
              <w:rPr>
                <w:rFonts w:ascii="Times New Roman" w:hAnsi="Times New Roman" w:cs="Times New Roman" w:eastAsia="Times New Roman"/>
                <w:b w:val="0"/>
                <w:i w:val="0"/>
                <w:sz w:val="17"/>
              </w:rPr>
              <w:t>&lt;0.001</w:t>
            </w:r>
          </w:p>
        </w:tc>
      </w:tr>
      <w:tr>
        <w:tc>
          <w:tcPr>
            <w:tcW w:type="dxa" w:w="1560"/>
          </w:tcPr>
          <w:p>
            <w:pPr>
              <w:spacing w:after="0" w:before="0" w:line="240" w:lineRule="auto"/>
            </w:pPr>
            <w:r/>
            <w:r>
              <w:rPr>
                <w:rFonts w:ascii="Times New Roman" w:hAnsi="Times New Roman" w:cs="Times New Roman" w:eastAsia="Times New Roman"/>
                <w:b w:val="0"/>
                <w:i w:val="0"/>
                <w:sz w:val="17"/>
              </w:rPr>
              <w:t>S7  Competing-risk framework (discharge alive competing)</w:t>
            </w:r>
          </w:p>
        </w:tc>
        <w:tc>
          <w:tcPr>
            <w:tcW w:type="dxa" w:w="1560"/>
          </w:tcPr>
          <w:p>
            <w:pPr>
              <w:spacing w:after="0" w:before="0" w:line="240" w:lineRule="auto"/>
            </w:pPr>
            <w:r/>
            <w:r>
              <w:rPr>
                <w:rFonts w:ascii="Times New Roman" w:hAnsi="Times New Roman" w:cs="Times New Roman" w:eastAsia="Times New Roman"/>
                <w:b w:val="0"/>
                <w:i w:val="0"/>
                <w:sz w:val="17"/>
              </w:rPr>
              <w:t>Cox HR</w:t>
            </w:r>
          </w:p>
        </w:tc>
        <w:tc>
          <w:tcPr>
            <w:tcW w:type="dxa" w:w="1560"/>
          </w:tcPr>
          <w:p>
            <w:pPr>
              <w:spacing w:after="0" w:before="0" w:line="240" w:lineRule="auto"/>
            </w:pPr>
            <w:r/>
            <w:r>
              <w:rPr>
                <w:rFonts w:ascii="Times New Roman" w:hAnsi="Times New Roman" w:cs="Times New Roman" w:eastAsia="Times New Roman"/>
                <w:b w:val="0"/>
                <w:i w:val="0"/>
                <w:sz w:val="17"/>
              </w:rPr>
              <w:t>1.60 (1.39-1.84)</w:t>
            </w:r>
          </w:p>
        </w:tc>
        <w:tc>
          <w:tcPr>
            <w:tcW w:type="dxa" w:w="1560"/>
          </w:tcPr>
          <w:p>
            <w:pPr>
              <w:spacing w:after="0" w:before="0" w:line="240" w:lineRule="auto"/>
            </w:pPr>
            <w:r/>
            <w:r>
              <w:rPr>
                <w:rFonts w:ascii="Times New Roman" w:hAnsi="Times New Roman" w:cs="Times New Roman" w:eastAsia="Times New Roman"/>
                <w:b w:val="0"/>
                <w:i w:val="0"/>
                <w:sz w:val="17"/>
              </w:rPr>
              <w:t>&lt;0.001</w:t>
            </w:r>
          </w:p>
        </w:tc>
        <w:tc>
          <w:tcPr>
            <w:tcW w:type="dxa" w:w="1560"/>
          </w:tcPr>
          <w:p>
            <w:pPr>
              <w:spacing w:after="0" w:before="0" w:line="240" w:lineRule="auto"/>
            </w:pPr>
            <w:r/>
            <w:r>
              <w:rPr>
                <w:rFonts w:ascii="Times New Roman" w:hAnsi="Times New Roman" w:cs="Times New Roman" w:eastAsia="Times New Roman"/>
                <w:b w:val="0"/>
                <w:i w:val="0"/>
                <w:sz w:val="17"/>
              </w:rPr>
              <w:t>0.50 (0.39-0.64)</w:t>
            </w:r>
          </w:p>
        </w:tc>
        <w:tc>
          <w:tcPr>
            <w:tcW w:type="dxa" w:w="1560"/>
          </w:tcPr>
          <w:p>
            <w:pPr>
              <w:spacing w:after="0" w:before="0" w:line="240" w:lineRule="auto"/>
            </w:pPr>
            <w:r/>
            <w:r>
              <w:rPr>
                <w:rFonts w:ascii="Times New Roman" w:hAnsi="Times New Roman" w:cs="Times New Roman" w:eastAsia="Times New Roman"/>
                <w:b w:val="0"/>
                <w:i w:val="0"/>
                <w:sz w:val="17"/>
              </w:rPr>
              <w:t>&lt;0.001</w:t>
            </w:r>
          </w:p>
        </w:tc>
      </w:tr>
      <w:tr>
        <w:tc>
          <w:tcPr>
            <w:tcW w:type="dxa" w:w="1560"/>
          </w:tcPr>
          <w:p>
            <w:pPr>
              <w:spacing w:after="0" w:before="0" w:line="240" w:lineRule="auto"/>
            </w:pPr>
            <w:r/>
            <w:r>
              <w:rPr>
                <w:rFonts w:ascii="Times New Roman" w:hAnsi="Times New Roman" w:cs="Times New Roman" w:eastAsia="Times New Roman"/>
                <w:b w:val="0"/>
                <w:i w:val="0"/>
                <w:sz w:val="17"/>
              </w:rPr>
              <w:t>S9  Post-discharge deaths included (n=2078 / 1765)</w:t>
            </w:r>
          </w:p>
        </w:tc>
        <w:tc>
          <w:tcPr>
            <w:tcW w:type="dxa" w:w="1560"/>
          </w:tcPr>
          <w:p>
            <w:pPr>
              <w:spacing w:after="0" w:before="0" w:line="240" w:lineRule="auto"/>
            </w:pPr>
            <w:r/>
            <w:r>
              <w:rPr>
                <w:rFonts w:ascii="Times New Roman" w:hAnsi="Times New Roman" w:cs="Times New Roman" w:eastAsia="Times New Roman"/>
                <w:b w:val="0"/>
                <w:i w:val="0"/>
                <w:sz w:val="17"/>
              </w:rPr>
              <w:t>Cox HR</w:t>
            </w:r>
          </w:p>
        </w:tc>
        <w:tc>
          <w:tcPr>
            <w:tcW w:type="dxa" w:w="1560"/>
          </w:tcPr>
          <w:p>
            <w:pPr>
              <w:spacing w:after="0" w:before="0" w:line="240" w:lineRule="auto"/>
            </w:pPr>
            <w:r/>
            <w:r>
              <w:rPr>
                <w:rFonts w:ascii="Times New Roman" w:hAnsi="Times New Roman" w:cs="Times New Roman" w:eastAsia="Times New Roman"/>
                <w:b w:val="0"/>
                <w:i w:val="0"/>
                <w:sz w:val="17"/>
              </w:rPr>
              <w:t>1.57 (1.39-1.79)</w:t>
            </w:r>
          </w:p>
        </w:tc>
        <w:tc>
          <w:tcPr>
            <w:tcW w:type="dxa" w:w="1560"/>
          </w:tcPr>
          <w:p>
            <w:pPr>
              <w:spacing w:after="0" w:before="0" w:line="240" w:lineRule="auto"/>
            </w:pPr>
            <w:r/>
            <w:r>
              <w:rPr>
                <w:rFonts w:ascii="Times New Roman" w:hAnsi="Times New Roman" w:cs="Times New Roman" w:eastAsia="Times New Roman"/>
                <w:b w:val="0"/>
                <w:i w:val="0"/>
                <w:sz w:val="17"/>
              </w:rPr>
              <w:t>&lt;0.001</w:t>
            </w:r>
          </w:p>
        </w:tc>
        <w:tc>
          <w:tcPr>
            <w:tcW w:type="dxa" w:w="1560"/>
          </w:tcPr>
          <w:p>
            <w:pPr>
              <w:spacing w:after="0" w:before="0" w:line="240" w:lineRule="auto"/>
            </w:pPr>
            <w:r/>
            <w:r>
              <w:rPr>
                <w:rFonts w:ascii="Times New Roman" w:hAnsi="Times New Roman" w:cs="Times New Roman" w:eastAsia="Times New Roman"/>
                <w:b w:val="0"/>
                <w:i w:val="0"/>
                <w:sz w:val="17"/>
              </w:rPr>
              <w:t>0.62 (0.51-0.77)</w:t>
            </w:r>
          </w:p>
        </w:tc>
        <w:tc>
          <w:tcPr>
            <w:tcW w:type="dxa" w:w="1560"/>
          </w:tcPr>
          <w:p>
            <w:pPr>
              <w:spacing w:after="0" w:before="0" w:line="240" w:lineRule="auto"/>
            </w:pPr>
            <w:r/>
            <w:r>
              <w:rPr>
                <w:rFonts w:ascii="Times New Roman" w:hAnsi="Times New Roman" w:cs="Times New Roman" w:eastAsia="Times New Roman"/>
                <w:b w:val="0"/>
                <w:i w:val="0"/>
                <w:sz w:val="17"/>
              </w:rPr>
              <w:t>&lt;0.001</w:t>
            </w:r>
          </w:p>
        </w:tc>
      </w:tr>
      <w:tr>
        <w:tc>
          <w:tcPr>
            <w:tcW w:type="dxa" w:w="1560"/>
          </w:tcPr>
          <w:p>
            <w:pPr>
              <w:spacing w:after="0" w:before="0" w:line="240" w:lineRule="auto"/>
            </w:pPr>
            <w:r/>
            <w:r>
              <w:rPr>
                <w:rFonts w:ascii="Times New Roman" w:hAnsi="Times New Roman" w:cs="Times New Roman" w:eastAsia="Times New Roman"/>
                <w:b w:val="0"/>
                <w:i w:val="0"/>
                <w:sz w:val="17"/>
              </w:rPr>
              <w:t>S8  Dose-response, within-drug trend per quartile of infusion duration</w:t>
            </w:r>
          </w:p>
        </w:tc>
        <w:tc>
          <w:tcPr>
            <w:tcW w:type="dxa" w:w="1560"/>
          </w:tcPr>
          <w:p>
            <w:pPr>
              <w:spacing w:after="0" w:before="0" w:line="240" w:lineRule="auto"/>
            </w:pPr>
            <w:r/>
            <w:r>
              <w:rPr>
                <w:rFonts w:ascii="Times New Roman" w:hAnsi="Times New Roman" w:cs="Times New Roman" w:eastAsia="Times New Roman"/>
                <w:b w:val="0"/>
                <w:i w:val="0"/>
                <w:sz w:val="17"/>
              </w:rPr>
              <w:t>within-drug Cox</w:t>
            </w:r>
          </w:p>
        </w:tc>
        <w:tc>
          <w:tcPr>
            <w:tcW w:type="dxa" w:w="1560"/>
          </w:tcPr>
          <w:p>
            <w:pPr>
              <w:spacing w:after="0" w:before="0" w:line="240" w:lineRule="auto"/>
            </w:pPr>
            <w:r/>
            <w:r>
              <w:rPr>
                <w:rFonts w:ascii="Times New Roman" w:hAnsi="Times New Roman" w:cs="Times New Roman" w:eastAsia="Times New Roman"/>
                <w:b w:val="0"/>
                <w:i w:val="0"/>
                <w:sz w:val="17"/>
              </w:rPr>
              <w:t>1.044 per quartile</w:t>
            </w:r>
          </w:p>
        </w:tc>
        <w:tc>
          <w:tcPr>
            <w:tcW w:type="dxa" w:w="1560"/>
          </w:tcPr>
          <w:p>
            <w:pPr>
              <w:spacing w:after="0" w:before="0" w:line="240" w:lineRule="auto"/>
            </w:pPr>
            <w:r/>
            <w:r>
              <w:rPr>
                <w:rFonts w:ascii="Times New Roman" w:hAnsi="Times New Roman" w:cs="Times New Roman" w:eastAsia="Times New Roman"/>
                <w:b w:val="0"/>
                <w:i w:val="0"/>
                <w:sz w:val="17"/>
              </w:rPr>
              <w:t>0.566</w:t>
            </w:r>
          </w:p>
        </w:tc>
        <w:tc>
          <w:tcPr>
            <w:tcW w:type="dxa" w:w="1560"/>
          </w:tcPr>
          <w:p>
            <w:pPr>
              <w:spacing w:after="0" w:before="0" w:line="240" w:lineRule="auto"/>
            </w:pPr>
            <w:r/>
            <w:r>
              <w:rPr>
                <w:rFonts w:ascii="Times New Roman" w:hAnsi="Times New Roman" w:cs="Times New Roman" w:eastAsia="Times New Roman"/>
                <w:b w:val="0"/>
                <w:i w:val="0"/>
                <w:sz w:val="17"/>
              </w:rPr>
              <w:t>0.906 per quartile</w:t>
            </w:r>
          </w:p>
        </w:tc>
        <w:tc>
          <w:tcPr>
            <w:tcW w:type="dxa" w:w="1560"/>
          </w:tcPr>
          <w:p>
            <w:pPr>
              <w:spacing w:after="0" w:before="0" w:line="240" w:lineRule="auto"/>
            </w:pPr>
            <w:r/>
            <w:r>
              <w:rPr>
                <w:rFonts w:ascii="Times New Roman" w:hAnsi="Times New Roman" w:cs="Times New Roman" w:eastAsia="Times New Roman"/>
                <w:b w:val="0"/>
                <w:i w:val="0"/>
                <w:sz w:val="17"/>
              </w:rPr>
              <w:t>0.384</w:t>
            </w:r>
          </w:p>
        </w:tc>
      </w:tr>
    </w:tbl>
    <w:p>
      <w:pPr>
        <w:spacing w:after="120" w:before="120" w:line="240" w:lineRule="auto"/>
        <w:jc w:val="both"/>
      </w:pPr>
      <w:r>
        <w:rPr>
          <w:rFonts w:ascii="Times New Roman" w:hAnsi="Times New Roman" w:eastAsia="宋体"/>
          <w:b w:val="0"/>
          <w:i w:val="0"/>
          <w:sz w:val="18"/>
        </w:rPr>
        <w:t>S1 age used as the timescale in a left-truncated Cox model; S2 1:1 propensity-score matching without replacement (caliper 0.2 SD of the logit propensity score) with robust variance clustered on the matched pair; S3 overlap weights, targeting the average treatment effect in the overlap population; S4 propensity scores truncated at 0.05/0.95 (S4a) and 0.10/0.90 (S4b); S5 deaths occurring within 48 h of hospital admission excluded; S6 restricted to the first ICU stay of each patient; S7 discharge alive treated as a competing event; S8 within-drug trends per quartile of cumulative infusion duration relative to the lowest quartile, not comparisons with propofol (the corresponding trend for propofol was 0.89 per quartile, P=0.012); S9 the 100 patients who died after hospital discharge within 28 days included, with the date of death taken as the date of discharge. All models were adjusted as described in the Methods. In the competing-risk framework the Aalen-Johansen cumulative incidence of in-hospital death by day 28 was 53.5% (95% CI 49.7-56.7) with midazolam, 39.7% (37.6-41.9) with propofol and 24.3% (18.7-29.3) with dexmedetomidine. HR hazard ratio, OR odds ratio, PS propensity score, IPTW inverse-probability-of-treatment weighting.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