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</w:pPr>
      <w:r>
        <w:rPr>
          <w:rFonts w:ascii="Times New Roman" w:hAnsi="Times New Roman" w:eastAsia="宋体"/>
          <w:b/>
          <w:i w:val="0"/>
          <w:sz w:val="26"/>
        </w:rPr>
        <w:t>Additional file 3. Subgroup analyses of 28-day mortality.</w:t>
      </w:r>
    </w:p>
    <w:p>
      <w:pPr>
        <w:spacing w:after="280" w:before="0" w:line="240" w:lineRule="auto"/>
      </w:pPr>
      <w:r>
        <w:rPr>
          <w:rFonts w:ascii="Times New Roman" w:hAnsi="Times New Roman" w:eastAsia="宋体"/>
          <w:b w:val="0"/>
          <w:i/>
          <w:sz w:val="18"/>
        </w:rPr>
        <w:t>This file accompanies the manuscript: Propofol-referenced comparison of midazolam and dexmedetomidine for 28-day mortality in critically ill patients with hepatic failure: a retrospective cohort study of MIMIC-IV and eICU-CRD.</w:t>
      </w:r>
    </w:p>
    <w:p>
      <w:pPr>
        <w:spacing w:after="120" w:before="0" w:line="276" w:lineRule="auto"/>
      </w:pPr>
      <w:r>
        <w:rPr>
          <w:rFonts w:ascii="Times New Roman" w:hAnsi="Times New Roman" w:eastAsia="宋体"/>
          <w:b/>
          <w:i w:val="0"/>
          <w:sz w:val="24"/>
        </w:rPr>
        <w:t>Subgroup analyses of 28-day mortality (reference: propofol)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Subgroup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n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Midazolam vs propofol, HR (95% CI)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Dexmedetomidine vs propofol, HR (95% CI)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P for interaction (midazolam / dexmedetomidine)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Age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1494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1.57 (1.32-1.87)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0.56 (0.43-0.74)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0.268 / 0.761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764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1.38 (1.13-1.69)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0.50 (0.35-0.72)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MELD score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1017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1.50 (1.21-1.85)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0.39 (0.27-0.59)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0.896 / 0.051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1241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1.41 (1.19-1.67)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0.65 (0.50-0.85)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SOFA score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1075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1.26 (1.01-1.57)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0.53 (0.37-0.74)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0.001 / 0.660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1183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1.76 (1.49-2.09)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0.55 (0.42-0.73)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APACHE II score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1055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1.21 (0.94-1.55)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0.59 (0.43-0.81)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&lt;0.001 / 0.681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1203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1.91 (1.62-2.26)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0.51 (0.38-0.70)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Charlson index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873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1.26 (1.03-1.53)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0.36 (0.22-0.59)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0.117 / 0.102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1385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1.55 (1.28-1.87)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0.63 (0.49-0.81)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Sepsis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1054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1.53 (1.23-1.91)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0.61 (0.40-0.94)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0.687 / 0.666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1204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1.44 (1.22-1.71)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0.53 (0.41-0.68)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Vasopressor use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391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1.65 (0.93-2.93)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0.88 (0.40-1.93)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0.379 / 0.275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1867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1.49 (1.30-1.71)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0.53 (0.42-0.66)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CRRT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1550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1.47 (1.24-1.76)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0.56 (0.42-0.75)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0.863 / 0.840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708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1.46 (1.19-1.80)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0.53 (0.38-0.73)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Mechanical ventilation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187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0.72 (0.41-1.26)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0.35 (0.17-0.74)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0.007 / 0.376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2071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1.60 (1.39-1.83)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0.57 (0.46-0.73)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Etiology (alcoholic)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1546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1.45 (1.24-1.68)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0.54 (0.40-0.73)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0.881 / 0.912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712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1.63 (1.21-2.19)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0.57 (0.41-0.80)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Hepatic encephalopathy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619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1.47 (1.17-1.86)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n/a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0.784 / 0.839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1639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1.56 (1.30-1.86)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0.55 (0.43-0.68)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</w:r>
          </w:p>
        </w:tc>
      </w:tr>
    </w:tbl>
    <w:p>
      <w:pPr>
        <w:spacing w:after="120" w:before="120" w:line="240" w:lineRule="auto"/>
        <w:jc w:val="both"/>
      </w:pPr>
      <w:r>
        <w:rPr>
          <w:rFonts w:ascii="Times New Roman" w:hAnsi="Times New Roman" w:eastAsia="宋体"/>
          <w:b w:val="0"/>
          <w:i w:val="0"/>
          <w:sz w:val="18"/>
        </w:rPr>
        <w:t>Hazard ratios are from Cox proportional-hazards models fitted within each stratum and adjusted for the same covariates as the primary model, with the stratifying variable omitted; propofol is the reference. P values are two-sided for the multiplicative drug x subgroup interaction term and were not adjusted for multiplicity. MELD model for end-stage liver disease, SOFA Sequential Organ Failure Assessment, APACHE II Acute Physiology and Chronic Health Evaluation II, CRRT continuous renal replacement therapy, HE hepatic encephalopathy, HR hazard ratio.</w:t>
      </w:r>
    </w:p>
    <w:p>
      <w:r>
        <w:br w:type="page"/>
      </w:r>
    </w:p>
    <w:p>
      <w:pPr>
        <w:spacing w:after="160" w:before="0" w:line="276" w:lineRule="auto"/>
      </w:pPr>
      <w:r>
        <w:rPr>
          <w:rFonts w:ascii="Times New Roman" w:hAnsi="Times New Roman" w:eastAsia="宋体"/>
          <w:b/>
          <w:i w:val="0"/>
          <w:sz w:val="24"/>
        </w:rPr>
        <w:t>Figure. Subgroup analyses of 28-day mortality, with propofol as the reference</w:t>
      </w:r>
    </w:p>
    <w:p>
      <w:r>
        <w:drawing>
          <wp:inline xmlns:a="http://schemas.openxmlformats.org/drawingml/2006/main" xmlns:pic="http://schemas.openxmlformats.org/drawingml/2006/picture">
            <wp:extent cx="5943600" cy="6277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forest_subgrou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77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120" w:line="240" w:lineRule="auto"/>
        <w:jc w:val="both"/>
      </w:pPr>
      <w:r>
        <w:rPr>
          <w:rFonts w:ascii="Times New Roman" w:hAnsi="Times New Roman" w:eastAsia="宋体"/>
          <w:b w:val="0"/>
          <w:i w:val="0"/>
          <w:sz w:val="18"/>
        </w:rPr>
        <w:t>Subgroup analyses of 28-day mortality, with propofol as the reference. Hazard ratios were estimated within each stratum from Cox proportional-hazards models adjusted as in the primary model, with the stratifying variable omitted; P values are for the multiplicative drug x subgroup interaction term. HR hazard ratio, CI confidence interval, MELD model for end-stage liver disease, SOFA Sequential Organ Failure Assessment, APACHE II Acute Physiology and Chronic Health Evaluation II, CRRT continuous renal replacement therapy, HE hepatic encephalopathy.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