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920DC9">
      <w:pPr>
        <w:spacing w:before="130" w:after="80"/>
        <w:jc w:val="both"/>
        <w:rPr>
          <w:rFonts w:hint="default" w:ascii="Times New Roman" w:hAnsi="Times New Roman" w:eastAsia="SimSun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default" w:eastAsia="Arial" w:cs="Times New Roman"/>
          <w:b/>
          <w:bCs/>
          <w:i w:val="0"/>
          <w:iCs w:val="0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1: </w:t>
      </w:r>
      <w:bookmarkStart w:id="0" w:name="_GoBack"/>
      <w:bookmarkEnd w:id="0"/>
      <w:r>
        <w:rPr>
          <w:rFonts w:hint="default" w:ascii="Times New Roman" w:hAnsi="Times New Roman" w:eastAsia="SimSun" w:cs="Times New Roman"/>
          <w:b/>
          <w:bCs/>
          <w:sz w:val="24"/>
          <w:szCs w:val="24"/>
        </w:rPr>
        <w:t>Characteristics of included studies</w:t>
      </w:r>
    </w:p>
    <w:tbl>
      <w:tblPr>
        <w:tblStyle w:val="6"/>
        <w:tblW w:w="14894" w:type="dxa"/>
        <w:tblInd w:w="-8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1147"/>
        <w:gridCol w:w="1600"/>
        <w:gridCol w:w="987"/>
        <w:gridCol w:w="1758"/>
        <w:gridCol w:w="1451"/>
        <w:gridCol w:w="1085"/>
        <w:gridCol w:w="1906"/>
        <w:gridCol w:w="1106"/>
        <w:gridCol w:w="2494"/>
      </w:tblGrid>
      <w:tr w14:paraId="19961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59AC20F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Study</w:t>
            </w:r>
          </w:p>
        </w:tc>
        <w:tc>
          <w:tcPr>
            <w:tcW w:w="1147" w:type="dxa"/>
            <w:vAlign w:val="center"/>
          </w:tcPr>
          <w:p w14:paraId="24BE337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Country</w:t>
            </w:r>
          </w:p>
        </w:tc>
        <w:tc>
          <w:tcPr>
            <w:tcW w:w="1600" w:type="dxa"/>
            <w:vAlign w:val="center"/>
          </w:tcPr>
          <w:p w14:paraId="21CDF4F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Study Design</w:t>
            </w:r>
          </w:p>
        </w:tc>
        <w:tc>
          <w:tcPr>
            <w:tcW w:w="987" w:type="dxa"/>
            <w:vAlign w:val="center"/>
          </w:tcPr>
          <w:p w14:paraId="02E3582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Sample Size (n)</w:t>
            </w:r>
          </w:p>
        </w:tc>
        <w:tc>
          <w:tcPr>
            <w:tcW w:w="1758" w:type="dxa"/>
            <w:vAlign w:val="center"/>
          </w:tcPr>
          <w:p w14:paraId="619A3A3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Biomarker Category</w:t>
            </w:r>
          </w:p>
        </w:tc>
        <w:tc>
          <w:tcPr>
            <w:tcW w:w="1451" w:type="dxa"/>
            <w:vAlign w:val="center"/>
          </w:tcPr>
          <w:p w14:paraId="256F5A2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Biomarker(s)</w:t>
            </w:r>
          </w:p>
        </w:tc>
        <w:tc>
          <w:tcPr>
            <w:tcW w:w="1085" w:type="dxa"/>
            <w:vAlign w:val="center"/>
          </w:tcPr>
          <w:p w14:paraId="2B669EF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Clinical Application</w:t>
            </w:r>
          </w:p>
        </w:tc>
        <w:tc>
          <w:tcPr>
            <w:tcW w:w="1906" w:type="dxa"/>
            <w:vAlign w:val="center"/>
          </w:tcPr>
          <w:p w14:paraId="254B0BC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Treatment Regimen</w:t>
            </w:r>
          </w:p>
        </w:tc>
        <w:tc>
          <w:tcPr>
            <w:tcW w:w="1106" w:type="dxa"/>
            <w:vAlign w:val="center"/>
          </w:tcPr>
          <w:p w14:paraId="7B106F5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Follow-up Duration</w:t>
            </w:r>
          </w:p>
        </w:tc>
        <w:tc>
          <w:tcPr>
            <w:tcW w:w="2494" w:type="dxa"/>
            <w:vAlign w:val="center"/>
          </w:tcPr>
          <w:p w14:paraId="39D6257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Principal Findings</w:t>
            </w:r>
          </w:p>
        </w:tc>
      </w:tr>
      <w:tr w14:paraId="7C220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2D3140C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Balikó et al. (2023)</w:t>
            </w:r>
          </w:p>
        </w:tc>
        <w:tc>
          <w:tcPr>
            <w:tcW w:w="1147" w:type="dxa"/>
            <w:vAlign w:val="center"/>
          </w:tcPr>
          <w:p w14:paraId="4D609DD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Hungary</w:t>
            </w:r>
          </w:p>
        </w:tc>
        <w:tc>
          <w:tcPr>
            <w:tcW w:w="1600" w:type="dxa"/>
            <w:vAlign w:val="center"/>
          </w:tcPr>
          <w:p w14:paraId="0982B50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Multicentre retrospective cohort</w:t>
            </w:r>
          </w:p>
        </w:tc>
        <w:tc>
          <w:tcPr>
            <w:tcW w:w="987" w:type="dxa"/>
            <w:vAlign w:val="center"/>
          </w:tcPr>
          <w:p w14:paraId="1D62C5A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1758" w:type="dxa"/>
            <w:vAlign w:val="center"/>
          </w:tcPr>
          <w:p w14:paraId="27260D5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Molecular / IHC</w:t>
            </w:r>
          </w:p>
        </w:tc>
        <w:tc>
          <w:tcPr>
            <w:tcW w:w="1451" w:type="dxa"/>
            <w:vAlign w:val="center"/>
          </w:tcPr>
          <w:p w14:paraId="7C40FC4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COO, MYC, BCL2, BCL6, double-/triple-hit markers</w:t>
            </w:r>
          </w:p>
        </w:tc>
        <w:tc>
          <w:tcPr>
            <w:tcW w:w="1085" w:type="dxa"/>
            <w:vAlign w:val="center"/>
          </w:tcPr>
          <w:p w14:paraId="4E454CE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5096A8B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Rituximab-based immunochemotherapy (predominantly R-CHOP)</w:t>
            </w:r>
          </w:p>
        </w:tc>
        <w:tc>
          <w:tcPr>
            <w:tcW w:w="1106" w:type="dxa"/>
            <w:vAlign w:val="center"/>
          </w:tcPr>
          <w:p w14:paraId="1888D7A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062E29E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High-risk molecular features predicted inferior survival outcomes</w:t>
            </w:r>
          </w:p>
        </w:tc>
      </w:tr>
      <w:tr w14:paraId="009E9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4959FB6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Duan et al. (2025)</w:t>
            </w:r>
          </w:p>
        </w:tc>
        <w:tc>
          <w:tcPr>
            <w:tcW w:w="1147" w:type="dxa"/>
            <w:vAlign w:val="center"/>
          </w:tcPr>
          <w:p w14:paraId="1DE1089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China</w:t>
            </w:r>
          </w:p>
        </w:tc>
        <w:tc>
          <w:tcPr>
            <w:tcW w:w="1600" w:type="dxa"/>
            <w:vAlign w:val="center"/>
          </w:tcPr>
          <w:p w14:paraId="572E550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Translational cohort with laboratory validation</w:t>
            </w:r>
          </w:p>
        </w:tc>
        <w:tc>
          <w:tcPr>
            <w:tcW w:w="987" w:type="dxa"/>
            <w:vAlign w:val="center"/>
          </w:tcPr>
          <w:p w14:paraId="3BE59A2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1758" w:type="dxa"/>
            <w:vAlign w:val="center"/>
          </w:tcPr>
          <w:p w14:paraId="1E47FE6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Novel molecular biomarker</w:t>
            </w:r>
          </w:p>
        </w:tc>
        <w:tc>
          <w:tcPr>
            <w:tcW w:w="1451" w:type="dxa"/>
            <w:vAlign w:val="center"/>
          </w:tcPr>
          <w:p w14:paraId="2FDCC96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SH3GL1, FTH1</w:t>
            </w:r>
          </w:p>
        </w:tc>
        <w:tc>
          <w:tcPr>
            <w:tcW w:w="1085" w:type="dxa"/>
            <w:vAlign w:val="center"/>
          </w:tcPr>
          <w:p w14:paraId="5FCB2A9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30BF8F3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First-line R-CHOP</w:t>
            </w:r>
          </w:p>
        </w:tc>
        <w:tc>
          <w:tcPr>
            <w:tcW w:w="1106" w:type="dxa"/>
            <w:vAlign w:val="center"/>
          </w:tcPr>
          <w:p w14:paraId="7952C6F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67B58BA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Ferroptosis-related biomarkers associated with prognosis</w:t>
            </w:r>
          </w:p>
        </w:tc>
      </w:tr>
      <w:tr w14:paraId="4588B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5EE1975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Zerehpoosh et al. (2025)</w:t>
            </w:r>
          </w:p>
        </w:tc>
        <w:tc>
          <w:tcPr>
            <w:tcW w:w="1147" w:type="dxa"/>
            <w:vAlign w:val="center"/>
          </w:tcPr>
          <w:p w14:paraId="462701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Iran</w:t>
            </w:r>
          </w:p>
        </w:tc>
        <w:tc>
          <w:tcPr>
            <w:tcW w:w="1600" w:type="dxa"/>
            <w:vAlign w:val="center"/>
          </w:tcPr>
          <w:p w14:paraId="4DA1B23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Retrospective observational study</w:t>
            </w:r>
          </w:p>
        </w:tc>
        <w:tc>
          <w:tcPr>
            <w:tcW w:w="987" w:type="dxa"/>
            <w:vAlign w:val="center"/>
          </w:tcPr>
          <w:p w14:paraId="4CDD4C7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758" w:type="dxa"/>
            <w:vAlign w:val="center"/>
          </w:tcPr>
          <w:p w14:paraId="7FE45A1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Immunohistochemistry</w:t>
            </w:r>
          </w:p>
        </w:tc>
        <w:tc>
          <w:tcPr>
            <w:tcW w:w="1451" w:type="dxa"/>
            <w:vAlign w:val="center"/>
          </w:tcPr>
          <w:p w14:paraId="3EDDD0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CD10, BCL6, BCL2, MUM1, MYC</w:t>
            </w:r>
          </w:p>
        </w:tc>
        <w:tc>
          <w:tcPr>
            <w:tcW w:w="1085" w:type="dxa"/>
            <w:vAlign w:val="center"/>
          </w:tcPr>
          <w:p w14:paraId="7551950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347213B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Standard lymphoma therapy</w:t>
            </w:r>
          </w:p>
        </w:tc>
        <w:tc>
          <w:tcPr>
            <w:tcW w:w="1106" w:type="dxa"/>
            <w:vAlign w:val="center"/>
          </w:tcPr>
          <w:p w14:paraId="4F04CD5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662A560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IHC biomarkers correlated with clinicopathological characteristics</w:t>
            </w:r>
          </w:p>
        </w:tc>
      </w:tr>
      <w:tr w14:paraId="2AAFA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39379AF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Okap et al. (2023)</w:t>
            </w:r>
          </w:p>
        </w:tc>
        <w:tc>
          <w:tcPr>
            <w:tcW w:w="1147" w:type="dxa"/>
            <w:vAlign w:val="center"/>
          </w:tcPr>
          <w:p w14:paraId="7D57621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Egypt</w:t>
            </w:r>
          </w:p>
        </w:tc>
        <w:tc>
          <w:tcPr>
            <w:tcW w:w="1600" w:type="dxa"/>
            <w:vAlign w:val="center"/>
          </w:tcPr>
          <w:p w14:paraId="6BBE813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Retrospective clinicopathological study</w:t>
            </w:r>
          </w:p>
        </w:tc>
        <w:tc>
          <w:tcPr>
            <w:tcW w:w="987" w:type="dxa"/>
            <w:vAlign w:val="center"/>
          </w:tcPr>
          <w:p w14:paraId="66AE3E5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758" w:type="dxa"/>
            <w:vAlign w:val="center"/>
          </w:tcPr>
          <w:p w14:paraId="6049779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COO / Double-hit biomarkers</w:t>
            </w:r>
          </w:p>
        </w:tc>
        <w:tc>
          <w:tcPr>
            <w:tcW w:w="1451" w:type="dxa"/>
            <w:vAlign w:val="center"/>
          </w:tcPr>
          <w:p w14:paraId="2F236A3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GC differentiation, double-/triple-hit score</w:t>
            </w:r>
          </w:p>
        </w:tc>
        <w:tc>
          <w:tcPr>
            <w:tcW w:w="1085" w:type="dxa"/>
            <w:vAlign w:val="center"/>
          </w:tcPr>
          <w:p w14:paraId="33C1C9B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15376B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R-CHOP-based therapy</w:t>
            </w:r>
          </w:p>
        </w:tc>
        <w:tc>
          <w:tcPr>
            <w:tcW w:w="1106" w:type="dxa"/>
            <w:vAlign w:val="center"/>
          </w:tcPr>
          <w:p w14:paraId="7962204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27E3569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Double-/triple-hit status predicted poorer outcomes</w:t>
            </w:r>
          </w:p>
        </w:tc>
      </w:tr>
      <w:tr w14:paraId="33850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08CA9F7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Halcu et al. (2025)</w:t>
            </w:r>
          </w:p>
        </w:tc>
        <w:tc>
          <w:tcPr>
            <w:tcW w:w="1147" w:type="dxa"/>
            <w:vAlign w:val="center"/>
          </w:tcPr>
          <w:p w14:paraId="5C29EA5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Romania</w:t>
            </w:r>
          </w:p>
        </w:tc>
        <w:tc>
          <w:tcPr>
            <w:tcW w:w="1600" w:type="dxa"/>
            <w:vAlign w:val="center"/>
          </w:tcPr>
          <w:p w14:paraId="628AD28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Retrospective cohort</w:t>
            </w:r>
          </w:p>
        </w:tc>
        <w:tc>
          <w:tcPr>
            <w:tcW w:w="987" w:type="dxa"/>
            <w:vAlign w:val="center"/>
          </w:tcPr>
          <w:p w14:paraId="3C88377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1758" w:type="dxa"/>
            <w:vAlign w:val="center"/>
          </w:tcPr>
          <w:p w14:paraId="35E4C61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Immunophenotypic biomarkers</w:t>
            </w:r>
          </w:p>
        </w:tc>
        <w:tc>
          <w:tcPr>
            <w:tcW w:w="1451" w:type="dxa"/>
            <w:vAlign w:val="center"/>
          </w:tcPr>
          <w:p w14:paraId="6E2CB2E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CD10, BCL6, MUM1, MYC, BCL2</w:t>
            </w:r>
          </w:p>
        </w:tc>
        <w:tc>
          <w:tcPr>
            <w:tcW w:w="1085" w:type="dxa"/>
            <w:vAlign w:val="center"/>
          </w:tcPr>
          <w:p w14:paraId="146F4E8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578AFCA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Standard immunochemotherapy</w:t>
            </w:r>
          </w:p>
        </w:tc>
        <w:tc>
          <w:tcPr>
            <w:tcW w:w="1106" w:type="dxa"/>
            <w:vAlign w:val="center"/>
          </w:tcPr>
          <w:p w14:paraId="2E6FD2B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662AF0D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Immunophenotypic profile associated with survival</w:t>
            </w:r>
          </w:p>
        </w:tc>
      </w:tr>
      <w:tr w14:paraId="13027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1ED8E75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Yimpak et al. (2024)</w:t>
            </w:r>
          </w:p>
        </w:tc>
        <w:tc>
          <w:tcPr>
            <w:tcW w:w="1147" w:type="dxa"/>
            <w:vAlign w:val="center"/>
          </w:tcPr>
          <w:p w14:paraId="29B4073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Thailand</w:t>
            </w:r>
          </w:p>
        </w:tc>
        <w:tc>
          <w:tcPr>
            <w:tcW w:w="1600" w:type="dxa"/>
            <w:vAlign w:val="center"/>
          </w:tcPr>
          <w:p w14:paraId="3F57141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Retrospective cohort</w:t>
            </w:r>
          </w:p>
        </w:tc>
        <w:tc>
          <w:tcPr>
            <w:tcW w:w="987" w:type="dxa"/>
            <w:vAlign w:val="center"/>
          </w:tcPr>
          <w:p w14:paraId="139D96C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758" w:type="dxa"/>
            <w:vAlign w:val="center"/>
          </w:tcPr>
          <w:p w14:paraId="70839E6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Immunohistochemistry</w:t>
            </w:r>
          </w:p>
        </w:tc>
        <w:tc>
          <w:tcPr>
            <w:tcW w:w="1451" w:type="dxa"/>
            <w:vAlign w:val="center"/>
          </w:tcPr>
          <w:p w14:paraId="6C44C37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MYC, BCL2, Ki-67</w:t>
            </w:r>
          </w:p>
        </w:tc>
        <w:tc>
          <w:tcPr>
            <w:tcW w:w="1085" w:type="dxa"/>
            <w:vAlign w:val="center"/>
          </w:tcPr>
          <w:p w14:paraId="66C2C47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3CB2D57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R-CHOP / R-CHOP-like</w:t>
            </w:r>
          </w:p>
        </w:tc>
        <w:tc>
          <w:tcPr>
            <w:tcW w:w="1106" w:type="dxa"/>
            <w:vAlign w:val="center"/>
          </w:tcPr>
          <w:p w14:paraId="110B371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OS/PFS</w:t>
            </w:r>
          </w:p>
        </w:tc>
        <w:tc>
          <w:tcPr>
            <w:tcW w:w="2494" w:type="dxa"/>
            <w:vAlign w:val="center"/>
          </w:tcPr>
          <w:p w14:paraId="0C4FE4D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MYC/BCL2 expression associated with adverse prognosis</w:t>
            </w:r>
          </w:p>
        </w:tc>
      </w:tr>
      <w:tr w14:paraId="65660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36A5B17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Ananthamurthy et al. (2024)</w:t>
            </w:r>
          </w:p>
        </w:tc>
        <w:tc>
          <w:tcPr>
            <w:tcW w:w="1147" w:type="dxa"/>
            <w:vAlign w:val="center"/>
          </w:tcPr>
          <w:p w14:paraId="3F0614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India</w:t>
            </w:r>
          </w:p>
        </w:tc>
        <w:tc>
          <w:tcPr>
            <w:tcW w:w="1600" w:type="dxa"/>
            <w:vAlign w:val="center"/>
          </w:tcPr>
          <w:p w14:paraId="04774B8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Retrospective observational study</w:t>
            </w:r>
          </w:p>
        </w:tc>
        <w:tc>
          <w:tcPr>
            <w:tcW w:w="987" w:type="dxa"/>
            <w:vAlign w:val="center"/>
          </w:tcPr>
          <w:p w14:paraId="0012B9D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758" w:type="dxa"/>
            <w:vAlign w:val="center"/>
          </w:tcPr>
          <w:p w14:paraId="426B24A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COO classification</w:t>
            </w:r>
          </w:p>
        </w:tc>
        <w:tc>
          <w:tcPr>
            <w:tcW w:w="1451" w:type="dxa"/>
            <w:vAlign w:val="center"/>
          </w:tcPr>
          <w:p w14:paraId="3801AE9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CD10, BCL6, MUM1 (Hans algorithm)</w:t>
            </w:r>
          </w:p>
        </w:tc>
        <w:tc>
          <w:tcPr>
            <w:tcW w:w="1085" w:type="dxa"/>
            <w:vAlign w:val="center"/>
          </w:tcPr>
          <w:p w14:paraId="1D09F2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7C25E0A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Standard chemotherapy</w:t>
            </w:r>
          </w:p>
        </w:tc>
        <w:tc>
          <w:tcPr>
            <w:tcW w:w="1106" w:type="dxa"/>
            <w:vAlign w:val="center"/>
          </w:tcPr>
          <w:p w14:paraId="790B455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4902A83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COO subtype demonstrated prognostic significance</w:t>
            </w:r>
          </w:p>
        </w:tc>
      </w:tr>
      <w:tr w14:paraId="5CC49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224AB8B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Yozgat et al. (2021)</w:t>
            </w:r>
          </w:p>
        </w:tc>
        <w:tc>
          <w:tcPr>
            <w:tcW w:w="1147" w:type="dxa"/>
            <w:vAlign w:val="center"/>
          </w:tcPr>
          <w:p w14:paraId="0DC9C07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Türkiye</w:t>
            </w:r>
          </w:p>
        </w:tc>
        <w:tc>
          <w:tcPr>
            <w:tcW w:w="1600" w:type="dxa"/>
            <w:vAlign w:val="center"/>
          </w:tcPr>
          <w:p w14:paraId="146864A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Retrospective cohort</w:t>
            </w:r>
          </w:p>
        </w:tc>
        <w:tc>
          <w:tcPr>
            <w:tcW w:w="987" w:type="dxa"/>
            <w:vAlign w:val="center"/>
          </w:tcPr>
          <w:p w14:paraId="6C9F6E8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758" w:type="dxa"/>
            <w:vAlign w:val="center"/>
          </w:tcPr>
          <w:p w14:paraId="68DBE61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Immunohistochemistry</w:t>
            </w:r>
          </w:p>
        </w:tc>
        <w:tc>
          <w:tcPr>
            <w:tcW w:w="1451" w:type="dxa"/>
            <w:vAlign w:val="center"/>
          </w:tcPr>
          <w:p w14:paraId="493FC71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CD10, BCL6, MUM1, BCL2</w:t>
            </w:r>
          </w:p>
        </w:tc>
        <w:tc>
          <w:tcPr>
            <w:tcW w:w="1085" w:type="dxa"/>
            <w:vAlign w:val="center"/>
          </w:tcPr>
          <w:p w14:paraId="06756F4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6ABBA3F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CHOP/R-CHOP</w:t>
            </w:r>
          </w:p>
        </w:tc>
        <w:tc>
          <w:tcPr>
            <w:tcW w:w="1106" w:type="dxa"/>
            <w:vAlign w:val="center"/>
          </w:tcPr>
          <w:p w14:paraId="626E92C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Survival follow-up</w:t>
            </w:r>
          </w:p>
        </w:tc>
        <w:tc>
          <w:tcPr>
            <w:tcW w:w="2494" w:type="dxa"/>
            <w:vAlign w:val="center"/>
          </w:tcPr>
          <w:p w14:paraId="472DA7D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Biomarker expression associated with survival</w:t>
            </w:r>
          </w:p>
        </w:tc>
      </w:tr>
      <w:tr w14:paraId="4FE9B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6A0B496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Xu-Monette et al. (2022)</w:t>
            </w:r>
          </w:p>
        </w:tc>
        <w:tc>
          <w:tcPr>
            <w:tcW w:w="1147" w:type="dxa"/>
            <w:vAlign w:val="center"/>
          </w:tcPr>
          <w:p w14:paraId="6E61E60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Multinational</w:t>
            </w:r>
          </w:p>
        </w:tc>
        <w:tc>
          <w:tcPr>
            <w:tcW w:w="1600" w:type="dxa"/>
            <w:vAlign w:val="center"/>
          </w:tcPr>
          <w:p w14:paraId="68C447F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Multicentre retrospective translational cohort</w:t>
            </w:r>
          </w:p>
        </w:tc>
        <w:tc>
          <w:tcPr>
            <w:tcW w:w="987" w:type="dxa"/>
            <w:vAlign w:val="center"/>
          </w:tcPr>
          <w:p w14:paraId="0AA84BF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1,194</w:t>
            </w:r>
          </w:p>
        </w:tc>
        <w:tc>
          <w:tcPr>
            <w:tcW w:w="1758" w:type="dxa"/>
            <w:vAlign w:val="center"/>
          </w:tcPr>
          <w:p w14:paraId="2435DE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Molecular subtype / TME</w:t>
            </w:r>
          </w:p>
        </w:tc>
        <w:tc>
          <w:tcPr>
            <w:tcW w:w="1451" w:type="dxa"/>
            <w:vAlign w:val="center"/>
          </w:tcPr>
          <w:p w14:paraId="14513AC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Genetic subtypes, MYC/BCL2, immune markers</w:t>
            </w:r>
          </w:p>
        </w:tc>
        <w:tc>
          <w:tcPr>
            <w:tcW w:w="1085" w:type="dxa"/>
            <w:vAlign w:val="center"/>
          </w:tcPr>
          <w:p w14:paraId="0A2DDAE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17FD747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R-CHOP</w:t>
            </w:r>
          </w:p>
        </w:tc>
        <w:tc>
          <w:tcPr>
            <w:tcW w:w="1106" w:type="dxa"/>
            <w:vAlign w:val="center"/>
          </w:tcPr>
          <w:p w14:paraId="46921E2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09402FF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Molecular subtype and immune contexture predicted survival</w:t>
            </w:r>
          </w:p>
        </w:tc>
      </w:tr>
      <w:tr w14:paraId="7C7F5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1C3C5CD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Ahmed et al. (2021)</w:t>
            </w:r>
          </w:p>
        </w:tc>
        <w:tc>
          <w:tcPr>
            <w:tcW w:w="1147" w:type="dxa"/>
            <w:vAlign w:val="center"/>
          </w:tcPr>
          <w:p w14:paraId="5C0794D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Egypt</w:t>
            </w:r>
          </w:p>
        </w:tc>
        <w:tc>
          <w:tcPr>
            <w:tcW w:w="1600" w:type="dxa"/>
            <w:vAlign w:val="center"/>
          </w:tcPr>
          <w:p w14:paraId="1A9110D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Retrospective cohort</w:t>
            </w:r>
          </w:p>
        </w:tc>
        <w:tc>
          <w:tcPr>
            <w:tcW w:w="987" w:type="dxa"/>
            <w:vAlign w:val="center"/>
          </w:tcPr>
          <w:p w14:paraId="1F324C5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758" w:type="dxa"/>
            <w:vAlign w:val="center"/>
          </w:tcPr>
          <w:p w14:paraId="005ECEA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Immunohistochemistry</w:t>
            </w:r>
          </w:p>
        </w:tc>
        <w:tc>
          <w:tcPr>
            <w:tcW w:w="1451" w:type="dxa"/>
            <w:vAlign w:val="center"/>
          </w:tcPr>
          <w:p w14:paraId="35AEF4D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CD10, BCL6, MUM1</w:t>
            </w:r>
          </w:p>
        </w:tc>
        <w:tc>
          <w:tcPr>
            <w:tcW w:w="1085" w:type="dxa"/>
            <w:vAlign w:val="center"/>
          </w:tcPr>
          <w:p w14:paraId="6115E19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7486EE0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R-CHOP</w:t>
            </w:r>
          </w:p>
        </w:tc>
        <w:tc>
          <w:tcPr>
            <w:tcW w:w="1106" w:type="dxa"/>
            <w:vAlign w:val="center"/>
          </w:tcPr>
          <w:p w14:paraId="68F7345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67EAA7C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COO classification correlated with outcome</w:t>
            </w:r>
          </w:p>
        </w:tc>
      </w:tr>
      <w:tr w14:paraId="46773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1ED4A61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Miljkovic et al. (2025)</w:t>
            </w:r>
          </w:p>
        </w:tc>
        <w:tc>
          <w:tcPr>
            <w:tcW w:w="1147" w:type="dxa"/>
            <w:vAlign w:val="center"/>
          </w:tcPr>
          <w:p w14:paraId="5313C6F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Slovenia</w:t>
            </w:r>
          </w:p>
        </w:tc>
        <w:tc>
          <w:tcPr>
            <w:tcW w:w="1600" w:type="dxa"/>
            <w:vAlign w:val="center"/>
          </w:tcPr>
          <w:p w14:paraId="1F60F65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Retrospective cohort</w:t>
            </w:r>
          </w:p>
        </w:tc>
        <w:tc>
          <w:tcPr>
            <w:tcW w:w="987" w:type="dxa"/>
            <w:vAlign w:val="center"/>
          </w:tcPr>
          <w:p w14:paraId="7357EF8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758" w:type="dxa"/>
            <w:vAlign w:val="center"/>
          </w:tcPr>
          <w:p w14:paraId="0220790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 biomarkers</w:t>
            </w:r>
          </w:p>
        </w:tc>
        <w:tc>
          <w:tcPr>
            <w:tcW w:w="1451" w:type="dxa"/>
            <w:vAlign w:val="center"/>
          </w:tcPr>
          <w:p w14:paraId="1321AE7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Clinical and molecular prognostic factors</w:t>
            </w:r>
          </w:p>
        </w:tc>
        <w:tc>
          <w:tcPr>
            <w:tcW w:w="1085" w:type="dxa"/>
            <w:vAlign w:val="center"/>
          </w:tcPr>
          <w:p w14:paraId="49B14A4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485E40C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Anthracycline-based immunochemotherapy</w:t>
            </w:r>
          </w:p>
        </w:tc>
        <w:tc>
          <w:tcPr>
            <w:tcW w:w="1106" w:type="dxa"/>
            <w:vAlign w:val="center"/>
          </w:tcPr>
          <w:p w14:paraId="25C8260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522734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Combined biomarkers improved prognostic stratification</w:t>
            </w:r>
          </w:p>
        </w:tc>
      </w:tr>
      <w:tr w14:paraId="68D42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26F73A3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Alduaij et al. (2023)</w:t>
            </w:r>
          </w:p>
        </w:tc>
        <w:tc>
          <w:tcPr>
            <w:tcW w:w="1147" w:type="dxa"/>
            <w:vAlign w:val="center"/>
          </w:tcPr>
          <w:p w14:paraId="5F7BA89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Canada</w:t>
            </w:r>
          </w:p>
        </w:tc>
        <w:tc>
          <w:tcPr>
            <w:tcW w:w="1600" w:type="dxa"/>
            <w:vAlign w:val="center"/>
          </w:tcPr>
          <w:p w14:paraId="4761ED8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Population-based multicentre retrospective cohort</w:t>
            </w:r>
          </w:p>
        </w:tc>
        <w:tc>
          <w:tcPr>
            <w:tcW w:w="987" w:type="dxa"/>
            <w:vAlign w:val="center"/>
          </w:tcPr>
          <w:p w14:paraId="2A83B10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1,149</w:t>
            </w:r>
          </w:p>
        </w:tc>
        <w:tc>
          <w:tcPr>
            <w:tcW w:w="1758" w:type="dxa"/>
            <w:vAlign w:val="center"/>
          </w:tcPr>
          <w:p w14:paraId="4CC6357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Molecular profiling</w:t>
            </w:r>
          </w:p>
        </w:tc>
        <w:tc>
          <w:tcPr>
            <w:tcW w:w="1451" w:type="dxa"/>
            <w:vAlign w:val="center"/>
          </w:tcPr>
          <w:p w14:paraId="2BD5598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DZsig, DHITsig, COO</w:t>
            </w:r>
          </w:p>
        </w:tc>
        <w:tc>
          <w:tcPr>
            <w:tcW w:w="1085" w:type="dxa"/>
            <w:vAlign w:val="center"/>
          </w:tcPr>
          <w:p w14:paraId="0CDB39B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23B17D9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R-CHOP / R-CHOP-like</w:t>
            </w:r>
          </w:p>
        </w:tc>
        <w:tc>
          <w:tcPr>
            <w:tcW w:w="1106" w:type="dxa"/>
            <w:vAlign w:val="center"/>
          </w:tcPr>
          <w:p w14:paraId="00EB728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1854C1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Dark-zone biology refined risk prediction</w:t>
            </w:r>
          </w:p>
        </w:tc>
      </w:tr>
      <w:tr w14:paraId="5EC1E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3FBB481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Urata et al. (2023)</w:t>
            </w:r>
          </w:p>
        </w:tc>
        <w:tc>
          <w:tcPr>
            <w:tcW w:w="1147" w:type="dxa"/>
            <w:vAlign w:val="center"/>
          </w:tcPr>
          <w:p w14:paraId="304E96E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Japan</w:t>
            </w:r>
          </w:p>
        </w:tc>
        <w:tc>
          <w:tcPr>
            <w:tcW w:w="1600" w:type="dxa"/>
            <w:vAlign w:val="center"/>
          </w:tcPr>
          <w:p w14:paraId="47D065D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Multicentre retrospective cohort</w:t>
            </w:r>
          </w:p>
        </w:tc>
        <w:tc>
          <w:tcPr>
            <w:tcW w:w="987" w:type="dxa"/>
            <w:vAlign w:val="center"/>
          </w:tcPr>
          <w:p w14:paraId="59AFB6D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1758" w:type="dxa"/>
            <w:vAlign w:val="center"/>
          </w:tcPr>
          <w:p w14:paraId="5BB5E97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Molecular subtyping</w:t>
            </w:r>
          </w:p>
        </w:tc>
        <w:tc>
          <w:tcPr>
            <w:tcW w:w="1451" w:type="dxa"/>
            <w:vAlign w:val="center"/>
          </w:tcPr>
          <w:p w14:paraId="591F5DD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DZsig, LymphGen</w:t>
            </w:r>
          </w:p>
        </w:tc>
        <w:tc>
          <w:tcPr>
            <w:tcW w:w="1085" w:type="dxa"/>
            <w:vAlign w:val="center"/>
          </w:tcPr>
          <w:p w14:paraId="372A0C4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58F4D65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Rituximab-based immunochemotherapy</w:t>
            </w:r>
          </w:p>
        </w:tc>
        <w:tc>
          <w:tcPr>
            <w:tcW w:w="1106" w:type="dxa"/>
            <w:vAlign w:val="center"/>
          </w:tcPr>
          <w:p w14:paraId="59BCA28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6B20158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Molecular subtypes demonstrated prognostic value</w:t>
            </w:r>
          </w:p>
        </w:tc>
      </w:tr>
      <w:tr w14:paraId="341AE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23A5F07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Shen et al. (2023)</w:t>
            </w:r>
          </w:p>
        </w:tc>
        <w:tc>
          <w:tcPr>
            <w:tcW w:w="1147" w:type="dxa"/>
            <w:vAlign w:val="center"/>
          </w:tcPr>
          <w:p w14:paraId="10E66CC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China</w:t>
            </w:r>
          </w:p>
        </w:tc>
        <w:tc>
          <w:tcPr>
            <w:tcW w:w="1600" w:type="dxa"/>
            <w:vAlign w:val="center"/>
          </w:tcPr>
          <w:p w14:paraId="3227554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Multicentre translational cohort</w:t>
            </w:r>
          </w:p>
        </w:tc>
        <w:tc>
          <w:tcPr>
            <w:tcW w:w="987" w:type="dxa"/>
            <w:vAlign w:val="center"/>
          </w:tcPr>
          <w:p w14:paraId="721FE34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1,338</w:t>
            </w:r>
          </w:p>
        </w:tc>
        <w:tc>
          <w:tcPr>
            <w:tcW w:w="1758" w:type="dxa"/>
            <w:vAlign w:val="center"/>
          </w:tcPr>
          <w:p w14:paraId="70843FB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Genetic subtyping</w:t>
            </w:r>
          </w:p>
        </w:tc>
        <w:tc>
          <w:tcPr>
            <w:tcW w:w="1451" w:type="dxa"/>
            <w:vAlign w:val="center"/>
          </w:tcPr>
          <w:p w14:paraId="7F21E4A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LymphPlex, MYC, BCL2, BCL6</w:t>
            </w:r>
          </w:p>
        </w:tc>
        <w:tc>
          <w:tcPr>
            <w:tcW w:w="1085" w:type="dxa"/>
            <w:vAlign w:val="center"/>
          </w:tcPr>
          <w:p w14:paraId="7BBED32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233D356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R-CHOP</w:t>
            </w:r>
          </w:p>
        </w:tc>
        <w:tc>
          <w:tcPr>
            <w:tcW w:w="1106" w:type="dxa"/>
            <w:vAlign w:val="center"/>
          </w:tcPr>
          <w:p w14:paraId="6FB812A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65E48A3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LymphPlex improved molecular risk classification</w:t>
            </w:r>
          </w:p>
        </w:tc>
      </w:tr>
      <w:tr w14:paraId="71D4E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7B28B82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Ma et al. (2025)</w:t>
            </w:r>
          </w:p>
        </w:tc>
        <w:tc>
          <w:tcPr>
            <w:tcW w:w="1147" w:type="dxa"/>
            <w:vAlign w:val="center"/>
          </w:tcPr>
          <w:p w14:paraId="35F32FF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China</w:t>
            </w:r>
          </w:p>
        </w:tc>
        <w:tc>
          <w:tcPr>
            <w:tcW w:w="1600" w:type="dxa"/>
            <w:vAlign w:val="center"/>
          </w:tcPr>
          <w:p w14:paraId="2577163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Retrospective cohort</w:t>
            </w:r>
          </w:p>
        </w:tc>
        <w:tc>
          <w:tcPr>
            <w:tcW w:w="987" w:type="dxa"/>
            <w:vAlign w:val="center"/>
          </w:tcPr>
          <w:p w14:paraId="38CA9AF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1758" w:type="dxa"/>
            <w:vAlign w:val="center"/>
          </w:tcPr>
          <w:p w14:paraId="62E2114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Tumour microenvironment</w:t>
            </w:r>
          </w:p>
        </w:tc>
        <w:tc>
          <w:tcPr>
            <w:tcW w:w="1451" w:type="dxa"/>
            <w:vAlign w:val="center"/>
          </w:tcPr>
          <w:p w14:paraId="5B3E10F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VSIG4</w:t>
            </w:r>
          </w:p>
        </w:tc>
        <w:tc>
          <w:tcPr>
            <w:tcW w:w="1085" w:type="dxa"/>
            <w:vAlign w:val="center"/>
          </w:tcPr>
          <w:p w14:paraId="700CBF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06C75DC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Standard immunochemotherapy</w:t>
            </w:r>
          </w:p>
        </w:tc>
        <w:tc>
          <w:tcPr>
            <w:tcW w:w="1106" w:type="dxa"/>
            <w:vAlign w:val="center"/>
          </w:tcPr>
          <w:p w14:paraId="1D97C43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7DFEF44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VSIG4 independently predicted survival</w:t>
            </w:r>
          </w:p>
        </w:tc>
      </w:tr>
      <w:tr w14:paraId="134E0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29DA39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Xie et al. (2025)</w:t>
            </w:r>
          </w:p>
        </w:tc>
        <w:tc>
          <w:tcPr>
            <w:tcW w:w="1147" w:type="dxa"/>
            <w:vAlign w:val="center"/>
          </w:tcPr>
          <w:p w14:paraId="5DA290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China</w:t>
            </w:r>
          </w:p>
        </w:tc>
        <w:tc>
          <w:tcPr>
            <w:tcW w:w="1600" w:type="dxa"/>
            <w:vAlign w:val="center"/>
          </w:tcPr>
          <w:p w14:paraId="13D5C2A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Retrospective cohort</w:t>
            </w:r>
          </w:p>
        </w:tc>
        <w:tc>
          <w:tcPr>
            <w:tcW w:w="987" w:type="dxa"/>
            <w:vAlign w:val="center"/>
          </w:tcPr>
          <w:p w14:paraId="6E2CAA6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1758" w:type="dxa"/>
            <w:vAlign w:val="center"/>
          </w:tcPr>
          <w:p w14:paraId="057FEA7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Tumour microenvironment</w:t>
            </w:r>
          </w:p>
        </w:tc>
        <w:tc>
          <w:tcPr>
            <w:tcW w:w="1451" w:type="dxa"/>
            <w:vAlign w:val="center"/>
          </w:tcPr>
          <w:p w14:paraId="0BBEDD1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PD-L1</w:t>
            </w:r>
          </w:p>
        </w:tc>
        <w:tc>
          <w:tcPr>
            <w:tcW w:w="1085" w:type="dxa"/>
            <w:vAlign w:val="center"/>
          </w:tcPr>
          <w:p w14:paraId="6018DDA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4556C5A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Standard immunochemotherapy</w:t>
            </w:r>
          </w:p>
        </w:tc>
        <w:tc>
          <w:tcPr>
            <w:tcW w:w="1106" w:type="dxa"/>
            <w:vAlign w:val="center"/>
          </w:tcPr>
          <w:p w14:paraId="19DDAE0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2D5E78C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PD-L1 expression associated with outcome</w:t>
            </w:r>
          </w:p>
        </w:tc>
      </w:tr>
      <w:tr w14:paraId="411FE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5DC9A7C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Syarifuddin et al. (2026)</w:t>
            </w:r>
          </w:p>
        </w:tc>
        <w:tc>
          <w:tcPr>
            <w:tcW w:w="1147" w:type="dxa"/>
            <w:vAlign w:val="center"/>
          </w:tcPr>
          <w:p w14:paraId="5F22536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Indonesia</w:t>
            </w:r>
          </w:p>
        </w:tc>
        <w:tc>
          <w:tcPr>
            <w:tcW w:w="1600" w:type="dxa"/>
            <w:vAlign w:val="center"/>
          </w:tcPr>
          <w:p w14:paraId="79CE4B6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Retrospective cohort</w:t>
            </w:r>
          </w:p>
        </w:tc>
        <w:tc>
          <w:tcPr>
            <w:tcW w:w="987" w:type="dxa"/>
            <w:vAlign w:val="center"/>
          </w:tcPr>
          <w:p w14:paraId="0CA7DBF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758" w:type="dxa"/>
            <w:vAlign w:val="center"/>
          </w:tcPr>
          <w:p w14:paraId="1B23869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Tumour microenvironment</w:t>
            </w:r>
          </w:p>
        </w:tc>
        <w:tc>
          <w:tcPr>
            <w:tcW w:w="1451" w:type="dxa"/>
            <w:vAlign w:val="center"/>
          </w:tcPr>
          <w:p w14:paraId="1C3828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AMC, CD163⁺ macrophages, CD8⁺ TILs</w:t>
            </w:r>
          </w:p>
        </w:tc>
        <w:tc>
          <w:tcPr>
            <w:tcW w:w="1085" w:type="dxa"/>
            <w:vAlign w:val="center"/>
          </w:tcPr>
          <w:p w14:paraId="231DAB8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064C480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R-CHOP</w:t>
            </w:r>
          </w:p>
        </w:tc>
        <w:tc>
          <w:tcPr>
            <w:tcW w:w="1106" w:type="dxa"/>
            <w:vAlign w:val="center"/>
          </w:tcPr>
          <w:p w14:paraId="18A41F5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2 years</w:t>
            </w:r>
          </w:p>
        </w:tc>
        <w:tc>
          <w:tcPr>
            <w:tcW w:w="2494" w:type="dxa"/>
            <w:vAlign w:val="center"/>
          </w:tcPr>
          <w:p w14:paraId="292DD1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Immune-cell composition predicted EFS and OS</w:t>
            </w:r>
          </w:p>
        </w:tc>
      </w:tr>
      <w:tr w14:paraId="29BB4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0ACC502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Yuan et al. (2022)</w:t>
            </w:r>
          </w:p>
        </w:tc>
        <w:tc>
          <w:tcPr>
            <w:tcW w:w="1147" w:type="dxa"/>
            <w:vAlign w:val="center"/>
          </w:tcPr>
          <w:p w14:paraId="4196E25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Taiwan</w:t>
            </w:r>
          </w:p>
        </w:tc>
        <w:tc>
          <w:tcPr>
            <w:tcW w:w="1600" w:type="dxa"/>
            <w:vAlign w:val="center"/>
          </w:tcPr>
          <w:p w14:paraId="52E8E37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Retrospective multicentre cohort</w:t>
            </w:r>
          </w:p>
        </w:tc>
        <w:tc>
          <w:tcPr>
            <w:tcW w:w="987" w:type="dxa"/>
            <w:vAlign w:val="center"/>
          </w:tcPr>
          <w:p w14:paraId="33C2580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1758" w:type="dxa"/>
            <w:vAlign w:val="center"/>
          </w:tcPr>
          <w:p w14:paraId="14D0C8E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Tumour microenvironment</w:t>
            </w:r>
          </w:p>
        </w:tc>
        <w:tc>
          <w:tcPr>
            <w:tcW w:w="1451" w:type="dxa"/>
            <w:vAlign w:val="center"/>
          </w:tcPr>
          <w:p w14:paraId="60BB0DB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CD11c⁺ dendritic cells</w:t>
            </w:r>
          </w:p>
        </w:tc>
        <w:tc>
          <w:tcPr>
            <w:tcW w:w="1085" w:type="dxa"/>
            <w:vAlign w:val="center"/>
          </w:tcPr>
          <w:p w14:paraId="1CD472E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04EC529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Standard immunochemotherapy</w:t>
            </w:r>
          </w:p>
        </w:tc>
        <w:tc>
          <w:tcPr>
            <w:tcW w:w="1106" w:type="dxa"/>
            <w:vAlign w:val="center"/>
          </w:tcPr>
          <w:p w14:paraId="0C1C5F7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4B51D92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Dendritic-cell infiltration associated with prognosis</w:t>
            </w:r>
          </w:p>
        </w:tc>
      </w:tr>
      <w:tr w14:paraId="39AA4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1B7D6EF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William et al. (2025)</w:t>
            </w:r>
          </w:p>
        </w:tc>
        <w:tc>
          <w:tcPr>
            <w:tcW w:w="1147" w:type="dxa"/>
            <w:vAlign w:val="center"/>
          </w:tcPr>
          <w:p w14:paraId="3AD295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Egypt</w:t>
            </w:r>
          </w:p>
        </w:tc>
        <w:tc>
          <w:tcPr>
            <w:tcW w:w="1600" w:type="dxa"/>
            <w:vAlign w:val="center"/>
          </w:tcPr>
          <w:p w14:paraId="108C93A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Retrospective cohort</w:t>
            </w:r>
          </w:p>
        </w:tc>
        <w:tc>
          <w:tcPr>
            <w:tcW w:w="987" w:type="dxa"/>
            <w:vAlign w:val="center"/>
          </w:tcPr>
          <w:p w14:paraId="5C66C2E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1758" w:type="dxa"/>
            <w:vAlign w:val="center"/>
          </w:tcPr>
          <w:p w14:paraId="4E66232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Immune checkpoint</w:t>
            </w:r>
          </w:p>
        </w:tc>
        <w:tc>
          <w:tcPr>
            <w:tcW w:w="1451" w:type="dxa"/>
            <w:vAlign w:val="center"/>
          </w:tcPr>
          <w:p w14:paraId="6F9487B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PD1, LAG3, CTLA4</w:t>
            </w:r>
          </w:p>
        </w:tc>
        <w:tc>
          <w:tcPr>
            <w:tcW w:w="1085" w:type="dxa"/>
            <w:vAlign w:val="center"/>
          </w:tcPr>
          <w:p w14:paraId="63C02CC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5284BD4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Standard therapy</w:t>
            </w:r>
          </w:p>
        </w:tc>
        <w:tc>
          <w:tcPr>
            <w:tcW w:w="1106" w:type="dxa"/>
            <w:vAlign w:val="center"/>
          </w:tcPr>
          <w:p w14:paraId="5E292A9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4114114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Immune checkpoint expression predicted survival</w:t>
            </w:r>
          </w:p>
        </w:tc>
      </w:tr>
      <w:tr w14:paraId="3C9E4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161C42B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Li et al. (2021)</w:t>
            </w:r>
          </w:p>
        </w:tc>
        <w:tc>
          <w:tcPr>
            <w:tcW w:w="1147" w:type="dxa"/>
            <w:vAlign w:val="center"/>
          </w:tcPr>
          <w:p w14:paraId="5080A61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China</w:t>
            </w:r>
          </w:p>
        </w:tc>
        <w:tc>
          <w:tcPr>
            <w:tcW w:w="1600" w:type="dxa"/>
            <w:vAlign w:val="center"/>
          </w:tcPr>
          <w:p w14:paraId="61183D4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Prospective translational study</w:t>
            </w:r>
          </w:p>
        </w:tc>
        <w:tc>
          <w:tcPr>
            <w:tcW w:w="987" w:type="dxa"/>
            <w:vAlign w:val="center"/>
          </w:tcPr>
          <w:p w14:paraId="7640A30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1758" w:type="dxa"/>
            <w:vAlign w:val="center"/>
          </w:tcPr>
          <w:p w14:paraId="55DE9AF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Liquid biopsy</w:t>
            </w:r>
          </w:p>
        </w:tc>
        <w:tc>
          <w:tcPr>
            <w:tcW w:w="1451" w:type="dxa"/>
            <w:vAlign w:val="center"/>
          </w:tcPr>
          <w:p w14:paraId="053133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Extracellular vesicles, PD-L1⁺ EVs</w:t>
            </w:r>
          </w:p>
        </w:tc>
        <w:tc>
          <w:tcPr>
            <w:tcW w:w="1085" w:type="dxa"/>
            <w:vAlign w:val="center"/>
          </w:tcPr>
          <w:p w14:paraId="47D33F2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Diagnostic / Prognostic</w:t>
            </w:r>
          </w:p>
        </w:tc>
        <w:tc>
          <w:tcPr>
            <w:tcW w:w="1906" w:type="dxa"/>
            <w:vAlign w:val="center"/>
          </w:tcPr>
          <w:p w14:paraId="0864427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Standard therapy</w:t>
            </w:r>
          </w:p>
        </w:tc>
        <w:tc>
          <w:tcPr>
            <w:tcW w:w="1106" w:type="dxa"/>
            <w:vAlign w:val="center"/>
          </w:tcPr>
          <w:p w14:paraId="7E06853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7BE69EE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EV-associated PD-L1 demonstrated diagnostic and prognostic utility</w:t>
            </w:r>
          </w:p>
        </w:tc>
      </w:tr>
      <w:tr w14:paraId="4CBF2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12254EC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Yan et al. (2024)</w:t>
            </w:r>
          </w:p>
        </w:tc>
        <w:tc>
          <w:tcPr>
            <w:tcW w:w="1147" w:type="dxa"/>
            <w:vAlign w:val="center"/>
          </w:tcPr>
          <w:p w14:paraId="2F3B3C5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China</w:t>
            </w:r>
          </w:p>
        </w:tc>
        <w:tc>
          <w:tcPr>
            <w:tcW w:w="1600" w:type="dxa"/>
            <w:vAlign w:val="center"/>
          </w:tcPr>
          <w:p w14:paraId="4502E6F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Retrospective AI pathology study</w:t>
            </w:r>
          </w:p>
        </w:tc>
        <w:tc>
          <w:tcPr>
            <w:tcW w:w="987" w:type="dxa"/>
            <w:vAlign w:val="center"/>
          </w:tcPr>
          <w:p w14:paraId="559CB19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1758" w:type="dxa"/>
            <w:vAlign w:val="center"/>
          </w:tcPr>
          <w:p w14:paraId="6D3FE56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Artificial intelligence</w:t>
            </w:r>
          </w:p>
        </w:tc>
        <w:tc>
          <w:tcPr>
            <w:tcW w:w="1451" w:type="dxa"/>
            <w:vAlign w:val="center"/>
          </w:tcPr>
          <w:p w14:paraId="61E329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AI-based PD-L1 assessment</w:t>
            </w:r>
          </w:p>
        </w:tc>
        <w:tc>
          <w:tcPr>
            <w:tcW w:w="1085" w:type="dxa"/>
            <w:vAlign w:val="center"/>
          </w:tcPr>
          <w:p w14:paraId="6AD19FB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Diagnostic / Prognostic</w:t>
            </w:r>
          </w:p>
        </w:tc>
        <w:tc>
          <w:tcPr>
            <w:tcW w:w="1906" w:type="dxa"/>
            <w:vAlign w:val="center"/>
          </w:tcPr>
          <w:p w14:paraId="2509F15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Not treatment-specific</w:t>
            </w:r>
          </w:p>
        </w:tc>
        <w:tc>
          <w:tcPr>
            <w:tcW w:w="1106" w:type="dxa"/>
            <w:vAlign w:val="center"/>
          </w:tcPr>
          <w:p w14:paraId="06339AE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Not applicable</w:t>
            </w:r>
          </w:p>
        </w:tc>
        <w:tc>
          <w:tcPr>
            <w:tcW w:w="2494" w:type="dxa"/>
            <w:vAlign w:val="center"/>
          </w:tcPr>
          <w:p w14:paraId="43A2855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AI improved PD-L1 quantification and prognostic assessment</w:t>
            </w:r>
          </w:p>
        </w:tc>
      </w:tr>
      <w:tr w14:paraId="79416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38EF595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Tian et al. (2025)</w:t>
            </w:r>
          </w:p>
        </w:tc>
        <w:tc>
          <w:tcPr>
            <w:tcW w:w="1147" w:type="dxa"/>
            <w:vAlign w:val="center"/>
          </w:tcPr>
          <w:p w14:paraId="385C06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China</w:t>
            </w:r>
          </w:p>
        </w:tc>
        <w:tc>
          <w:tcPr>
            <w:tcW w:w="1600" w:type="dxa"/>
            <w:vAlign w:val="center"/>
          </w:tcPr>
          <w:p w14:paraId="2A2F5F3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Bioinformatics + IHC validation</w:t>
            </w:r>
          </w:p>
        </w:tc>
        <w:tc>
          <w:tcPr>
            <w:tcW w:w="987" w:type="dxa"/>
            <w:vAlign w:val="center"/>
          </w:tcPr>
          <w:p w14:paraId="087E8CD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758" w:type="dxa"/>
            <w:vAlign w:val="center"/>
          </w:tcPr>
          <w:p w14:paraId="2FAFE0E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Novel molecular biomarker</w:t>
            </w:r>
          </w:p>
        </w:tc>
        <w:tc>
          <w:tcPr>
            <w:tcW w:w="1451" w:type="dxa"/>
            <w:vAlign w:val="center"/>
          </w:tcPr>
          <w:p w14:paraId="32C2C23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RFC5</w:t>
            </w:r>
          </w:p>
        </w:tc>
        <w:tc>
          <w:tcPr>
            <w:tcW w:w="1085" w:type="dxa"/>
            <w:vAlign w:val="center"/>
          </w:tcPr>
          <w:p w14:paraId="73A5C3D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30B68E2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Standard therapy</w:t>
            </w:r>
          </w:p>
        </w:tc>
        <w:tc>
          <w:tcPr>
            <w:tcW w:w="1106" w:type="dxa"/>
            <w:vAlign w:val="center"/>
          </w:tcPr>
          <w:p w14:paraId="7106A32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518DB02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RFC5 identified as an adverse prognostic biomarker</w:t>
            </w:r>
          </w:p>
        </w:tc>
      </w:tr>
      <w:tr w14:paraId="72447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407D87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Zhang et al. (2024)</w:t>
            </w:r>
          </w:p>
        </w:tc>
        <w:tc>
          <w:tcPr>
            <w:tcW w:w="1147" w:type="dxa"/>
            <w:vAlign w:val="center"/>
          </w:tcPr>
          <w:p w14:paraId="58BD2C7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China</w:t>
            </w:r>
          </w:p>
        </w:tc>
        <w:tc>
          <w:tcPr>
            <w:tcW w:w="1600" w:type="dxa"/>
            <w:vAlign w:val="center"/>
          </w:tcPr>
          <w:p w14:paraId="63524A3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Bioinformatics + experimental validation</w:t>
            </w:r>
          </w:p>
        </w:tc>
        <w:tc>
          <w:tcPr>
            <w:tcW w:w="987" w:type="dxa"/>
            <w:vAlign w:val="center"/>
          </w:tcPr>
          <w:p w14:paraId="2674035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NR</w:t>
            </w:r>
          </w:p>
        </w:tc>
        <w:tc>
          <w:tcPr>
            <w:tcW w:w="1758" w:type="dxa"/>
            <w:vAlign w:val="center"/>
          </w:tcPr>
          <w:p w14:paraId="61F5546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Novel molecular biomarker</w:t>
            </w:r>
          </w:p>
        </w:tc>
        <w:tc>
          <w:tcPr>
            <w:tcW w:w="1451" w:type="dxa"/>
            <w:vAlign w:val="center"/>
          </w:tcPr>
          <w:p w14:paraId="2FDCE40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FLOT2</w:t>
            </w:r>
          </w:p>
        </w:tc>
        <w:tc>
          <w:tcPr>
            <w:tcW w:w="1085" w:type="dxa"/>
            <w:vAlign w:val="center"/>
          </w:tcPr>
          <w:p w14:paraId="3EC332B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6CB497C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Not treatment-specific</w:t>
            </w:r>
          </w:p>
        </w:tc>
        <w:tc>
          <w:tcPr>
            <w:tcW w:w="1106" w:type="dxa"/>
            <w:vAlign w:val="center"/>
          </w:tcPr>
          <w:p w14:paraId="7180D79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5E52EC0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FLOT2 promoted lymphoma progression and predicted poor prognosis</w:t>
            </w:r>
          </w:p>
        </w:tc>
      </w:tr>
      <w:tr w14:paraId="68A0A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3DC4EB9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Wang et al. (2025)</w:t>
            </w:r>
          </w:p>
        </w:tc>
        <w:tc>
          <w:tcPr>
            <w:tcW w:w="1147" w:type="dxa"/>
            <w:vAlign w:val="center"/>
          </w:tcPr>
          <w:p w14:paraId="5FE46E1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China</w:t>
            </w:r>
          </w:p>
        </w:tc>
        <w:tc>
          <w:tcPr>
            <w:tcW w:w="1600" w:type="dxa"/>
            <w:vAlign w:val="center"/>
          </w:tcPr>
          <w:p w14:paraId="467B7E6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Bioinformatics validation</w:t>
            </w:r>
          </w:p>
        </w:tc>
        <w:tc>
          <w:tcPr>
            <w:tcW w:w="987" w:type="dxa"/>
            <w:vAlign w:val="center"/>
          </w:tcPr>
          <w:p w14:paraId="0E252ED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758" w:type="dxa"/>
            <w:vAlign w:val="center"/>
          </w:tcPr>
          <w:p w14:paraId="08F5500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Novel prognostic biomarker</w:t>
            </w:r>
          </w:p>
        </w:tc>
        <w:tc>
          <w:tcPr>
            <w:tcW w:w="1451" w:type="dxa"/>
            <w:vAlign w:val="center"/>
          </w:tcPr>
          <w:p w14:paraId="0C4BEAB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BEND4</w:t>
            </w:r>
          </w:p>
        </w:tc>
        <w:tc>
          <w:tcPr>
            <w:tcW w:w="1085" w:type="dxa"/>
            <w:vAlign w:val="center"/>
          </w:tcPr>
          <w:p w14:paraId="7F19B58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6543CC6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Standard immunochemotherapy</w:t>
            </w:r>
          </w:p>
        </w:tc>
        <w:tc>
          <w:tcPr>
            <w:tcW w:w="1106" w:type="dxa"/>
            <w:vAlign w:val="center"/>
          </w:tcPr>
          <w:p w14:paraId="3EF77B3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248E456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BEND4 associated with inferior survival</w:t>
            </w:r>
          </w:p>
        </w:tc>
      </w:tr>
      <w:tr w14:paraId="6A4A2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6A5BE06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Al-Amodi et al. (2025)</w:t>
            </w:r>
          </w:p>
        </w:tc>
        <w:tc>
          <w:tcPr>
            <w:tcW w:w="1147" w:type="dxa"/>
            <w:vAlign w:val="center"/>
          </w:tcPr>
          <w:p w14:paraId="0D05D4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Egypt</w:t>
            </w:r>
          </w:p>
        </w:tc>
        <w:tc>
          <w:tcPr>
            <w:tcW w:w="1600" w:type="dxa"/>
            <w:vAlign w:val="center"/>
          </w:tcPr>
          <w:p w14:paraId="5A6CFFB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Prospective cohort</w:t>
            </w:r>
          </w:p>
        </w:tc>
        <w:tc>
          <w:tcPr>
            <w:tcW w:w="987" w:type="dxa"/>
            <w:vAlign w:val="center"/>
          </w:tcPr>
          <w:p w14:paraId="57A43BF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758" w:type="dxa"/>
            <w:vAlign w:val="center"/>
          </w:tcPr>
          <w:p w14:paraId="455C5F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Molecular biomarker</w:t>
            </w:r>
          </w:p>
        </w:tc>
        <w:tc>
          <w:tcPr>
            <w:tcW w:w="1451" w:type="dxa"/>
            <w:vAlign w:val="center"/>
          </w:tcPr>
          <w:p w14:paraId="0012443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FCRL1 mRNA, BAFF mRNA</w:t>
            </w:r>
          </w:p>
        </w:tc>
        <w:tc>
          <w:tcPr>
            <w:tcW w:w="1085" w:type="dxa"/>
            <w:vAlign w:val="center"/>
          </w:tcPr>
          <w:p w14:paraId="6D58200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Diagnostic / Prognostic</w:t>
            </w:r>
          </w:p>
        </w:tc>
        <w:tc>
          <w:tcPr>
            <w:tcW w:w="1906" w:type="dxa"/>
            <w:vAlign w:val="center"/>
          </w:tcPr>
          <w:p w14:paraId="71B86CD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R-CHOP</w:t>
            </w:r>
          </w:p>
        </w:tc>
        <w:tc>
          <w:tcPr>
            <w:tcW w:w="1106" w:type="dxa"/>
            <w:vAlign w:val="center"/>
          </w:tcPr>
          <w:p w14:paraId="463A921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3590205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Expression signatures predicted treatment response and survival</w:t>
            </w:r>
          </w:p>
        </w:tc>
      </w:tr>
      <w:tr w14:paraId="55117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238C313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Yousefi et al. (2023)</w:t>
            </w:r>
          </w:p>
        </w:tc>
        <w:tc>
          <w:tcPr>
            <w:tcW w:w="1147" w:type="dxa"/>
            <w:vAlign w:val="center"/>
          </w:tcPr>
          <w:p w14:paraId="1F05DEA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Iran</w:t>
            </w:r>
          </w:p>
        </w:tc>
        <w:tc>
          <w:tcPr>
            <w:tcW w:w="1600" w:type="dxa"/>
            <w:vAlign w:val="center"/>
          </w:tcPr>
          <w:p w14:paraId="0F56E65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Retrospective molecular study</w:t>
            </w:r>
          </w:p>
        </w:tc>
        <w:tc>
          <w:tcPr>
            <w:tcW w:w="987" w:type="dxa"/>
            <w:vAlign w:val="center"/>
          </w:tcPr>
          <w:p w14:paraId="3D55939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1758" w:type="dxa"/>
            <w:vAlign w:val="center"/>
          </w:tcPr>
          <w:p w14:paraId="7369F42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Molecular biomarker</w:t>
            </w:r>
          </w:p>
        </w:tc>
        <w:tc>
          <w:tcPr>
            <w:tcW w:w="1451" w:type="dxa"/>
            <w:vAlign w:val="center"/>
          </w:tcPr>
          <w:p w14:paraId="15F489B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FCRL1</w:t>
            </w:r>
          </w:p>
        </w:tc>
        <w:tc>
          <w:tcPr>
            <w:tcW w:w="1085" w:type="dxa"/>
            <w:vAlign w:val="center"/>
          </w:tcPr>
          <w:p w14:paraId="173FDF2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3CE70FC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Standard immunochemotherapy</w:t>
            </w:r>
          </w:p>
        </w:tc>
        <w:tc>
          <w:tcPr>
            <w:tcW w:w="1106" w:type="dxa"/>
            <w:vAlign w:val="center"/>
          </w:tcPr>
          <w:p w14:paraId="297FC67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5E8F4BB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Elevated FCRL1 associated with poor prognosis</w:t>
            </w:r>
          </w:p>
        </w:tc>
      </w:tr>
      <w:tr w14:paraId="4584C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3DA625B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Runge et al. (2021)</w:t>
            </w:r>
          </w:p>
        </w:tc>
        <w:tc>
          <w:tcPr>
            <w:tcW w:w="1147" w:type="dxa"/>
            <w:vAlign w:val="center"/>
          </w:tcPr>
          <w:p w14:paraId="2FA28D4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United Kingdom</w:t>
            </w:r>
          </w:p>
        </w:tc>
        <w:tc>
          <w:tcPr>
            <w:tcW w:w="1600" w:type="dxa"/>
            <w:vAlign w:val="center"/>
          </w:tcPr>
          <w:p w14:paraId="71B40F5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Population-based genomic cohort</w:t>
            </w:r>
          </w:p>
        </w:tc>
        <w:tc>
          <w:tcPr>
            <w:tcW w:w="987" w:type="dxa"/>
            <w:vAlign w:val="center"/>
          </w:tcPr>
          <w:p w14:paraId="7C52600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928</w:t>
            </w:r>
          </w:p>
        </w:tc>
        <w:tc>
          <w:tcPr>
            <w:tcW w:w="1758" w:type="dxa"/>
            <w:vAlign w:val="center"/>
          </w:tcPr>
          <w:p w14:paraId="187676B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Molecular subtyping</w:t>
            </w:r>
          </w:p>
        </w:tc>
        <w:tc>
          <w:tcPr>
            <w:tcW w:w="1451" w:type="dxa"/>
            <w:vAlign w:val="center"/>
          </w:tcPr>
          <w:p w14:paraId="04D9763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LymphGen</w:t>
            </w:r>
          </w:p>
        </w:tc>
        <w:tc>
          <w:tcPr>
            <w:tcW w:w="1085" w:type="dxa"/>
            <w:vAlign w:val="center"/>
          </w:tcPr>
          <w:p w14:paraId="618DC99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4352960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Standard immunochemotherapy</w:t>
            </w:r>
          </w:p>
        </w:tc>
        <w:tc>
          <w:tcPr>
            <w:tcW w:w="1106" w:type="dxa"/>
            <w:vAlign w:val="center"/>
          </w:tcPr>
          <w:p w14:paraId="39BA19C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7E92EDD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LymphGen classification improved prognostic stratification</w:t>
            </w:r>
          </w:p>
        </w:tc>
      </w:tr>
      <w:tr w14:paraId="55692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6ECAF22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Xu-Monette et al. (2023)</w:t>
            </w:r>
          </w:p>
        </w:tc>
        <w:tc>
          <w:tcPr>
            <w:tcW w:w="1147" w:type="dxa"/>
            <w:vAlign w:val="center"/>
          </w:tcPr>
          <w:p w14:paraId="4D65748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Multinational</w:t>
            </w:r>
          </w:p>
        </w:tc>
        <w:tc>
          <w:tcPr>
            <w:tcW w:w="1600" w:type="dxa"/>
            <w:vAlign w:val="center"/>
          </w:tcPr>
          <w:p w14:paraId="6CCF21B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Multicentre translational cohort</w:t>
            </w:r>
          </w:p>
        </w:tc>
        <w:tc>
          <w:tcPr>
            <w:tcW w:w="987" w:type="dxa"/>
            <w:vAlign w:val="center"/>
          </w:tcPr>
          <w:p w14:paraId="7156BBB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1758" w:type="dxa"/>
            <w:vAlign w:val="center"/>
          </w:tcPr>
          <w:p w14:paraId="7783D64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Tumour microenvironment</w:t>
            </w:r>
          </w:p>
        </w:tc>
        <w:tc>
          <w:tcPr>
            <w:tcW w:w="1451" w:type="dxa"/>
            <w:vAlign w:val="center"/>
          </w:tcPr>
          <w:p w14:paraId="7ED6A03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Tumour-infiltrating B cells</w:t>
            </w:r>
          </w:p>
        </w:tc>
        <w:tc>
          <w:tcPr>
            <w:tcW w:w="1085" w:type="dxa"/>
            <w:vAlign w:val="center"/>
          </w:tcPr>
          <w:p w14:paraId="1CE5EC2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6813B30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R-CHOP</w:t>
            </w:r>
          </w:p>
        </w:tc>
        <w:tc>
          <w:tcPr>
            <w:tcW w:w="1106" w:type="dxa"/>
            <w:vAlign w:val="center"/>
          </w:tcPr>
          <w:p w14:paraId="160C00E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0E8BDFD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TIL-B abundance predicted favourable survival</w:t>
            </w:r>
          </w:p>
        </w:tc>
      </w:tr>
      <w:tr w14:paraId="2F38E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3E76BD8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Alcoceba et al. (2024)</w:t>
            </w:r>
          </w:p>
        </w:tc>
        <w:tc>
          <w:tcPr>
            <w:tcW w:w="1147" w:type="dxa"/>
            <w:vAlign w:val="center"/>
          </w:tcPr>
          <w:p w14:paraId="5883C82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Spain</w:t>
            </w:r>
          </w:p>
        </w:tc>
        <w:tc>
          <w:tcPr>
            <w:tcW w:w="1600" w:type="dxa"/>
            <w:vAlign w:val="center"/>
          </w:tcPr>
          <w:p w14:paraId="06E4270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Prospective translational cohort</w:t>
            </w:r>
          </w:p>
        </w:tc>
        <w:tc>
          <w:tcPr>
            <w:tcW w:w="987" w:type="dxa"/>
            <w:vAlign w:val="center"/>
          </w:tcPr>
          <w:p w14:paraId="731391B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1758" w:type="dxa"/>
            <w:vAlign w:val="center"/>
          </w:tcPr>
          <w:p w14:paraId="3193EB1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Liquid biopsy</w:t>
            </w:r>
          </w:p>
        </w:tc>
        <w:tc>
          <w:tcPr>
            <w:tcW w:w="1451" w:type="dxa"/>
            <w:vAlign w:val="center"/>
          </w:tcPr>
          <w:p w14:paraId="1842D81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ctDNA, MRD</w:t>
            </w:r>
          </w:p>
        </w:tc>
        <w:tc>
          <w:tcPr>
            <w:tcW w:w="1085" w:type="dxa"/>
            <w:vAlign w:val="center"/>
          </w:tcPr>
          <w:p w14:paraId="0D032CE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 / Monitoring</w:t>
            </w:r>
          </w:p>
        </w:tc>
        <w:tc>
          <w:tcPr>
            <w:tcW w:w="1906" w:type="dxa"/>
            <w:vAlign w:val="center"/>
          </w:tcPr>
          <w:p w14:paraId="60DBE67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R-CHOP</w:t>
            </w:r>
          </w:p>
        </w:tc>
        <w:tc>
          <w:tcPr>
            <w:tcW w:w="1106" w:type="dxa"/>
            <w:vAlign w:val="center"/>
          </w:tcPr>
          <w:p w14:paraId="4C627BF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Longitudinal</w:t>
            </w:r>
          </w:p>
        </w:tc>
        <w:tc>
          <w:tcPr>
            <w:tcW w:w="2494" w:type="dxa"/>
            <w:vAlign w:val="center"/>
          </w:tcPr>
          <w:p w14:paraId="6589D0D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ctDNA effectively monitored minimal residual disease</w:t>
            </w:r>
          </w:p>
        </w:tc>
      </w:tr>
      <w:tr w14:paraId="438CC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533E9B0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Li et al. (2026)</w:t>
            </w:r>
          </w:p>
        </w:tc>
        <w:tc>
          <w:tcPr>
            <w:tcW w:w="1147" w:type="dxa"/>
            <w:vAlign w:val="center"/>
          </w:tcPr>
          <w:p w14:paraId="05A03A1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China</w:t>
            </w:r>
          </w:p>
        </w:tc>
        <w:tc>
          <w:tcPr>
            <w:tcW w:w="1600" w:type="dxa"/>
            <w:vAlign w:val="center"/>
          </w:tcPr>
          <w:p w14:paraId="5EFCBDD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Bioinformatics cohort</w:t>
            </w:r>
          </w:p>
        </w:tc>
        <w:tc>
          <w:tcPr>
            <w:tcW w:w="987" w:type="dxa"/>
            <w:vAlign w:val="center"/>
          </w:tcPr>
          <w:p w14:paraId="538EA67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1758" w:type="dxa"/>
            <w:vAlign w:val="center"/>
          </w:tcPr>
          <w:p w14:paraId="221EFCC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Integrated biomarkers</w:t>
            </w:r>
          </w:p>
        </w:tc>
        <w:tc>
          <w:tcPr>
            <w:tcW w:w="1451" w:type="dxa"/>
            <w:vAlign w:val="center"/>
          </w:tcPr>
          <w:p w14:paraId="45AE73A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Multidimensional transcriptomic biomarkers</w:t>
            </w:r>
          </w:p>
        </w:tc>
        <w:tc>
          <w:tcPr>
            <w:tcW w:w="1085" w:type="dxa"/>
            <w:vAlign w:val="center"/>
          </w:tcPr>
          <w:p w14:paraId="2CDDB1E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7E11E0D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Not treatment-specific</w:t>
            </w:r>
          </w:p>
        </w:tc>
        <w:tc>
          <w:tcPr>
            <w:tcW w:w="1106" w:type="dxa"/>
            <w:vAlign w:val="center"/>
          </w:tcPr>
          <w:p w14:paraId="69EC597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2EC13B0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Integrated transcriptomic model predicted survival</w:t>
            </w:r>
          </w:p>
        </w:tc>
      </w:tr>
      <w:tr w14:paraId="1B3A7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186EB59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Wang et al. (2022)</w:t>
            </w:r>
          </w:p>
        </w:tc>
        <w:tc>
          <w:tcPr>
            <w:tcW w:w="1147" w:type="dxa"/>
            <w:vAlign w:val="center"/>
          </w:tcPr>
          <w:p w14:paraId="11A4103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China</w:t>
            </w:r>
          </w:p>
        </w:tc>
        <w:tc>
          <w:tcPr>
            <w:tcW w:w="1600" w:type="dxa"/>
            <w:vAlign w:val="center"/>
          </w:tcPr>
          <w:p w14:paraId="4B2AA18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Bioinformatics cohort</w:t>
            </w:r>
          </w:p>
        </w:tc>
        <w:tc>
          <w:tcPr>
            <w:tcW w:w="987" w:type="dxa"/>
            <w:vAlign w:val="center"/>
          </w:tcPr>
          <w:p w14:paraId="212A1D3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474</w:t>
            </w:r>
          </w:p>
        </w:tc>
        <w:tc>
          <w:tcPr>
            <w:tcW w:w="1758" w:type="dxa"/>
            <w:vAlign w:val="center"/>
          </w:tcPr>
          <w:p w14:paraId="48E744B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lncRNA signature</w:t>
            </w:r>
          </w:p>
        </w:tc>
        <w:tc>
          <w:tcPr>
            <w:tcW w:w="1451" w:type="dxa"/>
            <w:vAlign w:val="center"/>
          </w:tcPr>
          <w:p w14:paraId="217BB0F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9-lncRNA signature</w:t>
            </w:r>
          </w:p>
        </w:tc>
        <w:tc>
          <w:tcPr>
            <w:tcW w:w="1085" w:type="dxa"/>
            <w:vAlign w:val="center"/>
          </w:tcPr>
          <w:p w14:paraId="183BF30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74D54FC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Not treatment-specific</w:t>
            </w:r>
          </w:p>
        </w:tc>
        <w:tc>
          <w:tcPr>
            <w:tcW w:w="1106" w:type="dxa"/>
            <w:vAlign w:val="center"/>
          </w:tcPr>
          <w:p w14:paraId="32193D9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3362003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lncRNA signature demonstrated independent prognostic value</w:t>
            </w:r>
          </w:p>
        </w:tc>
      </w:tr>
      <w:tr w14:paraId="59564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294D4C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Zhang et al. (2023)</w:t>
            </w:r>
          </w:p>
        </w:tc>
        <w:tc>
          <w:tcPr>
            <w:tcW w:w="1147" w:type="dxa"/>
            <w:vAlign w:val="center"/>
          </w:tcPr>
          <w:p w14:paraId="7949939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China</w:t>
            </w:r>
          </w:p>
        </w:tc>
        <w:tc>
          <w:tcPr>
            <w:tcW w:w="1600" w:type="dxa"/>
            <w:vAlign w:val="center"/>
          </w:tcPr>
          <w:p w14:paraId="3B9F77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Randomized Phase II trial</w:t>
            </w:r>
          </w:p>
        </w:tc>
        <w:tc>
          <w:tcPr>
            <w:tcW w:w="987" w:type="dxa"/>
            <w:vAlign w:val="center"/>
          </w:tcPr>
          <w:p w14:paraId="0AF6552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1758" w:type="dxa"/>
            <w:vAlign w:val="center"/>
          </w:tcPr>
          <w:p w14:paraId="0B8C1C3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Genetic subtyping</w:t>
            </w:r>
          </w:p>
        </w:tc>
        <w:tc>
          <w:tcPr>
            <w:tcW w:w="1451" w:type="dxa"/>
            <w:vAlign w:val="center"/>
          </w:tcPr>
          <w:p w14:paraId="17B31C9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LymphPlex</w:t>
            </w:r>
          </w:p>
        </w:tc>
        <w:tc>
          <w:tcPr>
            <w:tcW w:w="1085" w:type="dxa"/>
            <w:vAlign w:val="center"/>
          </w:tcPr>
          <w:p w14:paraId="4187F97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Predictive / Prognostic</w:t>
            </w:r>
          </w:p>
        </w:tc>
        <w:tc>
          <w:tcPr>
            <w:tcW w:w="1906" w:type="dxa"/>
            <w:vAlign w:val="center"/>
          </w:tcPr>
          <w:p w14:paraId="4A5BF27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R-CHOP-X vs R-CHOP</w:t>
            </w:r>
          </w:p>
        </w:tc>
        <w:tc>
          <w:tcPr>
            <w:tcW w:w="1106" w:type="dxa"/>
            <w:vAlign w:val="center"/>
          </w:tcPr>
          <w:p w14:paraId="20B3507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2 years</w:t>
            </w:r>
          </w:p>
        </w:tc>
        <w:tc>
          <w:tcPr>
            <w:tcW w:w="2494" w:type="dxa"/>
            <w:vAlign w:val="center"/>
          </w:tcPr>
          <w:p w14:paraId="5C60E69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Molecularly guided therapy improved patient outcomes</w:t>
            </w:r>
          </w:p>
        </w:tc>
      </w:tr>
      <w:tr w14:paraId="5F554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10BC622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Lou et al. (2022)</w:t>
            </w:r>
          </w:p>
        </w:tc>
        <w:tc>
          <w:tcPr>
            <w:tcW w:w="1147" w:type="dxa"/>
            <w:vAlign w:val="center"/>
          </w:tcPr>
          <w:p w14:paraId="11B8B91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China</w:t>
            </w:r>
          </w:p>
        </w:tc>
        <w:tc>
          <w:tcPr>
            <w:tcW w:w="1600" w:type="dxa"/>
            <w:vAlign w:val="center"/>
          </w:tcPr>
          <w:p w14:paraId="13A87B8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Bioinformatics + validation</w:t>
            </w:r>
          </w:p>
        </w:tc>
        <w:tc>
          <w:tcPr>
            <w:tcW w:w="987" w:type="dxa"/>
            <w:vAlign w:val="center"/>
          </w:tcPr>
          <w:p w14:paraId="1E7F816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481</w:t>
            </w:r>
          </w:p>
        </w:tc>
        <w:tc>
          <w:tcPr>
            <w:tcW w:w="1758" w:type="dxa"/>
            <w:vAlign w:val="center"/>
          </w:tcPr>
          <w:p w14:paraId="61054EF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Tumour microenvironment</w:t>
            </w:r>
          </w:p>
        </w:tc>
        <w:tc>
          <w:tcPr>
            <w:tcW w:w="1451" w:type="dxa"/>
            <w:vAlign w:val="center"/>
          </w:tcPr>
          <w:p w14:paraId="5F9FBEA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CCL8</w:t>
            </w:r>
          </w:p>
        </w:tc>
        <w:tc>
          <w:tcPr>
            <w:tcW w:w="1085" w:type="dxa"/>
            <w:vAlign w:val="center"/>
          </w:tcPr>
          <w:p w14:paraId="5A04F50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699B60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Not treatment-specific</w:t>
            </w:r>
          </w:p>
        </w:tc>
        <w:tc>
          <w:tcPr>
            <w:tcW w:w="1106" w:type="dxa"/>
            <w:vAlign w:val="center"/>
          </w:tcPr>
          <w:p w14:paraId="7B9982B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389541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CCL8-associated macrophage interactions predicted prognosis</w:t>
            </w:r>
          </w:p>
        </w:tc>
      </w:tr>
      <w:tr w14:paraId="76E9B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095AAEC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Dai et al. (2025)</w:t>
            </w:r>
          </w:p>
        </w:tc>
        <w:tc>
          <w:tcPr>
            <w:tcW w:w="1147" w:type="dxa"/>
            <w:vAlign w:val="center"/>
          </w:tcPr>
          <w:p w14:paraId="78876A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USA / Multinational</w:t>
            </w:r>
          </w:p>
        </w:tc>
        <w:tc>
          <w:tcPr>
            <w:tcW w:w="1600" w:type="dxa"/>
            <w:vAlign w:val="center"/>
          </w:tcPr>
          <w:p w14:paraId="3A9A4D9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Multicentre translational study</w:t>
            </w:r>
          </w:p>
        </w:tc>
        <w:tc>
          <w:tcPr>
            <w:tcW w:w="987" w:type="dxa"/>
            <w:vAlign w:val="center"/>
          </w:tcPr>
          <w:p w14:paraId="5504E2B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1758" w:type="dxa"/>
            <w:vAlign w:val="center"/>
          </w:tcPr>
          <w:p w14:paraId="739C6A1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Spatial biology</w:t>
            </w:r>
          </w:p>
        </w:tc>
        <w:tc>
          <w:tcPr>
            <w:tcW w:w="1451" w:type="dxa"/>
            <w:vAlign w:val="center"/>
          </w:tcPr>
          <w:p w14:paraId="470818D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Spatial immune niches</w:t>
            </w:r>
          </w:p>
        </w:tc>
        <w:tc>
          <w:tcPr>
            <w:tcW w:w="1085" w:type="dxa"/>
            <w:vAlign w:val="center"/>
          </w:tcPr>
          <w:p w14:paraId="3A5F2AB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31FA7AA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Standard care</w:t>
            </w:r>
          </w:p>
        </w:tc>
        <w:tc>
          <w:tcPr>
            <w:tcW w:w="1106" w:type="dxa"/>
            <w:vAlign w:val="center"/>
          </w:tcPr>
          <w:p w14:paraId="165A9B7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1627F69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Spatial immune architecture predicted clinical outcome</w:t>
            </w:r>
          </w:p>
        </w:tc>
      </w:tr>
      <w:tr w14:paraId="1CC3A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06CEC45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Autio et al. (2025)</w:t>
            </w:r>
          </w:p>
        </w:tc>
        <w:tc>
          <w:tcPr>
            <w:tcW w:w="1147" w:type="dxa"/>
            <w:vAlign w:val="center"/>
          </w:tcPr>
          <w:p w14:paraId="323016D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Finland</w:t>
            </w:r>
          </w:p>
        </w:tc>
        <w:tc>
          <w:tcPr>
            <w:tcW w:w="1600" w:type="dxa"/>
            <w:vAlign w:val="center"/>
          </w:tcPr>
          <w:p w14:paraId="4A26479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Multicentre retrospective cohort</w:t>
            </w:r>
          </w:p>
        </w:tc>
        <w:tc>
          <w:tcPr>
            <w:tcW w:w="987" w:type="dxa"/>
            <w:vAlign w:val="center"/>
          </w:tcPr>
          <w:p w14:paraId="2DE19AA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1758" w:type="dxa"/>
            <w:vAlign w:val="center"/>
          </w:tcPr>
          <w:p w14:paraId="4A398B4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Tumour microenvironment</w:t>
            </w:r>
          </w:p>
        </w:tc>
        <w:tc>
          <w:tcPr>
            <w:tcW w:w="1451" w:type="dxa"/>
            <w:vAlign w:val="center"/>
          </w:tcPr>
          <w:p w14:paraId="302643D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Spatial immune-cell interactions</w:t>
            </w:r>
          </w:p>
        </w:tc>
        <w:tc>
          <w:tcPr>
            <w:tcW w:w="1085" w:type="dxa"/>
            <w:vAlign w:val="center"/>
          </w:tcPr>
          <w:p w14:paraId="41D20ED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23A6044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Standard immunochemotherapy</w:t>
            </w:r>
          </w:p>
        </w:tc>
        <w:tc>
          <w:tcPr>
            <w:tcW w:w="1106" w:type="dxa"/>
            <w:vAlign w:val="center"/>
          </w:tcPr>
          <w:p w14:paraId="3F00CCD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6C5AAF5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Spatial interaction patterns associated with survival</w:t>
            </w:r>
          </w:p>
        </w:tc>
      </w:tr>
      <w:tr w14:paraId="23B4F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22311EC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Merdan et al. (2021)</w:t>
            </w:r>
          </w:p>
        </w:tc>
        <w:tc>
          <w:tcPr>
            <w:tcW w:w="1147" w:type="dxa"/>
            <w:vAlign w:val="center"/>
          </w:tcPr>
          <w:p w14:paraId="499419A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USA</w:t>
            </w:r>
          </w:p>
        </w:tc>
        <w:tc>
          <w:tcPr>
            <w:tcW w:w="1600" w:type="dxa"/>
            <w:vAlign w:val="center"/>
          </w:tcPr>
          <w:p w14:paraId="0919528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Bioinformatics cohort</w:t>
            </w:r>
          </w:p>
        </w:tc>
        <w:tc>
          <w:tcPr>
            <w:tcW w:w="987" w:type="dxa"/>
            <w:vAlign w:val="center"/>
          </w:tcPr>
          <w:p w14:paraId="02D1645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928</w:t>
            </w:r>
          </w:p>
        </w:tc>
        <w:tc>
          <w:tcPr>
            <w:tcW w:w="1758" w:type="dxa"/>
            <w:vAlign w:val="center"/>
          </w:tcPr>
          <w:p w14:paraId="235EA8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Gene-expression profiling</w:t>
            </w:r>
          </w:p>
        </w:tc>
        <w:tc>
          <w:tcPr>
            <w:tcW w:w="1451" w:type="dxa"/>
            <w:vAlign w:val="center"/>
          </w:tcPr>
          <w:p w14:paraId="6A6F0C2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Immune infiltration model</w:t>
            </w:r>
          </w:p>
        </w:tc>
        <w:tc>
          <w:tcPr>
            <w:tcW w:w="1085" w:type="dxa"/>
            <w:vAlign w:val="center"/>
          </w:tcPr>
          <w:p w14:paraId="1470301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226CA98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Standard immunochemotherapy</w:t>
            </w:r>
          </w:p>
        </w:tc>
        <w:tc>
          <w:tcPr>
            <w:tcW w:w="1106" w:type="dxa"/>
            <w:vAlign w:val="center"/>
          </w:tcPr>
          <w:p w14:paraId="71A549D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1906E4A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Immune-based gene signature stratified survival</w:t>
            </w:r>
          </w:p>
        </w:tc>
      </w:tr>
      <w:tr w14:paraId="4FCB3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149EE7B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Liu et al. (2024)</w:t>
            </w:r>
          </w:p>
        </w:tc>
        <w:tc>
          <w:tcPr>
            <w:tcW w:w="1147" w:type="dxa"/>
            <w:vAlign w:val="center"/>
          </w:tcPr>
          <w:p w14:paraId="2E083F8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Singapore</w:t>
            </w:r>
          </w:p>
        </w:tc>
        <w:tc>
          <w:tcPr>
            <w:tcW w:w="1600" w:type="dxa"/>
            <w:vAlign w:val="center"/>
          </w:tcPr>
          <w:p w14:paraId="7173B1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Spatial transcriptomics</w:t>
            </w:r>
          </w:p>
        </w:tc>
        <w:tc>
          <w:tcPr>
            <w:tcW w:w="987" w:type="dxa"/>
            <w:vAlign w:val="center"/>
          </w:tcPr>
          <w:p w14:paraId="370F8E1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1758" w:type="dxa"/>
            <w:vAlign w:val="center"/>
          </w:tcPr>
          <w:p w14:paraId="5F67A42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Tumour microenvironment</w:t>
            </w:r>
          </w:p>
        </w:tc>
        <w:tc>
          <w:tcPr>
            <w:tcW w:w="1451" w:type="dxa"/>
            <w:vAlign w:val="center"/>
          </w:tcPr>
          <w:p w14:paraId="45A1ADD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Macrophage spatial signatures</w:t>
            </w:r>
          </w:p>
        </w:tc>
        <w:tc>
          <w:tcPr>
            <w:tcW w:w="1085" w:type="dxa"/>
            <w:vAlign w:val="center"/>
          </w:tcPr>
          <w:p w14:paraId="79893BA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27FC269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Standard care</w:t>
            </w:r>
          </w:p>
        </w:tc>
        <w:tc>
          <w:tcPr>
            <w:tcW w:w="1106" w:type="dxa"/>
            <w:vAlign w:val="center"/>
          </w:tcPr>
          <w:p w14:paraId="5E6FB90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64B99EA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Spatial macrophage signatures independently predicted prognosis</w:t>
            </w:r>
          </w:p>
        </w:tc>
      </w:tr>
      <w:tr w14:paraId="05006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2E5D6FB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Autio et al. (2022)</w:t>
            </w:r>
          </w:p>
        </w:tc>
        <w:tc>
          <w:tcPr>
            <w:tcW w:w="1147" w:type="dxa"/>
            <w:vAlign w:val="center"/>
          </w:tcPr>
          <w:p w14:paraId="667574C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Finland</w:t>
            </w:r>
          </w:p>
        </w:tc>
        <w:tc>
          <w:tcPr>
            <w:tcW w:w="1600" w:type="dxa"/>
            <w:vAlign w:val="center"/>
          </w:tcPr>
          <w:p w14:paraId="0AA15E4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Retrospective translational cohort</w:t>
            </w:r>
          </w:p>
        </w:tc>
        <w:tc>
          <w:tcPr>
            <w:tcW w:w="987" w:type="dxa"/>
            <w:vAlign w:val="center"/>
          </w:tcPr>
          <w:p w14:paraId="1ED4C58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1758" w:type="dxa"/>
            <w:vAlign w:val="center"/>
          </w:tcPr>
          <w:p w14:paraId="57FA4EC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Tumour microenvironment</w:t>
            </w:r>
          </w:p>
        </w:tc>
        <w:tc>
          <w:tcPr>
            <w:tcW w:w="1451" w:type="dxa"/>
            <w:vAlign w:val="center"/>
          </w:tcPr>
          <w:p w14:paraId="3C8F029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Spatial immune interactions</w:t>
            </w:r>
          </w:p>
        </w:tc>
        <w:tc>
          <w:tcPr>
            <w:tcW w:w="1085" w:type="dxa"/>
            <w:vAlign w:val="center"/>
          </w:tcPr>
          <w:p w14:paraId="2666CA7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6CA487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R-CHOP</w:t>
            </w:r>
          </w:p>
        </w:tc>
        <w:tc>
          <w:tcPr>
            <w:tcW w:w="1106" w:type="dxa"/>
            <w:vAlign w:val="center"/>
          </w:tcPr>
          <w:p w14:paraId="0C92520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34334E7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Immune-cell spatial organisation predicted survival</w:t>
            </w:r>
          </w:p>
        </w:tc>
      </w:tr>
      <w:tr w14:paraId="54E7D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5C838AF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Dai et al. (2025)</w:t>
            </w:r>
          </w:p>
        </w:tc>
        <w:tc>
          <w:tcPr>
            <w:tcW w:w="1147" w:type="dxa"/>
            <w:vAlign w:val="center"/>
          </w:tcPr>
          <w:p w14:paraId="1281E85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China</w:t>
            </w:r>
          </w:p>
        </w:tc>
        <w:tc>
          <w:tcPr>
            <w:tcW w:w="1600" w:type="dxa"/>
            <w:vAlign w:val="center"/>
          </w:tcPr>
          <w:p w14:paraId="6B3200B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Spatial transcriptomics</w:t>
            </w:r>
          </w:p>
        </w:tc>
        <w:tc>
          <w:tcPr>
            <w:tcW w:w="987" w:type="dxa"/>
            <w:vAlign w:val="center"/>
          </w:tcPr>
          <w:p w14:paraId="202CD83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1758" w:type="dxa"/>
            <w:vAlign w:val="center"/>
          </w:tcPr>
          <w:p w14:paraId="4474C07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Tumour microenvironment</w:t>
            </w:r>
          </w:p>
        </w:tc>
        <w:tc>
          <w:tcPr>
            <w:tcW w:w="1451" w:type="dxa"/>
            <w:vAlign w:val="center"/>
          </w:tcPr>
          <w:p w14:paraId="19432DB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LYZ⁺ fibroblasts, FN1⁺ macrophages</w:t>
            </w:r>
          </w:p>
        </w:tc>
        <w:tc>
          <w:tcPr>
            <w:tcW w:w="1085" w:type="dxa"/>
            <w:vAlign w:val="center"/>
          </w:tcPr>
          <w:p w14:paraId="438ED60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261F150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Standard immunochemotherapy</w:t>
            </w:r>
          </w:p>
        </w:tc>
        <w:tc>
          <w:tcPr>
            <w:tcW w:w="1106" w:type="dxa"/>
            <w:vAlign w:val="center"/>
          </w:tcPr>
          <w:p w14:paraId="22AD1F5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241B627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Stromal–macrophage interactions predicted outcome</w:t>
            </w:r>
          </w:p>
        </w:tc>
      </w:tr>
      <w:tr w14:paraId="311A7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55E1F72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Moia et al. (2025)</w:t>
            </w:r>
          </w:p>
        </w:tc>
        <w:tc>
          <w:tcPr>
            <w:tcW w:w="1147" w:type="dxa"/>
            <w:vAlign w:val="center"/>
          </w:tcPr>
          <w:p w14:paraId="55C4236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Italy</w:t>
            </w:r>
          </w:p>
        </w:tc>
        <w:tc>
          <w:tcPr>
            <w:tcW w:w="1600" w:type="dxa"/>
            <w:vAlign w:val="center"/>
          </w:tcPr>
          <w:p w14:paraId="6A006BB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Prospective multicentre cohort</w:t>
            </w:r>
          </w:p>
        </w:tc>
        <w:tc>
          <w:tcPr>
            <w:tcW w:w="987" w:type="dxa"/>
            <w:vAlign w:val="center"/>
          </w:tcPr>
          <w:p w14:paraId="61F730C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1758" w:type="dxa"/>
            <w:vAlign w:val="center"/>
          </w:tcPr>
          <w:p w14:paraId="567837C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Liquid biopsy</w:t>
            </w:r>
          </w:p>
        </w:tc>
        <w:tc>
          <w:tcPr>
            <w:tcW w:w="1451" w:type="dxa"/>
            <w:vAlign w:val="center"/>
          </w:tcPr>
          <w:p w14:paraId="74F82E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ctDNA, LymphGen</w:t>
            </w:r>
          </w:p>
        </w:tc>
        <w:tc>
          <w:tcPr>
            <w:tcW w:w="1085" w:type="dxa"/>
            <w:vAlign w:val="center"/>
          </w:tcPr>
          <w:p w14:paraId="1737CBB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 / Monitoring</w:t>
            </w:r>
          </w:p>
        </w:tc>
        <w:tc>
          <w:tcPr>
            <w:tcW w:w="1906" w:type="dxa"/>
            <w:vAlign w:val="center"/>
          </w:tcPr>
          <w:p w14:paraId="38CEC8E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Standard first-line immunochemotherapy</w:t>
            </w:r>
          </w:p>
        </w:tc>
        <w:tc>
          <w:tcPr>
            <w:tcW w:w="1106" w:type="dxa"/>
            <w:vAlign w:val="center"/>
          </w:tcPr>
          <w:p w14:paraId="52B14A0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4 years</w:t>
            </w:r>
          </w:p>
        </w:tc>
        <w:tc>
          <w:tcPr>
            <w:tcW w:w="2494" w:type="dxa"/>
            <w:vAlign w:val="center"/>
          </w:tcPr>
          <w:p w14:paraId="16D8A3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ctDNA molecular clustering improved prognostic stratification</w:t>
            </w:r>
          </w:p>
        </w:tc>
      </w:tr>
      <w:tr w14:paraId="77C40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1B1EC5F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Narkhede et al. (2024)</w:t>
            </w:r>
          </w:p>
        </w:tc>
        <w:tc>
          <w:tcPr>
            <w:tcW w:w="1147" w:type="dxa"/>
            <w:vAlign w:val="center"/>
          </w:tcPr>
          <w:p w14:paraId="583CC02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United States</w:t>
            </w:r>
          </w:p>
        </w:tc>
        <w:tc>
          <w:tcPr>
            <w:tcW w:w="1600" w:type="dxa"/>
            <w:vAlign w:val="center"/>
          </w:tcPr>
          <w:p w14:paraId="5F4B8A9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Retrospective cohort</w:t>
            </w:r>
          </w:p>
        </w:tc>
        <w:tc>
          <w:tcPr>
            <w:tcW w:w="987" w:type="dxa"/>
            <w:vAlign w:val="center"/>
          </w:tcPr>
          <w:p w14:paraId="7855752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758" w:type="dxa"/>
            <w:vAlign w:val="center"/>
          </w:tcPr>
          <w:p w14:paraId="322B9F2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Liquid biopsy</w:t>
            </w:r>
          </w:p>
        </w:tc>
        <w:tc>
          <w:tcPr>
            <w:tcW w:w="1451" w:type="dxa"/>
            <w:vAlign w:val="center"/>
          </w:tcPr>
          <w:p w14:paraId="7E3EBF0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Tumour-informed ctDNA</w:t>
            </w:r>
          </w:p>
        </w:tc>
        <w:tc>
          <w:tcPr>
            <w:tcW w:w="1085" w:type="dxa"/>
            <w:vAlign w:val="center"/>
          </w:tcPr>
          <w:p w14:paraId="58D9C39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 / Monitoring</w:t>
            </w:r>
          </w:p>
        </w:tc>
        <w:tc>
          <w:tcPr>
            <w:tcW w:w="1906" w:type="dxa"/>
            <w:vAlign w:val="center"/>
          </w:tcPr>
          <w:p w14:paraId="0F0B846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Standard therapy</w:t>
            </w:r>
          </w:p>
        </w:tc>
        <w:tc>
          <w:tcPr>
            <w:tcW w:w="1106" w:type="dxa"/>
            <w:vAlign w:val="center"/>
          </w:tcPr>
          <w:p w14:paraId="488897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Longitudinal</w:t>
            </w:r>
          </w:p>
        </w:tc>
        <w:tc>
          <w:tcPr>
            <w:tcW w:w="2494" w:type="dxa"/>
            <w:vAlign w:val="center"/>
          </w:tcPr>
          <w:p w14:paraId="2091646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ctDNA dynamically predicted treatment response</w:t>
            </w:r>
          </w:p>
        </w:tc>
      </w:tr>
      <w:tr w14:paraId="3BB89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3CA7D3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Mi et al. (2025)</w:t>
            </w:r>
          </w:p>
        </w:tc>
        <w:tc>
          <w:tcPr>
            <w:tcW w:w="1147" w:type="dxa"/>
            <w:vAlign w:val="center"/>
          </w:tcPr>
          <w:p w14:paraId="00A90E9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China</w:t>
            </w:r>
          </w:p>
        </w:tc>
        <w:tc>
          <w:tcPr>
            <w:tcW w:w="1600" w:type="dxa"/>
            <w:vAlign w:val="center"/>
          </w:tcPr>
          <w:p w14:paraId="7E1627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Retrospective molecular cohort</w:t>
            </w:r>
          </w:p>
        </w:tc>
        <w:tc>
          <w:tcPr>
            <w:tcW w:w="987" w:type="dxa"/>
            <w:vAlign w:val="center"/>
          </w:tcPr>
          <w:p w14:paraId="3A85F73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1758" w:type="dxa"/>
            <w:vAlign w:val="center"/>
          </w:tcPr>
          <w:p w14:paraId="2B6F90C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Genetic subtyping</w:t>
            </w:r>
          </w:p>
        </w:tc>
        <w:tc>
          <w:tcPr>
            <w:tcW w:w="1451" w:type="dxa"/>
            <w:vAlign w:val="center"/>
          </w:tcPr>
          <w:p w14:paraId="2CD42F4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LymphType, IPI-G</w:t>
            </w:r>
          </w:p>
        </w:tc>
        <w:tc>
          <w:tcPr>
            <w:tcW w:w="1085" w:type="dxa"/>
            <w:vAlign w:val="center"/>
          </w:tcPr>
          <w:p w14:paraId="67FDDC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285373C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R-CHOP / R-CHOP-like</w:t>
            </w:r>
          </w:p>
        </w:tc>
        <w:tc>
          <w:tcPr>
            <w:tcW w:w="1106" w:type="dxa"/>
            <w:vAlign w:val="center"/>
          </w:tcPr>
          <w:p w14:paraId="1685FEF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Long-term</w:t>
            </w:r>
          </w:p>
        </w:tc>
        <w:tc>
          <w:tcPr>
            <w:tcW w:w="2494" w:type="dxa"/>
            <w:vAlign w:val="center"/>
          </w:tcPr>
          <w:p w14:paraId="36A45FD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Integrated molecular model improved risk prediction</w:t>
            </w:r>
          </w:p>
        </w:tc>
      </w:tr>
      <w:tr w14:paraId="407E7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Align w:val="center"/>
          </w:tcPr>
          <w:p w14:paraId="576C7E4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Wenzl et al. (2024)</w:t>
            </w:r>
          </w:p>
        </w:tc>
        <w:tc>
          <w:tcPr>
            <w:tcW w:w="1147" w:type="dxa"/>
            <w:vAlign w:val="center"/>
          </w:tcPr>
          <w:p w14:paraId="2429024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United States</w:t>
            </w:r>
          </w:p>
        </w:tc>
        <w:tc>
          <w:tcPr>
            <w:tcW w:w="1600" w:type="dxa"/>
            <w:vAlign w:val="center"/>
          </w:tcPr>
          <w:p w14:paraId="4614BBC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Multicentre multi-omics cohort</w:t>
            </w:r>
          </w:p>
        </w:tc>
        <w:tc>
          <w:tcPr>
            <w:tcW w:w="987" w:type="dxa"/>
            <w:vAlign w:val="center"/>
          </w:tcPr>
          <w:p w14:paraId="55F5F8F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444</w:t>
            </w:r>
          </w:p>
        </w:tc>
        <w:tc>
          <w:tcPr>
            <w:tcW w:w="1758" w:type="dxa"/>
            <w:vAlign w:val="center"/>
          </w:tcPr>
          <w:p w14:paraId="7AF1DCB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Multi-omics</w:t>
            </w:r>
          </w:p>
        </w:tc>
        <w:tc>
          <w:tcPr>
            <w:tcW w:w="1451" w:type="dxa"/>
            <w:vAlign w:val="center"/>
          </w:tcPr>
          <w:p w14:paraId="373F315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WES, RNA-seq, ARID1A-integrated signature</w:t>
            </w:r>
          </w:p>
        </w:tc>
        <w:tc>
          <w:tcPr>
            <w:tcW w:w="1085" w:type="dxa"/>
            <w:vAlign w:val="center"/>
          </w:tcPr>
          <w:p w14:paraId="7D5197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Prognostic</w:t>
            </w:r>
          </w:p>
        </w:tc>
        <w:tc>
          <w:tcPr>
            <w:tcW w:w="1906" w:type="dxa"/>
            <w:vAlign w:val="center"/>
          </w:tcPr>
          <w:p w14:paraId="377BEFE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Standard first-line immunochemotherapy</w:t>
            </w:r>
          </w:p>
        </w:tc>
        <w:tc>
          <w:tcPr>
            <w:tcW w:w="1106" w:type="dxa"/>
            <w:vAlign w:val="center"/>
          </w:tcPr>
          <w:p w14:paraId="10385A8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Reported</w:t>
            </w:r>
          </w:p>
        </w:tc>
        <w:tc>
          <w:tcPr>
            <w:tcW w:w="2494" w:type="dxa"/>
            <w:vAlign w:val="center"/>
          </w:tcPr>
          <w:p w14:paraId="1601B4D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  <w:t>Multi-omics signature predicted early treatment failure</w:t>
            </w:r>
          </w:p>
        </w:tc>
      </w:tr>
    </w:tbl>
    <w:p w14:paraId="614DBD43">
      <w:pPr>
        <w:spacing w:before="130" w:after="80"/>
        <w:jc w:val="both"/>
        <w:rPr>
          <w:rFonts w:hint="default" w:ascii="Times New Roman" w:hAnsi="Times New Roman" w:eastAsia="SimSun" w:cs="Times New Roman"/>
          <w:b/>
          <w:bCs/>
          <w:sz w:val="24"/>
          <w:szCs w:val="24"/>
          <w:lang w:val="en-US"/>
        </w:rPr>
      </w:pPr>
    </w:p>
    <w:p w14:paraId="15487173">
      <w:pPr>
        <w:spacing w:before="130" w:after="80"/>
        <w:jc w:val="both"/>
        <w:rPr>
          <w:rFonts w:hint="default" w:ascii="Times New Roman" w:hAnsi="Times New Roman" w:eastAsia="Arial" w:cs="Times New Roman"/>
          <w:b/>
          <w:bCs/>
          <w:i w:val="0"/>
          <w:i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115F827">
      <w:pPr>
        <w:spacing w:before="0" w:after="80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BE89DB">
      <w:pPr>
        <w:spacing w:before="130" w:after="80"/>
        <w:jc w:val="left"/>
        <w:rPr>
          <w:rFonts w:hint="default" w:ascii="Times New Roman" w:hAnsi="Times New Roman" w:cs="Times New Roman"/>
          <w:i w:val="0"/>
          <w:i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48227BD"/>
    <w:sectPr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284D37"/>
    <w:rsid w:val="421516F9"/>
    <w:rsid w:val="7C28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6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2026-09-08T18:22:00Z</dcterms:created>
  <dc:creator>sunday niyi</dc:creator>
  <cp:lastModifiedBy>sunday niyi</cp:lastModifiedBy>
  <dcterms:modified xsi:type="dcterms:W3CDTF">2026-09-08T18:23:07Z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5A5631680A6B4B14A530AFDB1FBD2567_11</vt:lpwstr>
  </property>
  <property fmtid="{D5CDD505-2E9C-101B-9397-08002B2CF9AE}" pid="4" name="KSOTemplateDocerSaveRecord">
    <vt:lpwstr>eyJoZGlkIjoiYWEzNzE0YjAwYjJmN2UxODYwNjhiZjcxYzBiYzFmNWQiLCJ1c2VySWQiOiIxNjY2NTgxNzc0MDkxIn0=</vt:lpwstr>
  </property>
</Properties>
</file>