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7AF1E" w14:textId="77777777" w:rsidR="00E64A02" w:rsidRDefault="00E64A02" w:rsidP="00E64A02">
      <w:pPr>
        <w:pStyle w:val="Heading1"/>
      </w:pPr>
      <w:r>
        <w:t>Additional files</w:t>
      </w:r>
    </w:p>
    <w:p w14:paraId="1BE5BA83" w14:textId="77777777" w:rsidR="00E64A02" w:rsidRDefault="00E64A02" w:rsidP="00E64A02">
      <w:pPr>
        <w:pStyle w:val="Heading2"/>
      </w:pPr>
      <w:r>
        <w:t>Additional file 1</w:t>
      </w:r>
    </w:p>
    <w:p w14:paraId="5730F84D" w14:textId="77777777" w:rsidR="00E64A02" w:rsidRDefault="00E64A02" w:rsidP="00E64A02">
      <w:pPr>
        <w:keepNext/>
        <w:keepLines/>
      </w:pPr>
      <w:r>
        <w:rPr>
          <w:b/>
        </w:rPr>
        <w:t xml:space="preserve">File format: </w:t>
      </w:r>
      <w:r>
        <w:t>MP4</w:t>
      </w:r>
    </w:p>
    <w:p w14:paraId="0CB2769C" w14:textId="77777777" w:rsidR="00E64A02" w:rsidRDefault="00E64A02" w:rsidP="00E64A02">
      <w:pPr>
        <w:keepNext/>
        <w:keepLines/>
      </w:pPr>
      <w:r>
        <w:rPr>
          <w:b/>
        </w:rPr>
        <w:t xml:space="preserve">Title: </w:t>
      </w:r>
      <w:r>
        <w:t>Intravitreal aflibercept injection and blade-created anterior chamber paracentesis</w:t>
      </w:r>
    </w:p>
    <w:p w14:paraId="357CE530" w14:textId="77777777" w:rsidR="00E64A02" w:rsidRDefault="00E64A02" w:rsidP="00E64A02">
      <w:pPr>
        <w:keepLines/>
      </w:pPr>
      <w:r>
        <w:rPr>
          <w:b/>
        </w:rPr>
        <w:t xml:space="preserve">Description: </w:t>
      </w:r>
      <w:r>
        <w:t>The video shows superotemporal intravitreal injection of aflibercept 2 mg in 0.05 mL using a 30-gauge needle and a two-step scleral entry technique 3.5 mm posterior to the limbus, compression of the scleral injection site with a sterile cotton swab, and subsequent clear corneal anterior chamber paracentesis under an operating microscope using a straight microvitreoretinal knife (VK-20GF; blade diameter, 0.9 mm). A focal white peripheral corneal opacity is visible before blade contact, and the blade enters through that area. Clear-fluid egress is visible during blade withdrawal.</w:t>
      </w:r>
    </w:p>
    <w:p w14:paraId="137123DA" w14:textId="77777777" w:rsidR="00E64A02" w:rsidRDefault="00E64A02" w:rsidP="00E64A02">
      <w:pPr>
        <w:pStyle w:val="Heading2"/>
      </w:pPr>
      <w:r>
        <w:lastRenderedPageBreak/>
        <w:t>Additional file 2</w:t>
      </w:r>
    </w:p>
    <w:p w14:paraId="76792B9F" w14:textId="77777777" w:rsidR="00E64A02" w:rsidRDefault="00E64A02" w:rsidP="00E64A02">
      <w:pPr>
        <w:keepNext/>
        <w:keepLines/>
      </w:pPr>
      <w:r>
        <w:rPr>
          <w:b/>
        </w:rPr>
        <w:t xml:space="preserve">File format: </w:t>
      </w:r>
      <w:r>
        <w:t>MP4</w:t>
      </w:r>
    </w:p>
    <w:p w14:paraId="218B7344" w14:textId="77777777" w:rsidR="00E64A02" w:rsidRDefault="00E64A02" w:rsidP="00E64A02">
      <w:pPr>
        <w:keepNext/>
        <w:keepLines/>
      </w:pPr>
      <w:r>
        <w:rPr>
          <w:b/>
        </w:rPr>
        <w:t xml:space="preserve">Title: </w:t>
      </w:r>
      <w:r>
        <w:t>Definitive wound closure and PFCL-assisted drainage of hemorrhagic suprachoroidal fluid</w:t>
      </w:r>
    </w:p>
    <w:p w14:paraId="7DD1BEF5" w14:textId="77777777" w:rsidR="00E64A02" w:rsidRDefault="00E64A02" w:rsidP="00E64A02">
      <w:pPr>
        <w:keepLines/>
      </w:pPr>
      <w:r>
        <w:rPr>
          <w:b/>
        </w:rPr>
        <w:t xml:space="preserve">Description: </w:t>
      </w:r>
      <w:r>
        <w:t>Selected intraoperative sequences demonstrate persistent leakage from the same paracentesis wound, unsuccessful stromal hydration, and cessation of leakage after a single interrupted 10-0 nylon suture. The operative sequence comprised initial external drainage through an anterior scleral window under anterior chamber infusion, followed by 25-gauge pars plana vitrectomy. Temporary perfluorocarbon liquid (PFCL) displaced residual posterior suprachoroidal fluid toward the first window; a second window was then created further anteriorly for additional drainage. The video includes drainage of fluid containing visible red blood components and posterior-segment views. PFCL was completely removed before closure. The retina was attached, with no retinal tears; neither fluid–air exchange nor gas tamponade was performed. Mild peripheral choroidal detachment remained at the end of surgery.</w:t>
      </w:r>
    </w:p>
    <w:p w14:paraId="7297B33D" w14:textId="77777777" w:rsidR="00E64A02" w:rsidRDefault="00E64A02" w:rsidP="00E64A02">
      <w:pPr>
        <w:pStyle w:val="Heading2"/>
      </w:pPr>
      <w:r>
        <w:t>Additional file 3</w:t>
      </w:r>
    </w:p>
    <w:p w14:paraId="40C41D47" w14:textId="77777777" w:rsidR="00E64A02" w:rsidRDefault="00E64A02" w:rsidP="00E64A02">
      <w:pPr>
        <w:keepNext/>
        <w:keepLines/>
      </w:pPr>
      <w:r>
        <w:rPr>
          <w:b/>
        </w:rPr>
        <w:t xml:space="preserve">File format: </w:t>
      </w:r>
      <w:r>
        <w:t>DOCX</w:t>
      </w:r>
    </w:p>
    <w:p w14:paraId="3EA3F8D8" w14:textId="77777777" w:rsidR="00E64A02" w:rsidRDefault="00E64A02" w:rsidP="00E64A02">
      <w:pPr>
        <w:keepNext/>
        <w:keepLines/>
      </w:pPr>
      <w:r>
        <w:rPr>
          <w:b/>
        </w:rPr>
        <w:t xml:space="preserve">Title: </w:t>
      </w:r>
      <w:r>
        <w:t>Clinical timeline</w:t>
      </w:r>
    </w:p>
    <w:p w14:paraId="338E5E52" w14:textId="77777777" w:rsidR="00E64A02" w:rsidRDefault="00E64A02" w:rsidP="00E64A02">
      <w:pPr>
        <w:keepLines/>
      </w:pPr>
      <w:r>
        <w:rPr>
          <w:b/>
        </w:rPr>
        <w:t xml:space="preserve">Description: </w:t>
      </w:r>
      <w:r>
        <w:t>Chronological summary of the index injection and paracentesis, persistent wound leakage and hypotony, referral, surgical repair, and follow-up through August 26, 2026.</w:t>
      </w:r>
    </w:p>
    <w:p w14:paraId="77C5402F" w14:textId="77777777" w:rsidR="00E64A02" w:rsidRDefault="00E64A02" w:rsidP="00E64A02">
      <w:pPr>
        <w:pStyle w:val="Heading2"/>
      </w:pPr>
      <w:r>
        <w:lastRenderedPageBreak/>
        <w:t>Additional file 4</w:t>
      </w:r>
    </w:p>
    <w:p w14:paraId="653C4774" w14:textId="77777777" w:rsidR="00E64A02" w:rsidRDefault="00E64A02" w:rsidP="00E64A02">
      <w:pPr>
        <w:keepNext/>
        <w:keepLines/>
      </w:pPr>
      <w:r>
        <w:rPr>
          <w:b/>
        </w:rPr>
        <w:t xml:space="preserve">File format: </w:t>
      </w:r>
      <w:r>
        <w:t>DOCX</w:t>
      </w:r>
    </w:p>
    <w:p w14:paraId="548E1B0F" w14:textId="77777777" w:rsidR="00E64A02" w:rsidRDefault="00E64A02" w:rsidP="00E64A02">
      <w:pPr>
        <w:keepNext/>
        <w:keepLines/>
      </w:pPr>
      <w:r>
        <w:rPr>
          <w:b/>
        </w:rPr>
        <w:t xml:space="preserve">Title: </w:t>
      </w:r>
      <w:r>
        <w:t>CARE checklist</w:t>
      </w:r>
    </w:p>
    <w:p w14:paraId="6AB0FA32" w14:textId="77777777" w:rsidR="00E64A02" w:rsidRDefault="00E64A02" w:rsidP="00E64A02">
      <w:pPr>
        <w:keepLines/>
      </w:pPr>
      <w:r>
        <w:rPr>
          <w:b/>
        </w:rPr>
        <w:t xml:space="preserve">Description: </w:t>
      </w:r>
      <w:r>
        <w:t>Completed CARE reporting checklist with locations in the English manuscript and additional files. Items not available in the clinical record, including a separately documented patient perspective, are explicitly identified.</w:t>
      </w:r>
    </w:p>
    <w:p w14:paraId="227B31A6" w14:textId="77777777" w:rsidR="00E023F9" w:rsidRDefault="00E023F9"/>
    <w:sectPr w:rsidR="00E023F9" w:rsidSect="00E64A02">
      <w:footerReference w:type="default" r:id="rId4"/>
      <w:pgSz w:w="12240" w:h="15840"/>
      <w:pgMar w:top="1440" w:right="1440" w:bottom="1440" w:left="1440" w:header="708" w:footer="708" w:gutter="0"/>
      <w:lnNumType w:countBy="1" w:distance="360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7A670" w14:textId="77777777" w:rsidR="00E64A02" w:rsidRDefault="00E64A02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02"/>
    <w:rsid w:val="000C4033"/>
    <w:rsid w:val="00173ED8"/>
    <w:rsid w:val="002F50B1"/>
    <w:rsid w:val="004B42CB"/>
    <w:rsid w:val="005F2B46"/>
    <w:rsid w:val="006E1731"/>
    <w:rsid w:val="00866D74"/>
    <w:rsid w:val="00882A73"/>
    <w:rsid w:val="008D4D88"/>
    <w:rsid w:val="00906905"/>
    <w:rsid w:val="0095305D"/>
    <w:rsid w:val="00B10170"/>
    <w:rsid w:val="00B260B7"/>
    <w:rsid w:val="00B85331"/>
    <w:rsid w:val="00C94D66"/>
    <w:rsid w:val="00DE7E69"/>
    <w:rsid w:val="00E023F9"/>
    <w:rsid w:val="00E6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DE66B"/>
  <w15:chartTrackingRefBased/>
  <w15:docId w15:val="{473BF84A-8E34-4D14-A8F0-3F47A839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A02"/>
    <w:pPr>
      <w:spacing w:after="0" w:line="480" w:lineRule="auto"/>
    </w:pPr>
    <w:rPr>
      <w:rFonts w:ascii="Times New Roman" w:eastAsia="Yu Mincho" w:hAnsi="Times New Roman"/>
      <w:color w:val="000000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4A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A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A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A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A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A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A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A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A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4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A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A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A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A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A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A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A0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4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A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4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A0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4A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A02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4A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A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A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64A02"/>
    <w:pPr>
      <w:tabs>
        <w:tab w:val="center" w:pos="4680"/>
        <w:tab w:val="right" w:pos="9360"/>
      </w:tabs>
      <w:spacing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4A02"/>
    <w:rPr>
      <w:rFonts w:ascii="Times New Roman" w:eastAsia="Yu Mincho" w:hAnsi="Times New Roman"/>
      <w:color w:val="000000"/>
      <w:kern w:val="0"/>
      <w:sz w:val="18"/>
      <w:szCs w:val="22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64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2026-10-05T15:01:00Z</dcterms:created>
  <dcterms:modified xsi:type="dcterms:W3CDTF">2026-10-05T15:02:00Z</dcterms:modified>
</cp:coreProperties>
</file>