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Additional file 4. CARE checklist</w:t>
      </w:r>
    </w:p>
    <w:p>
      <w:r>
        <w:t>Reporting map for the English manuscript. Item descriptions are abbreviated; numbering follows the CARE 2013 checklist. Page references correspond to the accompanying manuscript. Unavailable information is explicitly identified.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50"/>
        <w:gridCol w:w="1770"/>
        <w:gridCol w:w="2820"/>
        <w:gridCol w:w="4220"/>
      </w:tblGrid>
      <w:tr>
        <w:trPr>
          <w:cantSplit/>
          <w:tblHeader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/>
                <w:sz w:val="19"/>
              </w:rPr>
              <w:t>No.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/>
                <w:sz w:val="19"/>
              </w:rPr>
              <w:t>Reporting topic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/>
                <w:sz w:val="19"/>
              </w:rPr>
              <w:t>Location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/>
                <w:sz w:val="19"/>
              </w:rPr>
              <w:t>Response / qualification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Case-report title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Title, p. 1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Diagnosis, procedural context, and “case report” included.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Keywords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Keywords, p. 2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Five keywords, including “Case report”.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3a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Abstract: contribution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Abstract: Background, p. 1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Blade-created ACP wound leakage and progressive CD described with procedural/repair videos and imaging, in the context of prior needle-based reports.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3b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Abstract: clinical findings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Abstract: Case presentation, pp. 1–2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Demographics, hypotony, hand-motions vision, and Seidel findings reported.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3c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Abstract: treatment and outcome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Abstract: Case presentation, pp. 1–2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Suturing, drainage, PPV/PFCL, CD resolution, final vision, and follow-up reported.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3d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Abstract: lesson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Abstract: Conclusions, p. 2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Deliberate entry-site selection for repeated ACP, closure verification, and response to persistent Seidel-positive hypotony emphasized.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Background and rationale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Background, p. 3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Related reports and the educational rationale are discussed without claiming a new surgical technique.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5a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Patient characteristics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Case presentation, paragraph 1 (pp. 3–4)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Age, sex, ethnicity, affected eye, and underlying disease reported without personal identifiers.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5b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Presenting concerns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Case presentation, paragraph 3 (p. 5)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Post-procedure visual deterioration to hand motions reported. A separate symptom narrative is unavailable.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5c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Relevant history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Case presentation, paragraph 1 (pp. 3–4)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Medical and ocular history and antithrombotic medication use reported. Family, psychosocial, and genetic history not recorded in the material available for this report.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5d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Previous interventions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Case presentation, paragraph 1 (pp. 3–4); Case presentation, paragraph 6 (p. 6)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Cataract surgery, previous injections and ACPs, and subsequent anti-VEGF treatment described. Exact earlier ACP tracks were unrecorded.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Examination findings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Case presentation, paragraph 2 (pp. 4–5); Case presentation, paragraph 3 (p. 5); Case presentation, paragraph 4 (p. 5)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Globe tension assessed during cotton-swab compression, Goldmann tonometry, anterior chamber findings, and site-specific Seidel testing reported.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Chronological course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Additional file 3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Dated clinical timeline supplied, including referral and repair.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8a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Diagnostic methods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Case presentation, paragraph 3 (p. 5); Case presentation, paragraph 4 (p. 5); Case presentation, paragraph 5 (pp. 5–6)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Clinical examination, tonometry, ultrasonography, CT, and operative observations reported.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8b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Diagnostic constraints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Discussion and Conclusions, paragraph 4 (pp. 7–8); Discussion and Conclusions, paragraph 10 (p. 10)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Prior wound positions, opacity origin, and quantitative immediate pressure/flow data were unavailable.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8c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Diagnosis and alternatives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Discussion and Conclusions, paragraph 9 (pp. 9–10); Discussion and Conclusions, paragraph 11 (pp. 10–11)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Corneal versus scleral leakage and the basis for describing blood-containing suprachoroidal fluid are discussed.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8d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Prognostic features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Case presentation, paragraph 3 (p. 5); Case presentation, paragraph 4 (p. 5); Discussion and Conclusions, paragraph 12 (p. 11)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Severe hypotony, visual loss, progressive CD, and residual macular disease described; no formal prognostic stage applies.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9a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Interventions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Case presentation, paragraph 2 (pp. 4–5); Case presentation, paragraph 3 (p. 5); Case presentation, paragraph 5 (pp. 5–6); Case presentation, paragraph 6 (p. 6)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Injection, ACP, oral prednisolone, surgical repair, and subsequent faricimab reported.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9b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Treatment administration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Case presentation, paragraph 2 (pp. 4–5); Case presentation, paragraph 3 (p. 5); Case presentation, paragraph 5 (pp. 5–6); Case presentation, paragraph 6 (p. 6)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Aflibercept dose/volume, needle and blade specifications, prednisolone daily dose, surgical sequence, and faricimab schedule reported. Prednisolone stop/taper date and faricimab dose are unavailable in the supplied record.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9c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Treatment changes and reasons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Case presentation, paragraph 3 (p. 5); Case presentation, paragraph 4 (p. 5); Case presentation, paragraph 6 (p. 6)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Referral for persistent findings, surgery for progression, and subsequent treatment of active macular neovascularization described.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10a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Assessed outcomes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Case presentation, paragraph 6 (p. 6)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Clinician-assessed vision, IOP, CD, and recurrence reported. Separate patient-reported outcome measures unavailable.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10b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Follow-up results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Case presentation, paragraph 6 (p. 6); Fig. 3; Additional file 3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Anatomic resolution, visual acuity, IOP, and residual intraretinal fluid reported through August 26, 2026.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10c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Adherence and tolerability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Case presentation, paragraph 6 (p. 6)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Eight subsequent injections were documented. Formal adherence or tolerability measures were not collected in the material available for this report.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10d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Adverse events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Case presentation, paragraphs 3–6 (pp. 5–6); Discussion and Conclusions, paragraph 12 (p. 11)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Persistent leakage, hypotony, progressive CD, and incomplete visual recovery reported.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11a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Strengths and limitations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Discussion and Conclusions, paragraph 4 (pp. 7–8); Discussion and Conclusions, paragraphs 9–13 (pp. 9–11)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Video/imaging documentation and case-specific uncertainties described; no comparison of blade and needle safety is inferred.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11b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Related literature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Discussion and Conclusions, pp. 6–11; Table 1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Relevant ACP, corneal/scleral leakage, CD, and surgical literature compared.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11c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Basis for interpretation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Discussion and Conclusions, paragraphs 8–11 (pp. 9–11)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Site-specific leakage, response to suturing, imaging, and observed drainage interpreted with appropriate limits.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11d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Concluding lesson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Discussion and Conclusions, paragraph 14 (p. 11)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The concluding paragraph addresses deliberate avoidance of identifiable prior ACP wounds, closure verification, and early response to persistent leakage.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Patient perspective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Not reported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A separate patient-perspective narrative is not available. It has not been reconstructed or inferred.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177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Publication consent</w:t>
            </w:r>
          </w:p>
        </w:tc>
        <w:tc>
          <w:tcPr>
            <w:tcW w:type="dxa" w:w="28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Declarations: Consent for publication, p. 12</w:t>
            </w:r>
          </w:p>
        </w:tc>
        <w:tc>
          <w:tcPr>
            <w:tcW w:type="dxa" w:w="4220"/>
          </w:tcPr>
          <w:p>
            <w:pPr>
              <w:keepNext w:val="0"/>
              <w:spacing w:line="252" w:lineRule="auto" w:before="0" w:after="60"/>
            </w:pPr>
            <w:r>
              <w:rPr>
                <w:b w:val="0"/>
                <w:sz w:val="19"/>
              </w:rPr>
              <w:t>Written consent for publication of the case, images, and videos is documented in the manuscript.</w:t>
            </w:r>
          </w:p>
        </w:tc>
      </w:tr>
    </w:tbl>
    <w:p>
      <w:pPr>
        <w:pStyle w:val="Caption"/>
      </w:pPr>
      <w:r>
        <w:t>Checklist source: CARE Case Report Guidelines, 2013 CARE Checklist. https://www.care-statement.org/checklist (accessed September 6, 2026). Descriptions above are condensed reporting labels, not a reproduction of the official form.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before="0" w:after="120" w:line="300" w:lineRule="auto"/>
      <w:jc w:val="left"/>
    </w:pPr>
    <w:rPr>
      <w:rFonts w:ascii="Times New Roman" w:hAnsi="Times New Roman" w:eastAsia="Yu Mincho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Yu Mincho"/>
      <w:b w:val="0"/>
      <w:color w:val="000000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Yu Mincho"/>
      <w:b w:val="0"/>
      <w:color w:val="00000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40" w:after="120" w:line="300" w:lineRule="auto"/>
      <w:outlineLvl w:val="0"/>
    </w:pPr>
    <w:rPr>
      <w:rFonts w:ascii="Times New Roman" w:hAnsi="Times New Roman" w:eastAsia="Yu Mincho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60" w:after="80" w:line="300" w:lineRule="auto"/>
      <w:outlineLvl w:val="1"/>
    </w:pPr>
    <w:rPr>
      <w:rFonts w:ascii="Times New Roman" w:hAnsi="Times New Roman" w:eastAsia="Yu Mincho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20" w:after="80" w:line="300" w:lineRule="auto"/>
      <w:outlineLvl w:val="2"/>
    </w:pPr>
    <w:rPr>
      <w:rFonts w:ascii="Times New Roman" w:hAnsi="Times New Roman" w:eastAsia="Yu Mincho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300" w:lineRule="auto" w:before="0"/>
      <w:contextualSpacing/>
    </w:pPr>
    <w:rPr>
      <w:rFonts w:ascii="Times New Roman" w:hAnsi="Times New Roman" w:eastAsia="Yu Mincho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widowControl/>
      <w:numPr>
        <w:ilvl w:val="1"/>
      </w:numPr>
      <w:spacing w:before="0" w:after="160" w:line="300" w:lineRule="auto"/>
    </w:pPr>
    <w:rPr>
      <w:rFonts w:ascii="Times New Roman" w:hAnsi="Times New Roman" w:eastAsia="Yu Mincho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300" w:lineRule="auto" w:before="80" w:after="80"/>
    </w:pPr>
    <w:rPr>
      <w:rFonts w:ascii="Times New Roman" w:hAnsi="Times New Roman" w:eastAsia="Yu Mincho"/>
      <w:b w:val="0"/>
      <w:bCs/>
      <w:color w:val="000000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Akira Saitoh</dc:creator>
  <cp:keywords/>
  <dc:description>generated by python-docx</dc:description>
  <cp:lastModifiedBy>Akira Saitoh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