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Additional file 3. Clinical timeline</w:t>
      </w:r>
    </w:p>
    <w:p>
      <w:r>
        <w:t>Chronological course of the right eye from the index procedure through long-term follow-up.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800"/>
        <w:gridCol w:w="3480"/>
        <w:gridCol w:w="4080"/>
      </w:tblGrid>
      <w:tr>
        <w:trPr>
          <w:cantSplit/>
          <w:tblHeader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20"/>
              </w:rPr>
              <w:t>Date / interval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20"/>
              </w:rPr>
              <w:t>Findings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20"/>
              </w:rPr>
              <w:t>Management / outcome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Before July 29, 2025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Right pseudophakic eye with neovascular age-related macular degeneration; four previous ACPs documented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As-needed intravitreal aflibercept; main cataract incision superior sclerocorneal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July 29, 2025 (day 0)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Pre-injection corrected visual acuity 0.4 (20/50); globe felt markedly tense during cotton-swab compression of the scleral injection site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24th aflibercept injection, 2 mg/0.05 mL; blade ACP. Clear-fluid egress during withdrawal. Immediate IOP was not measured; end-procedure Seidel testing was not documented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July 30 (day 1)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Hand motions; Goldmann IOP &lt;5 mmHg; shallow anterior chamber; corneal ACP Seidel-positive, scleral injection site negative; extensive CD on ultrasonography and CT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Oral prednisolone 15 mg/day and short observation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July 31 (day 2)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Hand motions, hypotony, leakage, shallow anterior chamber, and CD persisted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University referral initiated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August 4 (day 6)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Earliest available university assessment after referral arrangements; CD progressed, with mixed echogenic and hypoechoic contents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Same-day repair: failed hydration → one 10-0 nylon suture → first anterior external drainage → 25-gauge PPV → temporary PFCL → second, more anterior window → complete PFCL removal; no gas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August 5 (postoperative day 1)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IOP 20 mmHg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Postoperative follow-up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August 18 (postoperative day 14)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Corrected visual acuity 0.15 (approximately 20/133); IOP 18 mmHg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Complete CD resolution on B-scan ultrasonography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September 3, 2025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Active macular neovascularization; corrected visual acuity 0.2 (20/100); IOP 14 mmHg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Faricimab initiated at the same university hospital without ACP; three loading injections, then treat-and-extend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August 26, 2026</w:t>
            </w:r>
          </w:p>
        </w:tc>
        <w:tc>
          <w:tcPr>
            <w:tcW w:type="dxa" w:w="34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Eight faricimab injections without ACP; corrected visual acuity 0.15 (approximately 20/133); IOP 15 mmHg; residual macular intraretinal fluid</w:t>
            </w:r>
          </w:p>
        </w:tc>
        <w:tc>
          <w:tcPr>
            <w:tcW w:type="dxa" w:w="408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20"/>
              </w:rPr>
              <w:t>No recurrent leakage, hypotony, or CD; no further vitreoretinal surgery or wound repair</w:t>
            </w:r>
          </w:p>
        </w:tc>
      </w:tr>
    </w:tbl>
    <w:p>
      <w:pPr>
        <w:pStyle w:val="Caption"/>
      </w:pPr>
      <w:r>
        <w:t>ACP, anterior chamber paracentesis; CD, choroidal detachment; CT, computed tomography; IOP, intraocular pressure; PFCL, perfluorocarbon liquid; PPV, pars plana vitrectomy. Visual acuity is reported in decimal notation with Snellen equivalents. Day 0 is July 29, 2025; postoperative days refer to the repair on August 4, 2025.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120" w:line="300" w:lineRule="auto"/>
      <w:jc w:val="left"/>
    </w:pPr>
    <w:rPr>
      <w:rFonts w:ascii="Times New Roman" w:hAnsi="Times New Roman" w:eastAsia="Yu Mincho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Yu Mincho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Yu Mincho"/>
      <w:b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20" w:line="300" w:lineRule="auto"/>
      <w:outlineLvl w:val="0"/>
    </w:pPr>
    <w:rPr>
      <w:rFonts w:ascii="Times New Roman" w:hAnsi="Times New Roman" w:eastAsia="Yu Mincho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80" w:line="300" w:lineRule="auto"/>
      <w:outlineLvl w:val="1"/>
    </w:pPr>
    <w:rPr>
      <w:rFonts w:ascii="Times New Roman" w:hAnsi="Times New Roman" w:eastAsia="Yu Mincho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20" w:after="80" w:line="300" w:lineRule="auto"/>
      <w:outlineLvl w:val="2"/>
    </w:pPr>
    <w:rPr>
      <w:rFonts w:ascii="Times New Roman" w:hAnsi="Times New Roman" w:eastAsia="Yu Mincho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300" w:lineRule="auto" w:before="0"/>
      <w:contextualSpacing/>
    </w:pPr>
    <w:rPr>
      <w:rFonts w:ascii="Times New Roman" w:hAnsi="Times New Roman" w:eastAsia="Yu Mincho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widowControl/>
      <w:numPr>
        <w:ilvl w:val="1"/>
      </w:numPr>
      <w:spacing w:before="0" w:after="160" w:line="300" w:lineRule="auto"/>
    </w:pPr>
    <w:rPr>
      <w:rFonts w:ascii="Times New Roman" w:hAnsi="Times New Roman" w:eastAsia="Yu Mincho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300" w:lineRule="auto" w:before="80" w:after="80"/>
    </w:pPr>
    <w:rPr>
      <w:rFonts w:ascii="Times New Roman" w:hAnsi="Times New Roman" w:eastAsia="Yu Mincho"/>
      <w:b w:val="0"/>
      <w:bCs/>
      <w:color w:val="000000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Saitoh</dc:creator>
  <cp:keywords/>
  <dc:description>generated by python-docx</dc:description>
  <cp:lastModifiedBy>Akira Saitoh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