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D45E8" w14:textId="23A8ED3D" w:rsidR="00BA5822" w:rsidRDefault="007B7010">
      <w:r>
        <w:rPr>
          <w:rFonts w:hint="eastAsia"/>
          <w:noProof/>
        </w:rPr>
        <w:drawing>
          <wp:inline distT="0" distB="0" distL="0" distR="0" wp14:anchorId="0892B178" wp14:editId="7E9B0FE2">
            <wp:extent cx="5163140" cy="8448491"/>
            <wp:effectExtent l="0" t="0" r="0" b="0"/>
            <wp:docPr id="19722535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961" cy="847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95523" w14:textId="4A54DF67" w:rsidR="007B7010" w:rsidRDefault="007B7010" w:rsidP="007B7010">
      <w:pPr>
        <w:jc w:val="left"/>
        <w:rPr>
          <w:rFonts w:ascii="Times New Roman" w:hAnsi="Times New Roman" w:cs="Times New Roman"/>
        </w:rPr>
      </w:pPr>
      <w:r w:rsidRPr="007B7010">
        <w:rPr>
          <w:rFonts w:ascii="Times New Roman" w:hAnsi="Times New Roman" w:cs="Times New Roman"/>
          <w:b/>
          <w:bCs/>
        </w:rPr>
        <w:t>Figure S1.</w:t>
      </w:r>
      <w:r w:rsidRPr="007B7010">
        <w:rPr>
          <w:rFonts w:ascii="Times New Roman" w:hAnsi="Times New Roman" w:cs="Times New Roman"/>
        </w:rPr>
        <w:t xml:space="preserve"> Secondary structure of tRNA of </w:t>
      </w:r>
      <w:r w:rsidRPr="007B7010">
        <w:rPr>
          <w:rFonts w:ascii="Times New Roman" w:hAnsi="Times New Roman" w:cs="Times New Roman"/>
          <w:i/>
          <w:iCs/>
        </w:rPr>
        <w:t xml:space="preserve">Arguda </w:t>
      </w:r>
      <w:proofErr w:type="spellStart"/>
      <w:r w:rsidRPr="007B7010">
        <w:rPr>
          <w:rFonts w:ascii="Times New Roman" w:hAnsi="Times New Roman" w:cs="Times New Roman"/>
          <w:i/>
          <w:iCs/>
        </w:rPr>
        <w:t>vinata</w:t>
      </w:r>
      <w:proofErr w:type="spellEnd"/>
      <w:r w:rsidRPr="007B7010">
        <w:rPr>
          <w:rFonts w:ascii="Times New Roman" w:hAnsi="Times New Roman" w:cs="Times New Roman"/>
        </w:rPr>
        <w:t xml:space="preserve"> (Moore, 1865).</w:t>
      </w:r>
    </w:p>
    <w:p w14:paraId="51CBC256" w14:textId="49CEE4A9" w:rsidR="007B7010" w:rsidRDefault="007B7010" w:rsidP="007B7010">
      <w:pPr>
        <w:jc w:val="left"/>
        <w:rPr>
          <w:rFonts w:ascii="Times New Roman" w:eastAsia="等线" w:hAnsi="Times New Roman" w:cs="Times New Roman"/>
          <w:color w:val="000000"/>
          <w:sz w:val="20"/>
          <w:szCs w:val="20"/>
        </w:rPr>
      </w:pPr>
      <w:r>
        <w:rPr>
          <w:rFonts w:ascii="Times New Roman" w:eastAsia="等线" w:hAnsi="Times New Roman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20E4A629" wp14:editId="7789DAC8">
            <wp:extent cx="5164758" cy="8413186"/>
            <wp:effectExtent l="0" t="0" r="0" b="6985"/>
            <wp:docPr id="12814453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607" cy="8414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9469B" w14:textId="310222CB" w:rsidR="007B7010" w:rsidRDefault="007B7010" w:rsidP="007B7010">
      <w:pPr>
        <w:jc w:val="left"/>
        <w:rPr>
          <w:rFonts w:ascii="Times New Roman" w:hAnsi="Times New Roman" w:cs="Times New Roman"/>
        </w:rPr>
      </w:pPr>
      <w:r w:rsidRPr="007B7010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2</w:t>
      </w:r>
      <w:r w:rsidRPr="007B7010">
        <w:rPr>
          <w:rFonts w:ascii="Times New Roman" w:hAnsi="Times New Roman" w:cs="Times New Roman"/>
          <w:b/>
          <w:bCs/>
        </w:rPr>
        <w:t>.</w:t>
      </w:r>
      <w:r w:rsidRPr="007B7010">
        <w:rPr>
          <w:rFonts w:ascii="Times New Roman" w:hAnsi="Times New Roman" w:cs="Times New Roman"/>
        </w:rPr>
        <w:t xml:space="preserve"> Secondary structure of tRNA of </w:t>
      </w:r>
      <w:proofErr w:type="spellStart"/>
      <w:r w:rsidRPr="007B7010">
        <w:rPr>
          <w:rFonts w:ascii="Times New Roman" w:hAnsi="Times New Roman" w:cs="Times New Roman"/>
          <w:i/>
          <w:iCs/>
        </w:rPr>
        <w:t>Baodera</w:t>
      </w:r>
      <w:proofErr w:type="spellEnd"/>
      <w:r w:rsidRPr="007B701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7010">
        <w:rPr>
          <w:rFonts w:ascii="Times New Roman" w:hAnsi="Times New Roman" w:cs="Times New Roman"/>
          <w:i/>
          <w:iCs/>
        </w:rPr>
        <w:t>khasiana</w:t>
      </w:r>
      <w:proofErr w:type="spellEnd"/>
      <w:r w:rsidRPr="007B7010">
        <w:rPr>
          <w:rFonts w:ascii="Times New Roman" w:hAnsi="Times New Roman" w:cs="Times New Roman"/>
        </w:rPr>
        <w:t xml:space="preserve"> (Moore),1879.</w:t>
      </w:r>
    </w:p>
    <w:p w14:paraId="4F78EAD7" w14:textId="0718357C" w:rsidR="007B7010" w:rsidRDefault="007B7010" w:rsidP="007B7010">
      <w:pPr>
        <w:jc w:val="left"/>
        <w:rPr>
          <w:rFonts w:ascii="Times New Roman" w:eastAsia="等线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44A4624" wp14:editId="3E05974B">
            <wp:extent cx="5101575" cy="8378481"/>
            <wp:effectExtent l="0" t="0" r="4445" b="3810"/>
            <wp:docPr id="21154725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67" cy="8395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5A28D" w14:textId="0224982D" w:rsidR="007B7010" w:rsidRDefault="007B7010" w:rsidP="007B7010">
      <w:pPr>
        <w:jc w:val="left"/>
        <w:rPr>
          <w:rFonts w:ascii="Times New Roman" w:hAnsi="Times New Roman" w:cs="Times New Roman"/>
        </w:rPr>
      </w:pPr>
      <w:r w:rsidRPr="007B7010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3</w:t>
      </w:r>
      <w:r w:rsidRPr="007B7010">
        <w:rPr>
          <w:rFonts w:ascii="Times New Roman" w:hAnsi="Times New Roman" w:cs="Times New Roman"/>
          <w:b/>
          <w:bCs/>
        </w:rPr>
        <w:t>.</w:t>
      </w:r>
      <w:r w:rsidRPr="007B7010">
        <w:rPr>
          <w:rFonts w:ascii="Times New Roman" w:hAnsi="Times New Roman" w:cs="Times New Roman"/>
        </w:rPr>
        <w:t xml:space="preserve"> Secondary structure of tRNA of </w:t>
      </w:r>
      <w:proofErr w:type="spellStart"/>
      <w:r w:rsidRPr="007B7010">
        <w:rPr>
          <w:rFonts w:ascii="Times New Roman" w:hAnsi="Times New Roman" w:cs="Times New Roman"/>
          <w:i/>
          <w:iCs/>
        </w:rPr>
        <w:t>Cerberolebeda</w:t>
      </w:r>
      <w:proofErr w:type="spellEnd"/>
      <w:r w:rsidRPr="007B701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7010">
        <w:rPr>
          <w:rFonts w:ascii="Times New Roman" w:hAnsi="Times New Roman" w:cs="Times New Roman"/>
          <w:i/>
          <w:iCs/>
        </w:rPr>
        <w:t>styx</w:t>
      </w:r>
      <w:proofErr w:type="spellEnd"/>
      <w:r w:rsidRPr="007B701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7010">
        <w:rPr>
          <w:rFonts w:ascii="Times New Roman" w:hAnsi="Times New Roman" w:cs="Times New Roman"/>
        </w:rPr>
        <w:t>Zolotuhin</w:t>
      </w:r>
      <w:proofErr w:type="spellEnd"/>
      <w:r w:rsidRPr="007B7010">
        <w:rPr>
          <w:rFonts w:ascii="Times New Roman" w:hAnsi="Times New Roman" w:cs="Times New Roman"/>
        </w:rPr>
        <w:t>, 1995.</w:t>
      </w:r>
    </w:p>
    <w:p w14:paraId="72AA9509" w14:textId="7EE03F42" w:rsidR="007B7010" w:rsidRDefault="007B7010" w:rsidP="007B7010">
      <w:pPr>
        <w:jc w:val="left"/>
        <w:rPr>
          <w:rFonts w:ascii="Times New Roman" w:eastAsia="等线" w:hAnsi="Times New Roman" w:cs="Times New Roman"/>
          <w:color w:val="000000"/>
          <w:sz w:val="20"/>
          <w:szCs w:val="20"/>
        </w:rPr>
      </w:pPr>
      <w:r>
        <w:rPr>
          <w:rFonts w:ascii="Times New Roman" w:eastAsia="等线" w:hAnsi="Times New Roman" w:cs="Times New Roman" w:hint="eastAsia"/>
          <w:noProof/>
          <w:color w:val="000000"/>
          <w:sz w:val="20"/>
          <w:szCs w:val="20"/>
        </w:rPr>
        <w:lastRenderedPageBreak/>
        <w:drawing>
          <wp:inline distT="0" distB="0" distL="0" distR="0" wp14:anchorId="6041BAD1" wp14:editId="13765773">
            <wp:extent cx="5154532" cy="8489672"/>
            <wp:effectExtent l="0" t="0" r="8255" b="6985"/>
            <wp:docPr id="138673839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822" cy="8506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F4736" w14:textId="29E91852" w:rsidR="007B7010" w:rsidRPr="007B7010" w:rsidRDefault="007B7010" w:rsidP="007B7010">
      <w:pPr>
        <w:jc w:val="left"/>
        <w:rPr>
          <w:rFonts w:ascii="Times New Roman" w:hAnsi="Times New Roman" w:cs="Times New Roman"/>
        </w:rPr>
      </w:pPr>
      <w:r w:rsidRPr="007B7010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4</w:t>
      </w:r>
      <w:r w:rsidRPr="007B7010">
        <w:rPr>
          <w:rFonts w:ascii="Times New Roman" w:hAnsi="Times New Roman" w:cs="Times New Roman"/>
          <w:b/>
          <w:bCs/>
        </w:rPr>
        <w:t>.</w:t>
      </w:r>
      <w:r w:rsidRPr="007B7010">
        <w:rPr>
          <w:rFonts w:ascii="Times New Roman" w:hAnsi="Times New Roman" w:cs="Times New Roman"/>
        </w:rPr>
        <w:t xml:space="preserve"> Secondary structure of tRNA of </w:t>
      </w:r>
      <w:proofErr w:type="spellStart"/>
      <w:r w:rsidRPr="007B7010">
        <w:rPr>
          <w:rFonts w:ascii="Times New Roman" w:hAnsi="Times New Roman" w:cs="Times New Roman"/>
          <w:i/>
          <w:iCs/>
        </w:rPr>
        <w:t>Crinocraspeda</w:t>
      </w:r>
      <w:proofErr w:type="spellEnd"/>
      <w:r w:rsidRPr="007B701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7010">
        <w:rPr>
          <w:rFonts w:ascii="Times New Roman" w:hAnsi="Times New Roman" w:cs="Times New Roman"/>
          <w:i/>
          <w:iCs/>
        </w:rPr>
        <w:t>torrida</w:t>
      </w:r>
      <w:proofErr w:type="spellEnd"/>
      <w:r w:rsidRPr="007B7010">
        <w:rPr>
          <w:rFonts w:ascii="Times New Roman" w:hAnsi="Times New Roman" w:cs="Times New Roman"/>
          <w:i/>
          <w:iCs/>
        </w:rPr>
        <w:t xml:space="preserve"> </w:t>
      </w:r>
      <w:r w:rsidRPr="007B7010">
        <w:rPr>
          <w:rFonts w:ascii="Times New Roman" w:hAnsi="Times New Roman" w:cs="Times New Roman"/>
        </w:rPr>
        <w:t>(Moore), 1879.</w:t>
      </w:r>
    </w:p>
    <w:p w14:paraId="1017AC72" w14:textId="4F503F98" w:rsidR="007B7010" w:rsidRDefault="007B7010" w:rsidP="007B7010">
      <w:pPr>
        <w:jc w:val="left"/>
        <w:rPr>
          <w:rFonts w:ascii="Times New Roman" w:eastAsia="等线" w:hAnsi="Times New Roman" w:cs="Times New Roman"/>
          <w:color w:val="000000"/>
          <w:sz w:val="20"/>
          <w:szCs w:val="20"/>
        </w:rPr>
      </w:pPr>
      <w:r>
        <w:rPr>
          <w:rFonts w:ascii="Times New Roman" w:eastAsia="等线" w:hAnsi="Times New Roman" w:cs="Times New Roman" w:hint="eastAsia"/>
          <w:noProof/>
          <w:color w:val="000000"/>
          <w:sz w:val="20"/>
          <w:szCs w:val="20"/>
        </w:rPr>
        <w:lastRenderedPageBreak/>
        <w:drawing>
          <wp:inline distT="0" distB="0" distL="0" distR="0" wp14:anchorId="7761C8D6" wp14:editId="53FC5C86">
            <wp:extent cx="5154607" cy="8420247"/>
            <wp:effectExtent l="0" t="0" r="8255" b="0"/>
            <wp:docPr id="208184440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782" cy="8436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533C8" w14:textId="2809ACD1" w:rsidR="007B7010" w:rsidRPr="007B7010" w:rsidRDefault="007B7010" w:rsidP="007B7010">
      <w:pPr>
        <w:jc w:val="left"/>
        <w:rPr>
          <w:rFonts w:ascii="Times New Roman" w:hAnsi="Times New Roman" w:cs="Times New Roman"/>
        </w:rPr>
      </w:pPr>
      <w:r w:rsidRPr="007B7010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5</w:t>
      </w:r>
      <w:r w:rsidRPr="007B7010">
        <w:rPr>
          <w:rFonts w:ascii="Times New Roman" w:hAnsi="Times New Roman" w:cs="Times New Roman"/>
          <w:b/>
          <w:bCs/>
        </w:rPr>
        <w:t>.</w:t>
      </w:r>
      <w:r w:rsidRPr="007B7010">
        <w:rPr>
          <w:rFonts w:ascii="Times New Roman" w:hAnsi="Times New Roman" w:cs="Times New Roman"/>
        </w:rPr>
        <w:t xml:space="preserve"> Secondary structure of tRNA of </w:t>
      </w:r>
      <w:proofErr w:type="spellStart"/>
      <w:r w:rsidRPr="007B7010">
        <w:rPr>
          <w:rFonts w:ascii="Times New Roman" w:hAnsi="Times New Roman" w:cs="Times New Roman"/>
          <w:i/>
          <w:iCs/>
        </w:rPr>
        <w:t>Eteinopla</w:t>
      </w:r>
      <w:proofErr w:type="spellEnd"/>
      <w:r w:rsidRPr="007B7010">
        <w:rPr>
          <w:rFonts w:ascii="Times New Roman" w:hAnsi="Times New Roman" w:cs="Times New Roman"/>
          <w:i/>
          <w:iCs/>
        </w:rPr>
        <w:t xml:space="preserve"> signata </w:t>
      </w:r>
      <w:r w:rsidRPr="007B7010">
        <w:rPr>
          <w:rFonts w:ascii="Times New Roman" w:hAnsi="Times New Roman" w:cs="Times New Roman"/>
        </w:rPr>
        <w:t>(Moore), 1879.</w:t>
      </w:r>
    </w:p>
    <w:p w14:paraId="0B98F3BA" w14:textId="0030A3AA" w:rsidR="007B7010" w:rsidRDefault="007B7010" w:rsidP="007B7010">
      <w:pPr>
        <w:jc w:val="left"/>
        <w:rPr>
          <w:rFonts w:ascii="Times New Roman" w:eastAsia="等线" w:hAnsi="Times New Roman" w:cs="Times New Roman"/>
          <w:color w:val="000000"/>
          <w:sz w:val="20"/>
          <w:szCs w:val="20"/>
        </w:rPr>
      </w:pPr>
      <w:r>
        <w:rPr>
          <w:rFonts w:ascii="Times New Roman" w:eastAsia="等线" w:hAnsi="Times New Roman" w:cs="Times New Roman" w:hint="eastAsia"/>
          <w:noProof/>
          <w:color w:val="000000"/>
          <w:sz w:val="20"/>
          <w:szCs w:val="20"/>
        </w:rPr>
        <w:lastRenderedPageBreak/>
        <w:drawing>
          <wp:inline distT="0" distB="0" distL="0" distR="0" wp14:anchorId="20AD60D8" wp14:editId="30FC23F6">
            <wp:extent cx="5172185" cy="8448961"/>
            <wp:effectExtent l="0" t="0" r="0" b="9525"/>
            <wp:docPr id="153713878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100" cy="846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D390C" w14:textId="7CBE9CED" w:rsidR="007B7010" w:rsidRPr="007B7010" w:rsidRDefault="007B7010" w:rsidP="007B7010">
      <w:pPr>
        <w:jc w:val="left"/>
        <w:rPr>
          <w:rFonts w:ascii="Times New Roman" w:hAnsi="Times New Roman" w:cs="Times New Roman"/>
        </w:rPr>
      </w:pPr>
      <w:r w:rsidRPr="007B7010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6</w:t>
      </w:r>
      <w:r w:rsidRPr="007B7010">
        <w:rPr>
          <w:rFonts w:ascii="Times New Roman" w:hAnsi="Times New Roman" w:cs="Times New Roman"/>
          <w:b/>
          <w:bCs/>
        </w:rPr>
        <w:t>.</w:t>
      </w:r>
      <w:r w:rsidRPr="007B7010">
        <w:rPr>
          <w:rFonts w:ascii="Times New Roman" w:hAnsi="Times New Roman" w:cs="Times New Roman"/>
        </w:rPr>
        <w:t xml:space="preserve"> Secondary structure of tRNA of </w:t>
      </w:r>
      <w:r w:rsidRPr="007B7010">
        <w:rPr>
          <w:rFonts w:ascii="Times New Roman" w:hAnsi="Times New Roman" w:cs="Times New Roman"/>
          <w:i/>
          <w:iCs/>
        </w:rPr>
        <w:t>Lebeda nobilis</w:t>
      </w:r>
      <w:r w:rsidRPr="007B7010">
        <w:rPr>
          <w:rFonts w:ascii="Times New Roman" w:hAnsi="Times New Roman" w:cs="Times New Roman"/>
        </w:rPr>
        <w:t xml:space="preserve"> Walker, 1855.</w:t>
      </w:r>
    </w:p>
    <w:p w14:paraId="3D4C6339" w14:textId="3F0048F6" w:rsidR="007B7010" w:rsidRDefault="007B7010" w:rsidP="007B7010">
      <w:pPr>
        <w:jc w:val="left"/>
        <w:rPr>
          <w:rFonts w:ascii="Times New Roman" w:eastAsia="等线" w:hAnsi="Times New Roman" w:cs="Times New Roman"/>
          <w:color w:val="000000"/>
          <w:sz w:val="20"/>
          <w:szCs w:val="20"/>
        </w:rPr>
      </w:pPr>
      <w:r>
        <w:rPr>
          <w:rFonts w:ascii="Times New Roman" w:eastAsia="等线" w:hAnsi="Times New Roman" w:cs="Times New Roman" w:hint="eastAsia"/>
          <w:noProof/>
          <w:color w:val="000000"/>
          <w:sz w:val="20"/>
          <w:szCs w:val="20"/>
        </w:rPr>
        <w:lastRenderedPageBreak/>
        <w:drawing>
          <wp:inline distT="0" distB="0" distL="0" distR="0" wp14:anchorId="2719A4E3" wp14:editId="516F2C1D">
            <wp:extent cx="5295147" cy="8512040"/>
            <wp:effectExtent l="0" t="0" r="1270" b="3810"/>
            <wp:docPr id="16780034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946" cy="8522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4399E" w14:textId="28572144" w:rsidR="007B7010" w:rsidRPr="007B7010" w:rsidRDefault="007B7010" w:rsidP="007B7010">
      <w:pPr>
        <w:jc w:val="left"/>
        <w:rPr>
          <w:rFonts w:ascii="Times New Roman" w:hAnsi="Times New Roman" w:cs="Times New Roman"/>
        </w:rPr>
      </w:pPr>
      <w:r w:rsidRPr="007B7010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7</w:t>
      </w:r>
      <w:r w:rsidRPr="007B7010">
        <w:rPr>
          <w:rFonts w:ascii="Times New Roman" w:hAnsi="Times New Roman" w:cs="Times New Roman"/>
          <w:b/>
          <w:bCs/>
        </w:rPr>
        <w:t>.</w:t>
      </w:r>
      <w:r w:rsidRPr="007B7010">
        <w:rPr>
          <w:rFonts w:ascii="Times New Roman" w:hAnsi="Times New Roman" w:cs="Times New Roman"/>
        </w:rPr>
        <w:t xml:space="preserve"> Secondary structure of tRNA of </w:t>
      </w:r>
      <w:proofErr w:type="spellStart"/>
      <w:r w:rsidRPr="007B7010">
        <w:rPr>
          <w:rFonts w:ascii="Times New Roman" w:hAnsi="Times New Roman" w:cs="Times New Roman"/>
          <w:i/>
          <w:iCs/>
        </w:rPr>
        <w:t>Metanastria</w:t>
      </w:r>
      <w:proofErr w:type="spellEnd"/>
      <w:r w:rsidRPr="007B701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7010">
        <w:rPr>
          <w:rFonts w:ascii="Times New Roman" w:hAnsi="Times New Roman" w:cs="Times New Roman"/>
          <w:i/>
          <w:iCs/>
        </w:rPr>
        <w:t>hyrtaca</w:t>
      </w:r>
      <w:proofErr w:type="spellEnd"/>
      <w:r w:rsidRPr="007B7010">
        <w:rPr>
          <w:rFonts w:ascii="Times New Roman" w:hAnsi="Times New Roman" w:cs="Times New Roman"/>
          <w:i/>
          <w:iCs/>
        </w:rPr>
        <w:t xml:space="preserve"> </w:t>
      </w:r>
      <w:r w:rsidRPr="007B7010">
        <w:rPr>
          <w:rFonts w:ascii="Times New Roman" w:hAnsi="Times New Roman" w:cs="Times New Roman"/>
        </w:rPr>
        <w:t>(Cramer),1782.</w:t>
      </w:r>
    </w:p>
    <w:p w14:paraId="0A1CCE75" w14:textId="2A6B9100" w:rsidR="007B7010" w:rsidRDefault="007B7010" w:rsidP="007B7010">
      <w:pPr>
        <w:jc w:val="left"/>
        <w:rPr>
          <w:rFonts w:ascii="Times New Roman" w:eastAsia="等线" w:hAnsi="Times New Roman" w:cs="Times New Roman"/>
          <w:color w:val="000000"/>
          <w:sz w:val="20"/>
          <w:szCs w:val="20"/>
        </w:rPr>
      </w:pPr>
      <w:r>
        <w:rPr>
          <w:rFonts w:ascii="Times New Roman" w:eastAsia="等线" w:hAnsi="Times New Roman" w:cs="Times New Roman" w:hint="eastAsia"/>
          <w:noProof/>
          <w:color w:val="000000"/>
          <w:sz w:val="20"/>
          <w:szCs w:val="20"/>
        </w:rPr>
        <w:lastRenderedPageBreak/>
        <w:drawing>
          <wp:inline distT="0" distB="0" distL="0" distR="0" wp14:anchorId="068AF4D4" wp14:editId="037B6EB6">
            <wp:extent cx="5172185" cy="8473261"/>
            <wp:effectExtent l="0" t="0" r="0" b="4445"/>
            <wp:docPr id="36348550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909" cy="8492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E13F9" w14:textId="38103A06" w:rsidR="007B7010" w:rsidRPr="007B7010" w:rsidRDefault="007B7010" w:rsidP="007B7010">
      <w:pPr>
        <w:jc w:val="left"/>
        <w:rPr>
          <w:rFonts w:ascii="Times New Roman" w:hAnsi="Times New Roman" w:cs="Times New Roman"/>
        </w:rPr>
      </w:pPr>
      <w:r w:rsidRPr="007B7010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8</w:t>
      </w:r>
      <w:r w:rsidRPr="007B7010">
        <w:rPr>
          <w:rFonts w:ascii="Times New Roman" w:hAnsi="Times New Roman" w:cs="Times New Roman"/>
          <w:b/>
          <w:bCs/>
        </w:rPr>
        <w:t>.</w:t>
      </w:r>
      <w:r w:rsidRPr="007B7010">
        <w:rPr>
          <w:rFonts w:ascii="Times New Roman" w:hAnsi="Times New Roman" w:cs="Times New Roman"/>
        </w:rPr>
        <w:t xml:space="preserve"> Secondary structure of tRNA of </w:t>
      </w:r>
      <w:proofErr w:type="spellStart"/>
      <w:r w:rsidR="00D72BCD" w:rsidRPr="00D72BCD">
        <w:rPr>
          <w:rFonts w:ascii="Times New Roman" w:hAnsi="Times New Roman" w:cs="Times New Roman"/>
          <w:i/>
          <w:iCs/>
        </w:rPr>
        <w:t>Micropacha</w:t>
      </w:r>
      <w:proofErr w:type="spellEnd"/>
      <w:r w:rsidR="00D72BCD" w:rsidRPr="00D72BC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72BCD" w:rsidRPr="00D72BCD">
        <w:rPr>
          <w:rFonts w:ascii="Times New Roman" w:hAnsi="Times New Roman" w:cs="Times New Roman"/>
          <w:i/>
          <w:iCs/>
        </w:rPr>
        <w:t>zojka</w:t>
      </w:r>
      <w:proofErr w:type="spellEnd"/>
      <w:r w:rsidR="00D72BCD" w:rsidRPr="00D72BCD">
        <w:rPr>
          <w:rFonts w:ascii="Times New Roman" w:hAnsi="Times New Roman" w:cs="Times New Roman"/>
          <w:i/>
          <w:iCs/>
        </w:rPr>
        <w:t xml:space="preserve"> </w:t>
      </w:r>
      <w:r w:rsidR="00D72BCD" w:rsidRPr="00D72BCD">
        <w:rPr>
          <w:rFonts w:ascii="Times New Roman" w:hAnsi="Times New Roman" w:cs="Times New Roman"/>
        </w:rPr>
        <w:t>Zolotuhin, 2000</w:t>
      </w:r>
      <w:r w:rsidRPr="007B7010">
        <w:rPr>
          <w:rFonts w:ascii="Times New Roman" w:hAnsi="Times New Roman" w:cs="Times New Roman"/>
        </w:rPr>
        <w:t>.</w:t>
      </w:r>
    </w:p>
    <w:p w14:paraId="5FBFBCE2" w14:textId="3E330BD2" w:rsidR="007B7010" w:rsidRDefault="00D72BCD" w:rsidP="007B7010">
      <w:pPr>
        <w:jc w:val="left"/>
        <w:rPr>
          <w:rFonts w:ascii="Times New Roman" w:eastAsia="等线" w:hAnsi="Times New Roman" w:cs="Times New Roman"/>
          <w:color w:val="000000"/>
          <w:sz w:val="20"/>
          <w:szCs w:val="20"/>
        </w:rPr>
      </w:pPr>
      <w:r>
        <w:rPr>
          <w:rFonts w:ascii="Times New Roman" w:eastAsia="等线" w:hAnsi="Times New Roman" w:cs="Times New Roman" w:hint="eastAsia"/>
          <w:noProof/>
          <w:color w:val="000000"/>
          <w:sz w:val="20"/>
          <w:szCs w:val="20"/>
        </w:rPr>
        <w:lastRenderedPageBreak/>
        <w:drawing>
          <wp:inline distT="0" distB="0" distL="0" distR="0" wp14:anchorId="310DCB22" wp14:editId="72F3867D">
            <wp:extent cx="5186307" cy="8392684"/>
            <wp:effectExtent l="0" t="0" r="0" b="8890"/>
            <wp:docPr id="172098744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169" cy="8410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804F3" w14:textId="4514174B" w:rsidR="00D72BCD" w:rsidRPr="007B7010" w:rsidRDefault="00D72BCD" w:rsidP="00D72BCD">
      <w:pPr>
        <w:jc w:val="left"/>
        <w:rPr>
          <w:rFonts w:ascii="Times New Roman" w:hAnsi="Times New Roman" w:cs="Times New Roman"/>
        </w:rPr>
      </w:pPr>
      <w:r w:rsidRPr="007B7010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9</w:t>
      </w:r>
      <w:r w:rsidRPr="007B7010">
        <w:rPr>
          <w:rFonts w:ascii="Times New Roman" w:hAnsi="Times New Roman" w:cs="Times New Roman"/>
          <w:b/>
          <w:bCs/>
        </w:rPr>
        <w:t>.</w:t>
      </w:r>
      <w:r w:rsidRPr="007B7010">
        <w:rPr>
          <w:rFonts w:ascii="Times New Roman" w:hAnsi="Times New Roman" w:cs="Times New Roman"/>
        </w:rPr>
        <w:t xml:space="preserve"> Secondary structure of tRNA of </w:t>
      </w:r>
      <w:proofErr w:type="spellStart"/>
      <w:r w:rsidRPr="00D72BCD">
        <w:rPr>
          <w:rFonts w:ascii="Times New Roman" w:hAnsi="Times New Roman" w:cs="Times New Roman"/>
          <w:i/>
          <w:iCs/>
        </w:rPr>
        <w:t>Pachypasoides</w:t>
      </w:r>
      <w:proofErr w:type="spellEnd"/>
      <w:r w:rsidRPr="00D72BC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72BCD">
        <w:rPr>
          <w:rFonts w:ascii="Times New Roman" w:hAnsi="Times New Roman" w:cs="Times New Roman"/>
          <w:i/>
          <w:iCs/>
        </w:rPr>
        <w:t>clarilimbata</w:t>
      </w:r>
      <w:proofErr w:type="spellEnd"/>
      <w:r w:rsidRPr="00D72BCD">
        <w:rPr>
          <w:rFonts w:ascii="Times New Roman" w:hAnsi="Times New Roman" w:cs="Times New Roman"/>
          <w:i/>
          <w:iCs/>
        </w:rPr>
        <w:t xml:space="preserve"> </w:t>
      </w:r>
      <w:r w:rsidRPr="00D72BCD">
        <w:rPr>
          <w:rFonts w:ascii="Times New Roman" w:hAnsi="Times New Roman" w:cs="Times New Roman"/>
        </w:rPr>
        <w:t>(</w:t>
      </w:r>
      <w:proofErr w:type="spellStart"/>
      <w:r w:rsidRPr="00D72BCD">
        <w:rPr>
          <w:rFonts w:ascii="Times New Roman" w:hAnsi="Times New Roman" w:cs="Times New Roman"/>
        </w:rPr>
        <w:t>Lajonquiere</w:t>
      </w:r>
      <w:proofErr w:type="spellEnd"/>
      <w:r w:rsidRPr="00D72BCD">
        <w:rPr>
          <w:rFonts w:ascii="Times New Roman" w:hAnsi="Times New Roman" w:cs="Times New Roman"/>
        </w:rPr>
        <w:t>), 1973.</w:t>
      </w:r>
    </w:p>
    <w:p w14:paraId="32200CE6" w14:textId="6FA63959" w:rsidR="00D72BCD" w:rsidRDefault="00D72BCD" w:rsidP="007B7010">
      <w:pPr>
        <w:jc w:val="left"/>
        <w:rPr>
          <w:rFonts w:ascii="Times New Roman" w:eastAsia="等线" w:hAnsi="Times New Roman" w:cs="Times New Roman"/>
          <w:color w:val="000000"/>
          <w:sz w:val="20"/>
          <w:szCs w:val="20"/>
        </w:rPr>
      </w:pPr>
      <w:r>
        <w:rPr>
          <w:rFonts w:ascii="Times New Roman" w:eastAsia="等线" w:hAnsi="Times New Roman" w:cs="Times New Roman" w:hint="eastAsia"/>
          <w:noProof/>
          <w:color w:val="000000"/>
          <w:sz w:val="20"/>
          <w:szCs w:val="20"/>
        </w:rPr>
        <w:lastRenderedPageBreak/>
        <w:drawing>
          <wp:inline distT="0" distB="0" distL="0" distR="0" wp14:anchorId="3AE2104A" wp14:editId="7695FC0D">
            <wp:extent cx="5188224" cy="8381411"/>
            <wp:effectExtent l="0" t="0" r="0" b="635"/>
            <wp:docPr id="43114115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375" cy="839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135C9" w14:textId="1DD23F8A" w:rsidR="00D72BCD" w:rsidRPr="007B7010" w:rsidRDefault="00D72BCD" w:rsidP="00D72BCD">
      <w:pPr>
        <w:jc w:val="left"/>
        <w:rPr>
          <w:rFonts w:ascii="Times New Roman" w:hAnsi="Times New Roman" w:cs="Times New Roman"/>
        </w:rPr>
      </w:pPr>
      <w:r w:rsidRPr="007B7010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10</w:t>
      </w:r>
      <w:r w:rsidRPr="007B7010">
        <w:rPr>
          <w:rFonts w:ascii="Times New Roman" w:hAnsi="Times New Roman" w:cs="Times New Roman"/>
          <w:b/>
          <w:bCs/>
        </w:rPr>
        <w:t>.</w:t>
      </w:r>
      <w:r w:rsidRPr="007B7010">
        <w:rPr>
          <w:rFonts w:ascii="Times New Roman" w:hAnsi="Times New Roman" w:cs="Times New Roman"/>
        </w:rPr>
        <w:t xml:space="preserve"> Secondary structure of tRNA of </w:t>
      </w:r>
      <w:r w:rsidRPr="00D72BCD">
        <w:rPr>
          <w:rFonts w:ascii="Times New Roman" w:hAnsi="Times New Roman" w:cs="Times New Roman"/>
          <w:i/>
          <w:iCs/>
        </w:rPr>
        <w:t xml:space="preserve">Pyrosis </w:t>
      </w:r>
      <w:proofErr w:type="spellStart"/>
      <w:r w:rsidRPr="00D72BCD">
        <w:rPr>
          <w:rFonts w:ascii="Times New Roman" w:hAnsi="Times New Roman" w:cs="Times New Roman"/>
          <w:i/>
          <w:iCs/>
        </w:rPr>
        <w:t>rotundipennis</w:t>
      </w:r>
      <w:proofErr w:type="spellEnd"/>
      <w:r w:rsidRPr="00D72BCD">
        <w:rPr>
          <w:rFonts w:ascii="Times New Roman" w:hAnsi="Times New Roman" w:cs="Times New Roman"/>
          <w:i/>
          <w:iCs/>
        </w:rPr>
        <w:t xml:space="preserve"> </w:t>
      </w:r>
      <w:r w:rsidRPr="00D72BCD">
        <w:rPr>
          <w:rFonts w:ascii="Times New Roman" w:hAnsi="Times New Roman" w:cs="Times New Roman"/>
        </w:rPr>
        <w:t>(de Joannis),1930.</w:t>
      </w:r>
    </w:p>
    <w:p w14:paraId="6E755F03" w14:textId="1D0A682A" w:rsidR="00D72BCD" w:rsidRDefault="00D72BCD" w:rsidP="007B7010">
      <w:pPr>
        <w:jc w:val="left"/>
        <w:rPr>
          <w:rFonts w:ascii="Times New Roman" w:eastAsia="等线" w:hAnsi="Times New Roman" w:cs="Times New Roman"/>
          <w:color w:val="000000"/>
          <w:sz w:val="20"/>
          <w:szCs w:val="20"/>
        </w:rPr>
      </w:pPr>
      <w:r>
        <w:rPr>
          <w:rFonts w:ascii="Times New Roman" w:eastAsia="等线" w:hAnsi="Times New Roman" w:cs="Times New Roman" w:hint="eastAsia"/>
          <w:noProof/>
          <w:color w:val="000000"/>
          <w:sz w:val="20"/>
          <w:szCs w:val="20"/>
        </w:rPr>
        <w:lastRenderedPageBreak/>
        <w:drawing>
          <wp:inline distT="0" distB="0" distL="0" distR="0" wp14:anchorId="01078B6F" wp14:editId="3C85DDAD">
            <wp:extent cx="5165124" cy="8437427"/>
            <wp:effectExtent l="0" t="0" r="0" b="1905"/>
            <wp:docPr id="45805099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185" cy="8447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281E6" w14:textId="1391C977" w:rsidR="00D72BCD" w:rsidRPr="007B7010" w:rsidRDefault="00D72BCD" w:rsidP="00D72BCD">
      <w:pPr>
        <w:jc w:val="left"/>
        <w:rPr>
          <w:rFonts w:ascii="Times New Roman" w:hAnsi="Times New Roman" w:cs="Times New Roman"/>
        </w:rPr>
      </w:pPr>
      <w:r w:rsidRPr="007B7010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1</w:t>
      </w:r>
      <w:r>
        <w:rPr>
          <w:rFonts w:ascii="Times New Roman" w:hAnsi="Times New Roman" w:cs="Times New Roman" w:hint="eastAsia"/>
          <w:b/>
          <w:bCs/>
        </w:rPr>
        <w:t>1</w:t>
      </w:r>
      <w:r w:rsidRPr="007B7010">
        <w:rPr>
          <w:rFonts w:ascii="Times New Roman" w:hAnsi="Times New Roman" w:cs="Times New Roman"/>
          <w:b/>
          <w:bCs/>
        </w:rPr>
        <w:t>.</w:t>
      </w:r>
      <w:r w:rsidRPr="007B7010">
        <w:rPr>
          <w:rFonts w:ascii="Times New Roman" w:hAnsi="Times New Roman" w:cs="Times New Roman"/>
        </w:rPr>
        <w:t xml:space="preserve"> Secondary structure of tRNA of </w:t>
      </w:r>
      <w:proofErr w:type="spellStart"/>
      <w:r w:rsidRPr="00D72BCD">
        <w:rPr>
          <w:rFonts w:ascii="Times New Roman" w:hAnsi="Times New Roman" w:cs="Times New Roman"/>
          <w:i/>
          <w:iCs/>
        </w:rPr>
        <w:t>Radhica</w:t>
      </w:r>
      <w:proofErr w:type="spellEnd"/>
      <w:r w:rsidRPr="00D72BC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72BCD">
        <w:rPr>
          <w:rFonts w:ascii="Times New Roman" w:hAnsi="Times New Roman" w:cs="Times New Roman"/>
          <w:i/>
          <w:iCs/>
        </w:rPr>
        <w:t>flavovittata</w:t>
      </w:r>
      <w:proofErr w:type="spellEnd"/>
      <w:r w:rsidRPr="00D72BCD">
        <w:rPr>
          <w:rFonts w:ascii="Times New Roman" w:hAnsi="Times New Roman" w:cs="Times New Roman"/>
          <w:i/>
          <w:iCs/>
        </w:rPr>
        <w:t xml:space="preserve"> </w:t>
      </w:r>
      <w:r w:rsidRPr="00D72BCD">
        <w:rPr>
          <w:rFonts w:ascii="Times New Roman" w:hAnsi="Times New Roman" w:cs="Times New Roman"/>
        </w:rPr>
        <w:t>Moore,1879.</w:t>
      </w:r>
    </w:p>
    <w:p w14:paraId="1109140A" w14:textId="5CF96C7A" w:rsidR="00D72BCD" w:rsidRDefault="00D72BCD" w:rsidP="007B7010">
      <w:pPr>
        <w:jc w:val="left"/>
        <w:rPr>
          <w:rFonts w:ascii="Times New Roman" w:eastAsia="等线" w:hAnsi="Times New Roman" w:cs="Times New Roman"/>
          <w:color w:val="000000"/>
          <w:sz w:val="20"/>
          <w:szCs w:val="20"/>
        </w:rPr>
      </w:pPr>
      <w:r>
        <w:rPr>
          <w:rFonts w:ascii="Times New Roman" w:eastAsia="等线" w:hAnsi="Times New Roman" w:cs="Times New Roman" w:hint="eastAsia"/>
          <w:noProof/>
          <w:color w:val="000000"/>
          <w:sz w:val="20"/>
          <w:szCs w:val="20"/>
        </w:rPr>
        <w:lastRenderedPageBreak/>
        <w:drawing>
          <wp:inline distT="0" distB="0" distL="0" distR="0" wp14:anchorId="577A7D45" wp14:editId="3E256AFA">
            <wp:extent cx="5154532" cy="8434406"/>
            <wp:effectExtent l="0" t="0" r="8255" b="5080"/>
            <wp:docPr id="15790004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129" cy="8451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158DF" w14:textId="08E68DBC" w:rsidR="00D72BCD" w:rsidRPr="00D72BCD" w:rsidRDefault="00D72BCD" w:rsidP="007B7010">
      <w:pPr>
        <w:jc w:val="left"/>
        <w:rPr>
          <w:rFonts w:ascii="Times New Roman" w:hAnsi="Times New Roman" w:cs="Times New Roman" w:hint="eastAsia"/>
        </w:rPr>
      </w:pPr>
      <w:r w:rsidRPr="007B7010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1</w:t>
      </w:r>
      <w:r>
        <w:rPr>
          <w:rFonts w:ascii="Times New Roman" w:hAnsi="Times New Roman" w:cs="Times New Roman" w:hint="eastAsia"/>
          <w:b/>
          <w:bCs/>
        </w:rPr>
        <w:t>2</w:t>
      </w:r>
      <w:r w:rsidRPr="007B7010">
        <w:rPr>
          <w:rFonts w:ascii="Times New Roman" w:hAnsi="Times New Roman" w:cs="Times New Roman"/>
          <w:b/>
          <w:bCs/>
        </w:rPr>
        <w:t>.</w:t>
      </w:r>
      <w:r w:rsidRPr="007B7010">
        <w:rPr>
          <w:rFonts w:ascii="Times New Roman" w:hAnsi="Times New Roman" w:cs="Times New Roman"/>
        </w:rPr>
        <w:t xml:space="preserve"> Secondary structure of tRNA of </w:t>
      </w:r>
      <w:proofErr w:type="spellStart"/>
      <w:r w:rsidRPr="00D72BCD">
        <w:rPr>
          <w:rFonts w:ascii="Times New Roman" w:hAnsi="Times New Roman" w:cs="Times New Roman"/>
          <w:i/>
          <w:iCs/>
        </w:rPr>
        <w:t>Takanea</w:t>
      </w:r>
      <w:proofErr w:type="spellEnd"/>
      <w:r w:rsidRPr="00D72BC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72BCD">
        <w:rPr>
          <w:rFonts w:ascii="Times New Roman" w:hAnsi="Times New Roman" w:cs="Times New Roman"/>
          <w:i/>
          <w:iCs/>
        </w:rPr>
        <w:t>excisa</w:t>
      </w:r>
      <w:proofErr w:type="spellEnd"/>
      <w:r w:rsidRPr="00D72BCD">
        <w:rPr>
          <w:rFonts w:ascii="Times New Roman" w:hAnsi="Times New Roman" w:cs="Times New Roman"/>
          <w:i/>
          <w:iCs/>
        </w:rPr>
        <w:t xml:space="preserve"> </w:t>
      </w:r>
      <w:r w:rsidRPr="00D72BCD">
        <w:rPr>
          <w:rFonts w:ascii="Times New Roman" w:hAnsi="Times New Roman" w:cs="Times New Roman"/>
        </w:rPr>
        <w:t>(Wileman),1910.</w:t>
      </w:r>
    </w:p>
    <w:sectPr w:rsidR="00D72BCD" w:rsidRPr="00D72B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47"/>
    <w:rsid w:val="000A1765"/>
    <w:rsid w:val="001E5E47"/>
    <w:rsid w:val="00427663"/>
    <w:rsid w:val="00460E19"/>
    <w:rsid w:val="00690F14"/>
    <w:rsid w:val="007B7010"/>
    <w:rsid w:val="00831079"/>
    <w:rsid w:val="00BA5822"/>
    <w:rsid w:val="00D17F52"/>
    <w:rsid w:val="00D7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76262"/>
  <w15:chartTrackingRefBased/>
  <w15:docId w15:val="{6B6C37A6-14A6-40DC-A0C9-ABF4A7454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E5E4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5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E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5E4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5E4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5E4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5E4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5E4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5E4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样式1"/>
    <w:basedOn w:val="a1"/>
    <w:uiPriority w:val="99"/>
    <w:rsid w:val="00831079"/>
    <w:tblPr/>
    <w:tblStylePr w:type="firstRow"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</w:style>
  <w:style w:type="table" w:customStyle="1" w:styleId="a3">
    <w:name w:val="三线表"/>
    <w:basedOn w:val="a1"/>
    <w:uiPriority w:val="99"/>
    <w:rsid w:val="00460E19"/>
    <w:tblPr/>
    <w:tblStylePr w:type="firstRow">
      <w:tblPr/>
      <w:tcPr>
        <w:tcBorders>
          <w:top w:val="single" w:sz="12" w:space="0" w:color="auto"/>
          <w:bottom w:val="single" w:sz="4" w:space="0" w:color="auto"/>
        </w:tcBorders>
      </w:tcPr>
    </w:tblStylePr>
    <w:tblStylePr w:type="lastRow">
      <w:tblPr/>
      <w:tcPr>
        <w:tcBorders>
          <w:bottom w:val="single" w:sz="12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1E5E4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E5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E5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E5E4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E5E4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E5E4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E5E4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E5E4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E5E47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1E5E4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1E5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1E5E4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1E5E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1E5E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1E5E47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1E5E47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1E5E47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E5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1E5E47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1E5E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亚霖 蒲</dc:creator>
  <cp:keywords/>
  <dc:description/>
  <cp:lastModifiedBy>亚霖 蒲</cp:lastModifiedBy>
  <cp:revision>2</cp:revision>
  <dcterms:created xsi:type="dcterms:W3CDTF">2026-06-05T03:34:00Z</dcterms:created>
  <dcterms:modified xsi:type="dcterms:W3CDTF">2026-06-05T03:50:00Z</dcterms:modified>
</cp:coreProperties>
</file>