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C5D25" w14:textId="336D8EDA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A3A4BE" wp14:editId="4F02A47F">
                <wp:simplePos x="0" y="0"/>
                <wp:positionH relativeFrom="column">
                  <wp:posOffset>0</wp:posOffset>
                </wp:positionH>
                <wp:positionV relativeFrom="paragraph">
                  <wp:posOffset>3883660</wp:posOffset>
                </wp:positionV>
                <wp:extent cx="6093460" cy="1422400"/>
                <wp:effectExtent l="0" t="0" r="2540" b="0"/>
                <wp:wrapTopAndBottom/>
                <wp:docPr id="1303221471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3460" cy="1422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737A86" w14:textId="77777777" w:rsidR="00765AFE" w:rsidRDefault="00765AFE" w:rsidP="00765AFE">
                            <w:pPr>
                              <w:spacing w:line="32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Figure S1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. IRF1 inhibition and cytokine neutralization protect against infection with clinical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Ab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isolates. (A) Cell viability of macrophages infected with the clinical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Ab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isolates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Ab191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or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Ab2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in the presence or absence of IRF1-IN-2. (B, C</w:t>
                            </w:r>
                            <w:bookmarkStart w:id="0" w:name="OLE_LINK15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bookmarkEnd w:id="0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Survival of mice infected with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Ab191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(B) or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Ab2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(C) and treated with PBS (control), IL-1α plus IFN-γ neutralizing antibodies, IL-1β plus IFN-γ neutralizing antibodies, or IRF1-IN-2. Data are shown as mean ± SD. Statistical significance was determined by one-way ANOVA for cell viability and log-rank test for survival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analysis.*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p &lt; 0.05; **p &lt; 0.01; ***p &lt; 0.001; ****p &lt; 0.0001; ns, not significant.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A3A4BE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0;margin-top:305.8pt;width:479.8pt;height:1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ZFGgIAADQEAAAOAAAAZHJzL2Uyb0RvYy54bWysU02P2jAQvVfqf7B8LwkUoTYirCgrqkpo&#10;dyW22rNxHGLJ8bj2QEJ/fceGQEtvVS/OZGY8H+89zx/61rCj8kGDLfl4lHOmrIRK233Jv7+uP3zi&#10;LKCwlTBgVclPKvCHxft3884VagINmEp5RkVsKDpX8gbRFVkWZKNaEUbglKVgDb4VSL9+n1VedFS9&#10;Ndkkz2dZB75yHqQKgbyP5yBfpPp1rSQ+13VQyEzJaTZMp0/nLp7ZYi6KvReu0fIyhviHKVqhLTW9&#10;lnoUKNjB679KtVp6CFDjSEKbQV1rqdIOtM04v9tm2win0i4ETnBXmML/Kyufjlv34hn2X6AnAiMg&#10;nQtFIGfcp699G780KaM4QXi6wqZ6ZJKcs/zzx+mMQpJi4+lkMs0TsNntuvMBvypoWTRK7omXBJc4&#10;bgJSS0odUmK3AEZXa21M/ImBlfHsKIjDrtGo4pB0448sY2OuhXjrHI6e7LZLtLDf9ZcFd1CdaG8P&#10;Z0kEJ9eaGm1EwBfhSQO0D+kan+moDXQll0Y7zhrwP+99MY8ooQhnHWmp5OHHQXjFmflmiSwqhYPh&#10;B2M3GPbQroBWG9NLcTKZdMGjGczaQ/tGMl/GLhQSVlKvkuNgrvCsaHomUi2XKYnk5QRu7NbJWHoA&#10;8rV/E95daEBi8AkGlYnijo1zbuLDLQ9I0CaqIpBn9C74kjQTH5dnFLX/+3/Kuj32xS8AAAD//wMA&#10;UEsDBBQABgAIAAAAIQB+UorU4AAAAAgBAAAPAAAAZHJzL2Rvd25yZXYueG1sTI/BTsMwEETvSPyD&#10;tUhcEHVCW6sN2VRVBQe4VIReuLmxGwfidWQ7bfh7zAlus5rVzJtyM9menbUPnSOEfJYB09Q41VGL&#10;cHh/vl8BC1GSkr0jjfCtA2yq66tSFspd6E2f69iyFEKhkAgmxqHgPDRGWxlmbtCUvJPzVsZ0+pYr&#10;Ly8p3Pb8IcsEt7Kj1GDkoHdGN1/1aBH2i4+9uRtPT6/bxdy/HMad+GxrxNubafsILOop/j3DL35C&#10;hyoxHd1IKrAeIQ2JCCLPBbBkr5frJI4Iq/lSAK9K/n9A9QMAAP//AwBQSwECLQAUAAYACAAAACEA&#10;toM4kv4AAADhAQAAEwAAAAAAAAAAAAAAAAAAAAAAW0NvbnRlbnRfVHlwZXNdLnhtbFBLAQItABQA&#10;BgAIAAAAIQA4/SH/1gAAAJQBAAALAAAAAAAAAAAAAAAAAC8BAABfcmVscy8ucmVsc1BLAQItABQA&#10;BgAIAAAAIQDc5yZFGgIAADQEAAAOAAAAAAAAAAAAAAAAAC4CAABkcnMvZTJvRG9jLnhtbFBLAQIt&#10;ABQABgAIAAAAIQB+UorU4AAAAAgBAAAPAAAAAAAAAAAAAAAAAHQEAABkcnMvZG93bnJldi54bWxQ&#10;SwUGAAAAAAQABADzAAAAgQUAAAAA&#10;" stroked="f">
                <v:textbox style="mso-fit-shape-to-text:t" inset="0,0,0,0">
                  <w:txbxContent>
                    <w:p w14:paraId="38737A86" w14:textId="77777777" w:rsidR="00765AFE" w:rsidRDefault="00765AFE" w:rsidP="00765AFE">
                      <w:pPr>
                        <w:spacing w:line="32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Figure S1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. IRF1 inhibition and cytokine neutralization protect against infection with clinical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Ab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isolates. (A) Cell viability of macrophages infected with the clinical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Ab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isolates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>Ab191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or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>Ab2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in the presence or absence of IRF1-IN-2. (B, C</w:t>
                      </w:r>
                      <w:bookmarkStart w:id="1" w:name="OLE_LINK15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bookmarkEnd w:id="1"/>
                      <w:r>
                        <w:rPr>
                          <w:rFonts w:ascii="Times New Roman" w:hAnsi="Times New Roman" w:cs="Times New Roman"/>
                        </w:rPr>
                        <w:t xml:space="preserve"> Survival of mice infected with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 Ab191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(B) or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>Ab2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(C) and treated with PBS (control), IL-1α plus IFN-γ neutralizing antibodies, IL-1β plus IFN-γ neutralizing antibodies, or IRF1-IN-2. Data are shown as mean ± SD. Statistical significance was determined by one-way ANOVA for cell viability and log-rank test for survival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analysis.*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p &lt; 0.05; **p &lt; 0.01; ***p &lt; 0.001; ****p &lt; 0.0001; ns, not significant.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65AFE">
        <w:rPr>
          <w:lang w:val="en-US"/>
        </w:rPr>
        <w:drawing>
          <wp:inline distT="0" distB="0" distL="0" distR="0" wp14:anchorId="0BCCA16A" wp14:editId="0BFAD6EF">
            <wp:extent cx="5731510" cy="3741420"/>
            <wp:effectExtent l="0" t="0" r="0" b="0"/>
            <wp:docPr id="69642245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E10FD" w14:textId="77777777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br w:type="page"/>
      </w:r>
    </w:p>
    <w:p w14:paraId="151E6466" w14:textId="7E6DD241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lastRenderedPageBreak/>
        <w:drawing>
          <wp:inline distT="0" distB="0" distL="0" distR="0" wp14:anchorId="445912FC" wp14:editId="0D7AFE86">
            <wp:extent cx="2476500" cy="1438275"/>
            <wp:effectExtent l="0" t="0" r="0" b="9525"/>
            <wp:docPr id="150931459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E5028" w14:textId="75C35EEF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F403A3" wp14:editId="6676C729">
                <wp:simplePos x="0" y="0"/>
                <wp:positionH relativeFrom="column">
                  <wp:posOffset>0</wp:posOffset>
                </wp:positionH>
                <wp:positionV relativeFrom="paragraph">
                  <wp:posOffset>250825</wp:posOffset>
                </wp:positionV>
                <wp:extent cx="6093460" cy="1422400"/>
                <wp:effectExtent l="0" t="0" r="2540" b="0"/>
                <wp:wrapTopAndBottom/>
                <wp:docPr id="1501518465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3460" cy="1422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30326F" w14:textId="77777777" w:rsidR="00765AFE" w:rsidRDefault="00765AFE" w:rsidP="00765AFE">
                            <w:pPr>
                              <w:spacing w:line="32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Figure S2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 Complete cytokine pairwise screen in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iBMDMs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Heatmap showing cell death (%) of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iBMDMs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after 48 h stimulation with all pairwise combinations of the 13 cytokines. Values represent mean ± SEM from n = 3 independent experiments. IL-1α+IFN-γ, IL-1β+IFN-γ, and IL-6+IFN-γ were identified as the dominant cytotoxic pairs. Single-cytokine treatments produced minimal cytotoxicity, consistent with the THP-1 validation shown in the main figures. Statistical significance assessed by one-way ANOVA with Tukey’s multiple comparisons (*p&lt;0.05, **p&lt;0.01, ***p&lt;0.001, ****p&lt;0.0001).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403A3" id="Text Box 23" o:spid="_x0000_s1027" type="#_x0000_t202" style="position:absolute;margin-left:0;margin-top:19.75pt;width:479.8pt;height:1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UhlHQIAADsEAAAOAAAAZHJzL2Uyb0RvYy54bWysU1GP2jAMfp+0/xDlfRQYQltFOTFOTJPQ&#10;3Unc6Z5DmtJIaZwlhpb9+jkphdvtbdpL6saO7e/77MVd1xh2Uj5osAWfjMacKSuh1PZQ8Jfnzacv&#10;nAUUthQGrCr4WQV+t/z4YdG6XE2hBlMqzyiJDXnrCl4jujzLgqxVI8IInLLkrMA3AunXH7LSi5ay&#10;NyabjsfzrAVfOg9ShUC3972TL1P+qlISH6sqKGSm4NQbptOncx/PbLkQ+cELV2t5aUP8QxeN0JaK&#10;XlPdCxTs6PVfqRotPQSocCShyaCqtFQJA6GZjN+h2dXCqYSFyAnuSlP4f2nlw2nnnjzD7ht0JGAk&#10;pHUhD3QZ8XSVb+KXOmXkJwrPV9pUh0zS5Xz89fNsTi5JvslsOp2NE7HZ7bnzAb8raFg0Cu5Jl0SX&#10;OG0DUkkKHUJitQBGlxttTPyJjrXx7CRIw7bWqGKT9OKPKGNjrIX4qnfHm+yGJVrY7Tumyzc491Ce&#10;Cb6HfjKCkxtN9bYi4JPwNAoEi8YbH+moDLQFl0Y7zmrwv97fxThShjyctTRSBQ8/j8IrzswPS5pR&#10;KhwMPxj7wbDHZg2EcEIL42Qy6YFHM5iVh+aVpn0Vq5BLWEm1Co6DucZ+sGlbpFqtUhBNmRO4tTsn&#10;Y+qBz+fuVXh3UQNJyAcYhk3k70TpY5MsbnVEYjgpFvns2bvQTBOaZLlsU1yBt/8p6rbzy98AAAD/&#10;/wMAUEsDBBQABgAIAAAAIQDC0gm43wAAAAcBAAAPAAAAZHJzL2Rvd25yZXYueG1sTI8xT8MwFIR3&#10;JP6D9ZBYEHVomoiEvFRVBQMsFaELmxu7cSB+jmynDf8eM5XxdKe776r1bAZ2Us73lhAeFgkwRa2V&#10;PXUI+4+X+0dgPgiSYrCkEH6Uh3V9fVWJUtozvatTEzoWS8iXAkGHMJac+1YrI/zCjoqid7TOiBCl&#10;67h04hzLzcCXSZJzI3qKC1qMaqtV+91MBmG3+tzpu+n4/LZZpe51P23zr65BvL2ZN0/AgprDJQx/&#10;+BEd6sh0sBNJzwaEeCQgpEUGLLpFVuTADgjLPM2A1xX/z1//AgAA//8DAFBLAQItABQABgAIAAAA&#10;IQC2gziS/gAAAOEBAAATAAAAAAAAAAAAAAAAAAAAAABbQ29udGVudF9UeXBlc10ueG1sUEsBAi0A&#10;FAAGAAgAAAAhADj9If/WAAAAlAEAAAsAAAAAAAAAAAAAAAAALwEAAF9yZWxzLy5yZWxzUEsBAi0A&#10;FAAGAAgAAAAhAMP5SGUdAgAAOwQAAA4AAAAAAAAAAAAAAAAALgIAAGRycy9lMm9Eb2MueG1sUEsB&#10;Ai0AFAAGAAgAAAAhAMLSCbjfAAAABwEAAA8AAAAAAAAAAAAAAAAAdwQAAGRycy9kb3ducmV2Lnht&#10;bFBLBQYAAAAABAAEAPMAAACDBQAAAAA=&#10;" stroked="f">
                <v:textbox style="mso-fit-shape-to-text:t" inset="0,0,0,0">
                  <w:txbxContent>
                    <w:p w14:paraId="4130326F" w14:textId="77777777" w:rsidR="00765AFE" w:rsidRDefault="00765AFE" w:rsidP="00765AFE">
                      <w:pPr>
                        <w:spacing w:line="32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Figure S2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 Complete cytokine pairwise screen in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iBMDMs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Heatmap showing cell death (%) of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iBMDMs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after 48 h stimulation with all pairwise combinations of the 13 cytokines. Values represent mean ± SEM from n = 3 independent experiments. IL-1α+IFN-γ, IL-1β+IFN-γ, and IL-6+IFN-γ were identified as the dominant cytotoxic pairs. Single-cytokine treatments produced minimal cytotoxicity, consistent with the THP-1 validation shown in the main figures. Statistical significance assessed by one-way ANOVA with Tukey’s multiple comparisons (*p&lt;0.05, **p&lt;0.01, ***p&lt;0.001, ****p&lt;0.0001).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C55E3BA" w14:textId="77777777" w:rsidR="00765AFE" w:rsidRPr="00765AFE" w:rsidRDefault="00765AFE" w:rsidP="00765AFE">
      <w:pPr>
        <w:rPr>
          <w:b/>
          <w:bCs/>
          <w:lang w:val="en-US"/>
        </w:rPr>
      </w:pPr>
    </w:p>
    <w:p w14:paraId="460E1E34" w14:textId="77777777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br w:type="page"/>
      </w:r>
    </w:p>
    <w:p w14:paraId="26A97D3F" w14:textId="6BDB7BDD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033C4C60" wp14:editId="6EB9E036">
            <wp:simplePos x="0" y="0"/>
            <wp:positionH relativeFrom="column">
              <wp:posOffset>25400</wp:posOffset>
            </wp:positionH>
            <wp:positionV relativeFrom="paragraph">
              <wp:posOffset>635</wp:posOffset>
            </wp:positionV>
            <wp:extent cx="3664585" cy="3589655"/>
            <wp:effectExtent l="0" t="0" r="0" b="0"/>
            <wp:wrapTopAndBottom/>
            <wp:docPr id="102265467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585" cy="3589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5AFE">
        <w:rPr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4AAF47" wp14:editId="045AC33D">
                <wp:simplePos x="0" y="0"/>
                <wp:positionH relativeFrom="column">
                  <wp:posOffset>-134620</wp:posOffset>
                </wp:positionH>
                <wp:positionV relativeFrom="paragraph">
                  <wp:posOffset>3590290</wp:posOffset>
                </wp:positionV>
                <wp:extent cx="5306060" cy="2197100"/>
                <wp:effectExtent l="0" t="0" r="8890" b="6350"/>
                <wp:wrapTopAndBottom/>
                <wp:docPr id="33235722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6060" cy="21971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0B984D" w14:textId="77777777" w:rsidR="00765AFE" w:rsidRDefault="00765AFE" w:rsidP="00765AFE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Figure S3. Lymphocyte and macrophage activation in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lung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and spleen after IL-1α/β + IFN-γ treatment.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(A) Percentage of CD4⁺CD8⁻ T cells in lung tissue of mice treated with PBS or IL-1α/β + IFN-γ. n = 5 mice per group; mean ± SEM. (B) Percentage of CD4⁻CD8⁺ T cells in lung tissue. n = 5; mean ± SEM. (C) Mean fluorescence intensity (MFI) of CD86 on lung macrophages (F4/80⁺ cells). n = 5; mean ± SEM. (D) Percentage of CD4⁺CD8⁻ T cells in spleen. n = 5; mean ± SEM. (E) Percentage of CD4⁻CD8⁺ T cells in spleen. n = 5; mean ± SEM. (F) Mean fluorescence intensity (MFI) of CD86 on spleen macrophages. n = 5; mean ± SEM. Statistical analysis: unpaired t-test; *p &lt; 0.05, **p &lt; 0.01, ***p &lt; 0.001, ****p &lt; 0.0001; ns = not significant.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AAF47" id="Text Box 21" o:spid="_x0000_s1028" type="#_x0000_t202" style="position:absolute;margin-left:-10.6pt;margin-top:282.7pt;width:417.8pt;height:17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9QzHgIAADsEAAAOAAAAZHJzL2Uyb0RvYy54bWysU9+P0zAMfkfif4jyztoNcUC17jR2GkKa&#10;7k7aoXvO0nSNlMbBydaOvx4nXTcYbwhVSh3b8Y/vs+f3fWvYUaHXYEs+neScKSuh0nZf8u8v63ef&#10;OPNB2EoYsKrkJ+X5/eLtm3nnCjWDBkylkFEQ64vOlbwJwRVZ5mWjWuEn4JQlYw3YikBX3GcVio6i&#10;tyab5fld1gFWDkEq70n7MBj5IsWvayXDU117FZgpOdUW0onp3MUzW8xFsUfhGi3PZYh/qKIV2lLS&#10;S6gHEQQ7oP4rVKslgoc6TCS0GdS1lir1QN1M85tuto1wKvVC4Hh3gcn/v7Dy8bh1z8hC/wV6IjAC&#10;0jlfeFLGfvoa2/inShnZCcLTBTbVByZJ+eF9fkcfZ5Jss+nnj9M8AZtdnzv04auClkWh5Ei8JLjE&#10;ceMDpSTX0SVm82B0tdbGxEs0rAyyoyAOu0YHFYukF394GRt9LcRXgzlqsmsvUQr9rme6oirHPndQ&#10;nah9hGEyvJNrTfk2wodngTQK1BaNd3iiozbQlVwa7ThrAH/e6qIfMUMWzjoaqZL7HweBijPzzRJn&#10;FCqMAo7CbhTsoV0BdTilhXEyifQAgxnFGqF9pWlfxixkElZSrpKHUVyFYbBpW6RaLpMTTZkTYWO3&#10;TsbQI54v/atAd2YjEJGPMA6bKG5IGXwTLW55CIRwYiziOaB3hpkmNNFy3qa4Ar/fk9d15xe/AAAA&#10;//8DAFBLAwQUAAYACAAAACEAJmpkpuIAAAALAQAADwAAAGRycy9kb3ducmV2LnhtbEyPsU7DMBCG&#10;dyTewTokFtQ6Dm5UQpyqqmCApSJ0YXNjNw7EdmQ7bXh7jgm2O92n/76/2sx2IGcdYu+dALbMgGjX&#10;etW7TsDh/XmxBhKTdEoO3mkB3zrCpr6+qmSp/MW96XOTOoIhLpZSgElpLCmNrdFWxqUftcPbyQcr&#10;E66hoyrIC4bbgeZZVlAre4cfjBz1zuj2q5msgD3/2Ju76fT0uuX34eUw7YrPrhHi9mbePgJJek5/&#10;MPzqozrU6HT0k1ORDAIWOcsRFbAqVhwIEmvGcTgKeGCMA60r+r9D/QMAAP//AwBQSwECLQAUAAYA&#10;CAAAACEAtoM4kv4AAADhAQAAEwAAAAAAAAAAAAAAAAAAAAAAW0NvbnRlbnRfVHlwZXNdLnhtbFBL&#10;AQItABQABgAIAAAAIQA4/SH/1gAAAJQBAAALAAAAAAAAAAAAAAAAAC8BAABfcmVscy8ucmVsc1BL&#10;AQItABQABgAIAAAAIQBbu9QzHgIAADsEAAAOAAAAAAAAAAAAAAAAAC4CAABkcnMvZTJvRG9jLnht&#10;bFBLAQItABQABgAIAAAAIQAmamSm4gAAAAsBAAAPAAAAAAAAAAAAAAAAAHgEAABkcnMvZG93bnJl&#10;di54bWxQSwUGAAAAAAQABADzAAAAhwUAAAAA&#10;" stroked="f">
                <v:textbox style="mso-fit-shape-to-text:t" inset="0,0,0,0">
                  <w:txbxContent>
                    <w:p w14:paraId="710B984D" w14:textId="77777777" w:rsidR="00765AFE" w:rsidRDefault="00765AFE" w:rsidP="00765AFE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Figure S3. Lymphocyte and macrophage activation in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lung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 and spleen after IL-1α/β + IFN-γ treatment.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 (A) Percentage of CD4⁺CD8⁻ T cells in lung tissue of mice treated with PBS or IL-1α/β + IFN-γ. n = 5 mice per group; mean ± SEM. (B) Percentage of CD4⁻CD8⁺ T cells in lung tissue. n = 5; mean ± SEM. (C) Mean fluorescence intensity (MFI) of CD86 on lung macrophages (F4/80⁺ cells). n = 5; mean ± SEM. (D) Percentage of CD4⁺CD8⁻ T cells in spleen. n = 5; mean ± SEM. (E) Percentage of CD4⁻CD8⁺ T cells in spleen. n = 5; mean ± SEM. (F) Mean fluorescence intensity (MFI) of CD86 on spleen macrophages. n = 5; mean ± SEM. Statistical analysis: unpaired t-test; *p &lt; 0.05, **p &lt; 0.01, ***p &lt; 0.001, ****p &lt; 0.0001; ns = not significant.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F3690E2" w14:textId="77777777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br w:type="page"/>
      </w:r>
    </w:p>
    <w:p w14:paraId="7B611460" w14:textId="08F98228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31DAC" wp14:editId="602F1305">
                <wp:simplePos x="0" y="0"/>
                <wp:positionH relativeFrom="column">
                  <wp:posOffset>3810</wp:posOffset>
                </wp:positionH>
                <wp:positionV relativeFrom="paragraph">
                  <wp:posOffset>5718175</wp:posOffset>
                </wp:positionV>
                <wp:extent cx="5306060" cy="1162050"/>
                <wp:effectExtent l="0" t="0" r="8890" b="6350"/>
                <wp:wrapTopAndBottom/>
                <wp:docPr id="1106031416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6060" cy="1162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DEA2DA" w14:textId="77777777" w:rsidR="00765AFE" w:rsidRDefault="00765AFE" w:rsidP="00765AFE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Figure S4.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PANoptosome assembly and PANoptosis activation.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A. PANoptosis-related gene expression. B.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iBMDMs treated with IL-1α/β + IFN-γ for 4 h were analyzed by confocal microscopy. Data represent n = 3 independent experiments. Scale bars: 10 μm. C, D, E. Colocation analysis was performed as shown in the right panels.                       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31DAC" id="Text Box 20" o:spid="_x0000_s1029" type="#_x0000_t202" style="position:absolute;margin-left:.3pt;margin-top:450.25pt;width:417.8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YhdHgIAADsEAAAOAAAAZHJzL2Uyb0RvYy54bWysU99r2zAQfh/sfxB6X+ykNAwTp2QpGYPQ&#10;FtrRZ0WWY4Gs06RL7Oyv30mOky17G8Mgn+5O9+P77hYPfWvYUfmgwZZ8Osk5U1ZCpe2+5N/fNp8+&#10;cxZQ2EoYsKrkJxX4w/Ljh0XnCjWDBkylPKMgNhSdK3mD6IosC7JRrQgTcMqSsQbfCqSr32eVFx1F&#10;b002y/N51oGvnAepQiDt42DkyxS/rpXE57oOCpkpOdWG6fTp3MUzWy5EsffCNVqeyxD/UEUrtKWk&#10;l1CPAgU7eP1XqFZLDwFqnEhoM6hrLVXqgbqZ5jfdvDbCqdQLgRPcBabw/8LKp+Ore/EM+y/QE4ER&#10;kM6FIpAy9tPXvo1/qpSRnSA8XWBTPTJJyvu7fE4fZ5Js0+l8lt8nYLPrc+cDflXQsiiU3BMvCS5x&#10;3AaklOQ6usRsAYyuNtqYeImGtfHsKIjDrtGoYpH04g8vY6OvhfhqMEdNdu0lStjveqarkt+Nfe6g&#10;OlH7HobJCE5uNOXbioAvwtMoUFs03vhMR22gK7k02nHWgP95q4t+xAxZOOtopEoefhyEV5yZb5Y4&#10;o1A4Cn4UdqNgD+0aqMMpLYyTSaQHHs0o1h7ad5r2VcxCJmEl5So5juIah8GmbZFqtUpONGVO4Na+&#10;OhlDj3i+9e/CuzMbSEQ+wThsorghZfBNtLjVAQnhxFjEc0DvDDNNaKLlvE1xBX6/J6/rzi9/AQAA&#10;//8DAFBLAwQUAAYACAAAACEANZAqZeAAAAAJAQAADwAAAGRycy9kb3ducmV2LnhtbEyPMU/DMBCF&#10;dyT+g3VILIjaNG2UhjhVVcEAS0Xo0s2N3TgQn6PYacO/55jKeHqf3vuuWE+uY2czhNajhKeZAGaw&#10;9rrFRsL+8/UxAxaiQq06j0bCjwmwLm9vCpVrf8EPc65iw6gEQ64k2Bj7nPNQW+NUmPneIGUnPzgV&#10;6Rwargd1oXLX8bkQKXeqRVqwqjdba+rvanQSdovDzj6Mp5f3zSIZ3vbjNv1qKinv76bNM7BopniF&#10;4U+f1KEkp6MfUQfWSUiJk7ASYgmM4ixJ58COxIksWQIvC/7/g/IXAAD//wMAUEsBAi0AFAAGAAgA&#10;AAAhALaDOJL+AAAA4QEAABMAAAAAAAAAAAAAAAAAAAAAAFtDb250ZW50X1R5cGVzXS54bWxQSwEC&#10;LQAUAAYACAAAACEAOP0h/9YAAACUAQAACwAAAAAAAAAAAAAAAAAvAQAAX3JlbHMvLnJlbHNQSwEC&#10;LQAUAAYACAAAACEAN+WIXR4CAAA7BAAADgAAAAAAAAAAAAAAAAAuAgAAZHJzL2Uyb0RvYy54bWxQ&#10;SwECLQAUAAYACAAAACEANZAqZeAAAAAJAQAADwAAAAAAAAAAAAAAAAB4BAAAZHJzL2Rvd25yZXYu&#10;eG1sUEsFBgAAAAAEAAQA8wAAAIUFAAAAAA==&#10;" stroked="f">
                <v:textbox style="mso-fit-shape-to-text:t" inset="0,0,0,0">
                  <w:txbxContent>
                    <w:p w14:paraId="64DEA2DA" w14:textId="77777777" w:rsidR="00765AFE" w:rsidRDefault="00765AFE" w:rsidP="00765AFE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Figure S4.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>PANoptosome assembly and PANoptosis activation.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 xml:space="preserve"> A. PANoptosis-related gene expression. B.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 xml:space="preserve">iBMDMs treated with IL-1α/β + IFN-γ for 4 h were analyzed by confocal microscopy. Data represent n = 3 independent experiments. Scale bars: 10 μm. C, D, E. Colocation analysis was performed as shown in the right panels.                         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65AFE">
        <w:rPr>
          <w:lang w:val="en-US"/>
        </w:rPr>
        <w:drawing>
          <wp:inline distT="0" distB="0" distL="0" distR="0" wp14:anchorId="283A1F38" wp14:editId="6CEAB1F2">
            <wp:extent cx="5276850" cy="5438775"/>
            <wp:effectExtent l="0" t="0" r="0" b="0"/>
            <wp:docPr id="17320159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7A4C1" w14:textId="77777777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br w:type="page"/>
      </w:r>
    </w:p>
    <w:p w14:paraId="7B585FF1" w14:textId="065AD80C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062906" wp14:editId="1DB365F3">
                <wp:simplePos x="0" y="0"/>
                <wp:positionH relativeFrom="column">
                  <wp:posOffset>-100965</wp:posOffset>
                </wp:positionH>
                <wp:positionV relativeFrom="paragraph">
                  <wp:posOffset>7585075</wp:posOffset>
                </wp:positionV>
                <wp:extent cx="5778500" cy="1350010"/>
                <wp:effectExtent l="0" t="0" r="0" b="8890"/>
                <wp:wrapTopAndBottom/>
                <wp:docPr id="226198233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0" cy="13500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1A8027" w14:textId="77777777" w:rsidR="00765AFE" w:rsidRDefault="00765AFE" w:rsidP="00765AFE">
                            <w:pPr>
                              <w:spacing w:line="32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Figure S5. Kyoto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Encyclopedia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of Genes and Genomes (KEGG) pathway enrichment analysis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from mice co-administered with (A) IL-1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and IFN-γ, (B) IL-1β and IFN-γ, (C) ATCC17978 infection on lung tissues. Kyoto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Encyclopedia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of Genes and Genomes (KEGG) pathway enrichment analysis from mice co-administered with (D) IL-1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and IFN-γ, (E) IL-1β and IFN-γ, (F) ATCC17978 infection on spleen tissues.</w:t>
                            </w:r>
                          </w:p>
                          <w:p w14:paraId="2FB334C8" w14:textId="77777777" w:rsidR="00765AFE" w:rsidRDefault="00765AFE" w:rsidP="00765AFE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62906" id="Text Box 19" o:spid="_x0000_s1030" type="#_x0000_t202" style="position:absolute;margin-left:-7.95pt;margin-top:597.25pt;width:455pt;height:10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ZLHgIAADsEAAAOAAAAZHJzL2Uyb0RvYy54bWysU8Fu2zAMvQ/YPwi6r066dS2COEWWIsOA&#10;oC2QDj0rshwLkEWNYmJ3Xz9KiZMtuw27yLRIkXzvkdP7vnVibzBa8KUcX42kMF5DZf22lN9flh/u&#10;pIikfKUceFPKNxPl/ez9u2kXJuYaGnCVQcFJfJx0oZQNUZgURdSNaVW8gmA8O2vAVhH/4raoUHWc&#10;vXXF9Wj0uegAq4CgTYx8+3BwylnOX9dG01NdR0PClZJ7o3xiPjfpLGZTNdmiCo3VxzbUP3TRKuu5&#10;6CnVgyIldmj/StVajRChpisNbQF1bbXJGBjNeHSBZt2oYDIWJieGE03x/6XVj/t1eEZB/RfoWcBE&#10;SBfiJPJlwtPX2KYvdyrYzxS+nWgzPQnNlze3t3c3I3Zp9o0/sjnOxBbn5wEjfTXQimSUElmXTJfa&#10;ryJxSQ4dQlK1CM5WS+tc+kmOhUOxV6xh11gyqUl+8UeU8ynWQ3p1cKeb4owlWdRvemGrUn4acG6g&#10;emP4CIfJiEEvLddbqUjPCnkUGBaPNz3xUTvoSqmdDVI0gD8v71IcK8MeKToeqVLGHzuFRgr3zbNm&#10;nIoGAwdjMxh+1y6AEY55YYLOJj9AcoNZI7SvPO3zVIVdymuuVUoazAUdBpu3RZv5PAfxlAVFK78O&#10;OqUe+HzpXxWGoxrEQj7CMGxqciHKITbLEuY7YoazYonPA3tHmnlCsyzHbUor8Pt/jjrv/OwXAAAA&#10;//8DAFBLAwQUAAYACAAAACEAZJiW8uMAAAANAQAADwAAAGRycy9kb3ducmV2LnhtbEyPsU7DMBCG&#10;dyTewTokFtQ6Brc0IU5VVTDQpSJ0YXNjNw7EdmQ7bXh7jgnGu//Tf9+V68n25KxD7LwTwOYZEO0a&#10;rzrXCji8v8xWQGKSTsneOy3gW0dYV9dXpSyUv7g3fa5TS7DExUIKMCkNBaWxMdrKOPeDdpidfLAy&#10;4RhaqoK8YLnt6X2WLamVncMLRg56a3TzVY9WwJ5/7M3deHrebfhDeD2M2+VnWwtxezNtnoAkPaU/&#10;GH71UR0qdDr60alIegEztsgRxYDlfAEEkVXOGZAjrnj2yIBWJf3/RfUDAAD//wMAUEsBAi0AFAAG&#10;AAgAAAAhALaDOJL+AAAA4QEAABMAAAAAAAAAAAAAAAAAAAAAAFtDb250ZW50X1R5cGVzXS54bWxQ&#10;SwECLQAUAAYACAAAACEAOP0h/9YAAACUAQAACwAAAAAAAAAAAAAAAAAvAQAAX3JlbHMvLnJlbHNQ&#10;SwECLQAUAAYACAAAACEAEqX2Sx4CAAA7BAAADgAAAAAAAAAAAAAAAAAuAgAAZHJzL2Uyb0RvYy54&#10;bWxQSwECLQAUAAYACAAAACEAZJiW8uMAAAANAQAADwAAAAAAAAAAAAAAAAB4BAAAZHJzL2Rvd25y&#10;ZXYueG1sUEsFBgAAAAAEAAQA8wAAAIgFAAAAAA==&#10;" stroked="f">
                <v:textbox style="mso-fit-shape-to-text:t" inset="0,0,0,0">
                  <w:txbxContent>
                    <w:p w14:paraId="4C1A8027" w14:textId="77777777" w:rsidR="00765AFE" w:rsidRDefault="00765AFE" w:rsidP="00765AFE">
                      <w:pPr>
                        <w:spacing w:line="32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Figure S5. Kyoto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Encyclopedia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of Genes and Genomes (KEGG) pathway enrichment analysis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from mice co-administered with (A) IL-1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α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and IFN-γ, (B) IL-1β and IFN-γ, (C) ATCC17978 infection on lung tissues. Kyoto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Encyclopedia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of Genes and Genomes (KEGG) pathway enrichment analysis from mice co-administered with (D) IL-1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α </w:t>
                      </w:r>
                      <w:r>
                        <w:rPr>
                          <w:rFonts w:ascii="Times New Roman" w:hAnsi="Times New Roman" w:cs="Times New Roman"/>
                        </w:rPr>
                        <w:t>and IFN-γ, (E) IL-1β and IFN-γ, (F) ATCC17978 infection on spleen tissues.</w:t>
                      </w:r>
                    </w:p>
                    <w:p w14:paraId="2FB334C8" w14:textId="77777777" w:rsidR="00765AFE" w:rsidRDefault="00765AFE" w:rsidP="00765AFE">
                      <w:pPr>
                        <w:pStyle w:val="Caption"/>
                        <w:rPr>
                          <w:rFonts w:ascii="Times New Roman" w:hAnsi="Times New Roman" w:cs="Times New Roman"/>
                          <w:noProof/>
                          <w:sz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65AFE">
        <w:rPr>
          <w:lang w:val="en-US"/>
        </w:rPr>
        <w:drawing>
          <wp:inline distT="0" distB="0" distL="0" distR="0" wp14:anchorId="58CC80BB" wp14:editId="300BCC2B">
            <wp:extent cx="5276850" cy="7334250"/>
            <wp:effectExtent l="0" t="0" r="0" b="0"/>
            <wp:docPr id="120880010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ACF8" w14:textId="1167E290" w:rsidR="00765AFE" w:rsidRPr="00765AFE" w:rsidRDefault="00765AFE" w:rsidP="00765AFE">
      <w:pPr>
        <w:rPr>
          <w:lang w:val="en-US"/>
        </w:rPr>
      </w:pPr>
      <w:r w:rsidRPr="00765AFE">
        <w:rPr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60A758" wp14:editId="426E02A2">
                <wp:simplePos x="0" y="0"/>
                <wp:positionH relativeFrom="column">
                  <wp:posOffset>-53975</wp:posOffset>
                </wp:positionH>
                <wp:positionV relativeFrom="paragraph">
                  <wp:posOffset>5499100</wp:posOffset>
                </wp:positionV>
                <wp:extent cx="6093460" cy="3251200"/>
                <wp:effectExtent l="0" t="0" r="2540" b="0"/>
                <wp:wrapTopAndBottom/>
                <wp:docPr id="684691175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3460" cy="3251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FCA39E" w14:textId="77777777" w:rsidR="00765AFE" w:rsidRDefault="00765AFE" w:rsidP="00765AFE">
                            <w:pPr>
                              <w:spacing w:line="32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Figure S6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bookmarkStart w:id="2" w:name="OLE_LINK41"/>
                            <w:r>
                              <w:rPr>
                                <w:rFonts w:ascii="Times New Roman" w:hAnsi="Times New Roman" w:cs="Times New Roman"/>
                              </w:rPr>
                              <w:t>(A)</w:t>
                            </w:r>
                            <w:bookmarkEnd w:id="2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Quantitative PCR analysis of PKR mRNA expression in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iBMDM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cells 6 h after infected with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Ab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Ab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, ATCC17978, 5 × 10^7 CFU) or treated with IL-1α/β+ IFN-γ, compared to uninfected PBS controls. (B) Cell death in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iBMDMs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pretreated with PKR-IN-C16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（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0.05%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）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or vehicle (PBS) for 1 h, followed by stimulation with IL-1α/β+ IFN-γ for 48 h or infection with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Ab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(MOI 10) for 6 h. Cell death was assessed by LDH release assay (percentage of maximum release). Data are mean ± SEM from three independent experiments (****P &lt; 0.0001 by two-way ANOVA). (C-E) Serum levels of lactate dehydrogenase (LDH), aspartate aminotransferase (AST), and alanine aminotransferase (ALT) in mice treated as in (Fig. S5B) (n =5 per group; **P &lt; 0.01, ***P &lt; 0.001, ****P &lt; 0.0001 by one-way ANOVA with Tukey's post-test). (F) Kaplan–Meier survival curves of 6–8-week-old C57BL/6 mice (n = 5 per group) prophylactically treated with PKR-IN-C16 (100 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μg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/d,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i.p.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) or vehicle (PBS) 24 h, 2 h before challenge with IL-1α/β + IFN-γ or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Ab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infection (7.5 × 10^7 CFU) and 24 h after injection. (G-J) Bacterial burden (CFU) in lung (D), spleen (E), liver (F), and kidney (G) of mice infected with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Ab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and treated with IRF1-IN-2 or vehicle. n = 5 mice per group; mean ± SEM.</w:t>
                            </w:r>
                          </w:p>
                          <w:p w14:paraId="5F1D9866" w14:textId="77777777" w:rsidR="00765AFE" w:rsidRDefault="00765AFE" w:rsidP="00765AFE">
                            <w:pPr>
                              <w:spacing w:line="32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Statistical analyses were conducted by one-way ANOVA. Data are representative of at least three independent experiments. *p &lt; 0.05; **p &lt; 0.01; ***p &lt; 0.001; ****p &lt; 0.0001; ns, not significant.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0A758" id="Text Box 18" o:spid="_x0000_s1031" type="#_x0000_t202" style="position:absolute;margin-left:-4.25pt;margin-top:433pt;width:479.8pt;height:2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8ZzHAIAADsEAAAOAAAAZHJzL2Uyb0RvYy54bWysU1GP2jAMfp+0/xDlfRS4HdoqyolxYpqE&#10;7k7ipnsOaUojpXHmBFr26+ekFDb2Nu0ldW3nc/x99vyhaww7KvQabMEnozFnykootd0X/Pvr+sMn&#10;znwQthQGrCr4SXn+sHj/bt66XE2hBlMqZARifd66gtchuDzLvKxVI/wInLIUrAAbEegX91mJoiX0&#10;xmTT8XiWtYClQ5DKe/I+9kG+SPhVpWR4riqvAjMFp7eFdGI6d/HMFnOR71G4WsvzM8Q/vKIR2lLR&#10;C9SjCIIdUP8F1WiJ4KEKIwlNBlWlpUo9UDeT8U0321o4lXohcry70OT/H6x8Om7dC7LQfYGOBIyE&#10;tM7nnpyxn67CJn7ppYziROHpQpvqApPknI0/332cUUhS7G56PyFhIk52ve7Qh68KGhaNgiPpkugS&#10;x40PfeqQEqt5MLpca2PiTwysDLKjIA3bWgd1Bv8jy9iYayHe6gGjJ7v2Eq3Q7Tqmy4LfD33uoDxR&#10;+wj9ZHgn15rqbYQPLwJpFKgtGu/wTEdloC24NNpxVgP+vPXFPFKGIpy1NFIF9z8OAhVn5pslzQgq&#10;DAYOxm4w7KFZAXU4oYVxMpl0AYMZzAqheaNpX8YqFBJWUq2Ch8FchX6waVukWi5TEk2ZE2Fjt05G&#10;6IHP1+5NoDurEUjIJxiGTeQ3ovS5SRa3PARiOCkW+ezZO9NME5o0P29TXIHf/1PWdecXvwAAAP//&#10;AwBQSwMEFAAGAAgAAAAhADXjxkviAAAACwEAAA8AAABkcnMvZG93bnJldi54bWxMjzFPwzAQhXck&#10;/oN1SCyodULbEEKcqqpgoEtF6MLmxtc4ENuR7bTh33NMMJ7u03vfK9eT6dkZfeicFZDOE2BoG6c6&#10;2wo4vL/McmAhSqtk7ywK+MYA6+r6qpSFchf7huc6toxCbCikAB3jUHAeGo1Ghrkb0NLv5LyRkU7f&#10;cuXlhcJNz++TJONGdpYatBxwq7H5qkcjYL/82Ou78fS82ywX/vUwbrPPthbi9mbaPAGLOMU/GH71&#10;SR0qcjq60arAegGzfEWkgDzLaBMBj6s0BXYkcvGQJ8Crkv/fUP0AAAD//wMAUEsBAi0AFAAGAAgA&#10;AAAhALaDOJL+AAAA4QEAABMAAAAAAAAAAAAAAAAAAAAAAFtDb250ZW50X1R5cGVzXS54bWxQSwEC&#10;LQAUAAYACAAAACEAOP0h/9YAAACUAQAACwAAAAAAAAAAAAAAAAAvAQAAX3JlbHMvLnJlbHNQSwEC&#10;LQAUAAYACAAAACEAhG/GcxwCAAA7BAAADgAAAAAAAAAAAAAAAAAuAgAAZHJzL2Uyb0RvYy54bWxQ&#10;SwECLQAUAAYACAAAACEANePGS+IAAAALAQAADwAAAAAAAAAAAAAAAAB2BAAAZHJzL2Rvd25yZXYu&#10;eG1sUEsFBgAAAAAEAAQA8wAAAIUFAAAAAA==&#10;" stroked="f">
                <v:textbox style="mso-fit-shape-to-text:t" inset="0,0,0,0">
                  <w:txbxContent>
                    <w:p w14:paraId="08FCA39E" w14:textId="77777777" w:rsidR="00765AFE" w:rsidRDefault="00765AFE" w:rsidP="00765AFE">
                      <w:pPr>
                        <w:spacing w:line="32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Figure S6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bookmarkStart w:id="3" w:name="OLE_LINK41"/>
                      <w:r>
                        <w:rPr>
                          <w:rFonts w:ascii="Times New Roman" w:hAnsi="Times New Roman" w:cs="Times New Roman"/>
                        </w:rPr>
                        <w:t>(A)</w:t>
                      </w:r>
                      <w:bookmarkEnd w:id="3"/>
                      <w:r>
                        <w:rPr>
                          <w:rFonts w:ascii="Times New Roman" w:hAnsi="Times New Roman" w:cs="Times New Roman"/>
                        </w:rPr>
                        <w:t xml:space="preserve"> Quantitative PCR analysis of PKR mRNA expression in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iBMDM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cells 6 h after infected with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 Ab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>Ab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, ATCC17978, 5 × 10^7 CFU) or treated with IL-1α/β+ IFN-γ, compared to uninfected PBS controls. (B) Cell death in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iBMDMs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pretreated with PKR-IN-C16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（</w:t>
                      </w:r>
                      <w:r>
                        <w:rPr>
                          <w:rFonts w:ascii="Times New Roman" w:hAnsi="Times New Roman" w:cs="Times New Roman"/>
                        </w:rPr>
                        <w:t>0.05%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）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or vehicle (PBS) for 1 h, followed by stimulation with IL-1α/β+ IFN-γ for 48 h or infection with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>Ab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(MOI 10) for 6 h. Cell death was assessed by LDH release assay (percentage of maximum release). Data are mean ± SEM from three independent experiments (****P &lt; 0.0001 by two-way ANOVA). (C-E) Serum levels of lactate dehydrogenase (LDH), aspartate aminotransferase (AST), and alanine aminotransferase (ALT) in mice treated as in (Fig. S5B) (n =5 per group; **P &lt; 0.01, ***P &lt; 0.001, ****P &lt; 0.0001 by one-way ANOVA with Tukey's post-test). (F) Kaplan–Meier survival curves of 6–8-week-old C57BL/6 mice (n = 5 per group) prophylactically treated with PKR-IN-C16 (100 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μg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/d,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i.p.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) or vehicle (PBS) 24 h, 2 h before challenge with IL-1α/β + IFN-γ or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Ab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infection (7.5 × 10^7 CFU) and 24 h after injection. (G-J) Bacterial burden (CFU) in lung (D), spleen (E), liver (F), and kidney (G) of mice infected with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</w:rPr>
                        <w:t>Ab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and treated with IRF1-IN-2 or vehicle. n = 5 mice per group; mean ± SEM.</w:t>
                      </w:r>
                    </w:p>
                    <w:p w14:paraId="5F1D9866" w14:textId="77777777" w:rsidR="00765AFE" w:rsidRDefault="00765AFE" w:rsidP="00765AFE">
                      <w:pPr>
                        <w:spacing w:line="320" w:lineRule="exac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Statistical analyses were conducted by one-way ANOVA. Data are representative of at least three independent experiments. *p &lt; 0.05; **p &lt; 0.01; ***p &lt; 0.001; ****p &lt; 0.0001; ns, not significant.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65AFE">
        <w:rPr>
          <w:lang w:val="en-US"/>
        </w:rPr>
        <w:drawing>
          <wp:anchor distT="0" distB="0" distL="114300" distR="114300" simplePos="0" relativeHeight="251663360" behindDoc="0" locked="0" layoutInCell="1" allowOverlap="1" wp14:anchorId="2D009E7B" wp14:editId="4DDB887D">
            <wp:simplePos x="0" y="0"/>
            <wp:positionH relativeFrom="column">
              <wp:posOffset>-56515</wp:posOffset>
            </wp:positionH>
            <wp:positionV relativeFrom="paragraph">
              <wp:posOffset>112395</wp:posOffset>
            </wp:positionV>
            <wp:extent cx="4196080" cy="5462905"/>
            <wp:effectExtent l="0" t="0" r="0" b="0"/>
            <wp:wrapTopAndBottom/>
            <wp:docPr id="204466995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080" cy="546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A968DB" w14:textId="77777777" w:rsidR="00765AFE" w:rsidRPr="00765AFE" w:rsidRDefault="00765AFE" w:rsidP="00765AFE">
      <w:pPr>
        <w:rPr>
          <w:lang w:val="en-US"/>
        </w:rPr>
      </w:pPr>
    </w:p>
    <w:p w14:paraId="225908FB" w14:textId="19E59A52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FE"/>
    <w:rsid w:val="000C69E4"/>
    <w:rsid w:val="00765AFE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F7558"/>
  <w15:chartTrackingRefBased/>
  <w15:docId w15:val="{91CFA3C4-D377-40E0-88F6-3927CE83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A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A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A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A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A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A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A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A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A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A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A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A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A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A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A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A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A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A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AF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5AFE"/>
    <w:pPr>
      <w:spacing w:after="200" w:line="240" w:lineRule="auto"/>
    </w:pPr>
    <w:rPr>
      <w:rFonts w:ascii="SimSun" w:eastAsia="SimSun" w:hAnsi="SimSun" w:cs="SimSun"/>
      <w:i/>
      <w:iCs/>
      <w:color w:val="0E2841" w:themeColor="text2"/>
      <w:kern w:val="0"/>
      <w:sz w:val="18"/>
      <w:szCs w:val="18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2026-10-09T08:56:00Z</dcterms:created>
  <dcterms:modified xsi:type="dcterms:W3CDTF">2026-10-09T08:57:00Z</dcterms:modified>
</cp:coreProperties>
</file>